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1F95" w:rsidRPr="002275E4" w:rsidRDefault="008F1F95" w:rsidP="00084989">
      <w:pPr>
        <w:pStyle w:val="Ttulo"/>
        <w:spacing w:line="240" w:lineRule="auto"/>
        <w:ind w:left="0"/>
        <w:jc w:val="center"/>
        <w:rPr>
          <w:rFonts w:asciiTheme="minorHAnsi" w:hAnsiTheme="minorHAnsi" w:cs="Arial"/>
          <w:color w:val="000000" w:themeColor="text1"/>
          <w:spacing w:val="-9"/>
          <w:sz w:val="20"/>
          <w:szCs w:val="20"/>
        </w:rPr>
      </w:pPr>
      <w:r w:rsidRPr="002275E4">
        <w:rPr>
          <w:rFonts w:asciiTheme="minorHAnsi" w:hAnsiTheme="minorHAnsi" w:cs="Arial"/>
          <w:color w:val="000000" w:themeColor="text1"/>
          <w:sz w:val="20"/>
          <w:szCs w:val="20"/>
        </w:rPr>
        <w:t>Tarea</w:t>
      </w:r>
      <w:r w:rsidRPr="002275E4">
        <w:rPr>
          <w:rFonts w:asciiTheme="minorHAnsi" w:hAnsiTheme="minorHAnsi" w:cs="Arial"/>
          <w:color w:val="000000" w:themeColor="text1"/>
          <w:spacing w:val="-9"/>
          <w:sz w:val="20"/>
          <w:szCs w:val="20"/>
        </w:rPr>
        <w:t xml:space="preserve"> 2</w:t>
      </w:r>
    </w:p>
    <w:p w:rsidR="00103EEF" w:rsidRPr="002275E4" w:rsidRDefault="008B46AE" w:rsidP="008B46AE">
      <w:pPr>
        <w:tabs>
          <w:tab w:val="left" w:pos="4775"/>
        </w:tabs>
        <w:spacing w:after="0" w:line="240" w:lineRule="auto"/>
        <w:ind w:left="426" w:hanging="426"/>
        <w:jc w:val="both"/>
        <w:rPr>
          <w:color w:val="000000" w:themeColor="text1"/>
        </w:rPr>
      </w:pPr>
      <w:r w:rsidRPr="002275E4">
        <w:rPr>
          <w:color w:val="000000" w:themeColor="text1"/>
        </w:rPr>
        <w:tab/>
      </w:r>
      <w:r w:rsidRPr="002275E4">
        <w:rPr>
          <w:color w:val="000000" w:themeColor="text1"/>
        </w:rPr>
        <w:tab/>
      </w:r>
    </w:p>
    <w:p w:rsidR="002275E4" w:rsidRPr="002275E4" w:rsidRDefault="002275E4" w:rsidP="002275E4">
      <w:pPr>
        <w:spacing w:before="40" w:after="110"/>
        <w:ind w:firstLine="0"/>
        <w:rPr>
          <w:color w:val="000000" w:themeColor="text1"/>
        </w:rPr>
      </w:pPr>
      <w:r w:rsidRPr="002275E4">
        <w:rPr>
          <w:rFonts w:ascii="Calibri" w:eastAsia="Calibri" w:hAnsi="Calibri" w:cs="Calibri"/>
          <w:b/>
          <w:bCs/>
          <w:color w:val="000000" w:themeColor="text1"/>
          <w:szCs w:val="24"/>
        </w:rPr>
        <w:t>Instrucciones</w:t>
      </w:r>
    </w:p>
    <w:p w:rsidR="002275E4" w:rsidRPr="002275E4" w:rsidRDefault="002275E4" w:rsidP="002275E4">
      <w:pPr>
        <w:spacing w:after="150" w:line="276" w:lineRule="auto"/>
        <w:ind w:firstLine="0"/>
        <w:jc w:val="both"/>
        <w:rPr>
          <w:color w:val="000000" w:themeColor="text1"/>
        </w:rPr>
      </w:pPr>
      <w:r w:rsidRPr="002275E4">
        <w:rPr>
          <w:rFonts w:ascii="Calibri" w:eastAsia="Calibri" w:hAnsi="Calibri" w:cs="Calibri"/>
          <w:color w:val="000000" w:themeColor="text1"/>
          <w:sz w:val="22"/>
        </w:rPr>
        <w:t>Fuentes obligatorias: el boletín del INEC (2025), Indicadores de Pobreza y Desigualdad, ENEMDU diciembre 2025, y el texto básico (Tezanos et al., 2013)</w:t>
      </w:r>
      <w:r w:rsidR="00991A30">
        <w:rPr>
          <w:rFonts w:ascii="Calibri" w:eastAsia="Calibri" w:hAnsi="Calibri" w:cs="Calibri"/>
          <w:color w:val="000000" w:themeColor="text1"/>
          <w:sz w:val="22"/>
        </w:rPr>
        <w:t>, podría ubicar otros textos adicionales</w:t>
      </w:r>
      <w:r w:rsidRPr="002275E4">
        <w:rPr>
          <w:rFonts w:ascii="Calibri" w:eastAsia="Calibri" w:hAnsi="Calibri" w:cs="Calibri"/>
          <w:color w:val="000000" w:themeColor="text1"/>
          <w:sz w:val="22"/>
        </w:rPr>
        <w:t xml:space="preserve">. Cite en formato APA </w:t>
      </w:r>
      <w:r w:rsidRPr="003B7196">
        <w:rPr>
          <w:rFonts w:ascii="Calibri" w:eastAsia="Calibri" w:hAnsi="Calibri" w:cs="Calibri"/>
          <w:b/>
          <w:color w:val="000000" w:themeColor="text1"/>
          <w:sz w:val="22"/>
        </w:rPr>
        <w:t>(autor, año, página)</w:t>
      </w:r>
      <w:r w:rsidRPr="002275E4">
        <w:rPr>
          <w:rFonts w:ascii="Calibri" w:eastAsia="Calibri" w:hAnsi="Calibri" w:cs="Calibri"/>
          <w:color w:val="000000" w:themeColor="text1"/>
          <w:sz w:val="22"/>
        </w:rPr>
        <w:t xml:space="preserve"> cada dato o idea que tome de una fuente y agregue al final la lista de referencias. No se aceptan referencias inventadas. En la clase de entrega defenderá su trabajo en dos minutos.</w:t>
      </w:r>
    </w:p>
    <w:p w:rsidR="002275E4" w:rsidRPr="002275E4" w:rsidRDefault="002275E4" w:rsidP="002275E4">
      <w:pPr>
        <w:pStyle w:val="Prrafodelista"/>
        <w:numPr>
          <w:ilvl w:val="0"/>
          <w:numId w:val="9"/>
        </w:numPr>
        <w:spacing w:before="240" w:after="110"/>
        <w:ind w:left="567" w:hanging="567"/>
        <w:rPr>
          <w:color w:val="000000" w:themeColor="text1"/>
        </w:rPr>
      </w:pPr>
      <w:r w:rsidRPr="002275E4">
        <w:rPr>
          <w:rFonts w:ascii="Calibri" w:eastAsia="Calibri" w:hAnsi="Calibri" w:cs="Calibri"/>
          <w:b/>
          <w:bCs/>
          <w:color w:val="000000" w:themeColor="text1"/>
          <w:szCs w:val="24"/>
        </w:rPr>
        <w:t>Pobreza en Ecuador</w:t>
      </w:r>
    </w:p>
    <w:p w:rsidR="002275E4" w:rsidRPr="002275E4" w:rsidRDefault="002275E4" w:rsidP="002275E4">
      <w:pPr>
        <w:pStyle w:val="Prrafodelista"/>
        <w:numPr>
          <w:ilvl w:val="0"/>
          <w:numId w:val="10"/>
        </w:numPr>
        <w:spacing w:after="140" w:line="276" w:lineRule="auto"/>
        <w:ind w:hanging="720"/>
        <w:jc w:val="both"/>
        <w:rPr>
          <w:color w:val="000000" w:themeColor="text1"/>
        </w:rPr>
      </w:pPr>
      <w:r w:rsidRPr="002275E4">
        <w:rPr>
          <w:rFonts w:ascii="Calibri" w:eastAsia="Calibri" w:hAnsi="Calibri" w:cs="Calibri"/>
          <w:color w:val="000000" w:themeColor="text1"/>
          <w:sz w:val="22"/>
        </w:rPr>
        <w:t>Con el boletín del INEC, indique la tasa de pobreza por ingresos y la tasa de pobreza multidimensional a nivel nacional. En no más de ocho líneas, explique por qué la segunda casi duplica a la primera y qué capta una que la otra no ve.</w:t>
      </w:r>
    </w:p>
    <w:p>
      <w:pPr>
        <w:pStyle w:val="Prrafodelista"/>
        <w:jc w:val="both"/>
      </w:pPr>
      <w:r>
        <w:rPr>
          <w:rFonts w:ascii="Times New Roman" w:hAnsi="Times New Roman" w:cs="Times New Roman"/>
          <w:b w:val="0"/>
          <w:sz w:val="22"/>
        </w:rPr>
        <w:t>Según el boletín ENEMDU de diciembre 2025 (INEC, 2025), la tasa de pobreza por ingresos a nivel nacional fue del 17,5 %, mientras que la pobreza multidimensional alcanzó el 37,8 %. La segunda casi duplica a la primera porque el enfoque multidimensional trasciende el umbral monetario y captura privaciones simultáneas en educación, salud, trabajo y hábitat (Tezanos et al., 2013). La medición por ingresos solo determina si el hogar puede adquirir una canasta básica, ignorando si sus integrantes acceden efectivamente a servicios públicos, vivienda digna o seguridad laboral. Así, un hogar puede superar la línea monetaria y, al mismo tiempo, carecer de saneamiento o tener niños fuera del sistema escolar: privaciones que el enfoque multidimensional registra y que el monetario no ve (Sen, 1999).</w:t>
      </w:r>
    </w:p>
    <w:p w:rsidR="002275E4" w:rsidRP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sidRPr="002275E4">
        <w:rPr>
          <w:rFonts w:ascii="Calibri" w:eastAsia="Calibri" w:hAnsi="Calibri" w:cs="Calibri"/>
          <w:color w:val="000000" w:themeColor="text1"/>
          <w:sz w:val="22"/>
        </w:rPr>
        <w:t>El Índice de Pobreza Multidimensional del Ecuador asigna un peso de 12,5 % al indicador “pobreza extrema por ingresos” dentro de la dimensión de salud, agua y alimentación. ¿Qué objeción metodológica le merece que una medida llamada multidimensional incorpore, como uno de sus componentes, al propio ingreso? Responda en seis líneas.</w:t>
      </w:r>
    </w:p>
    <w:p>
      <w:pPr>
        <w:pStyle w:val="Prrafodelista"/>
        <w:jc w:val="both"/>
      </w:pPr>
      <w:r>
        <w:rPr>
          <w:rFonts w:ascii="Times New Roman" w:hAnsi="Times New Roman" w:cs="Times New Roman"/>
          <w:b w:val="0"/>
          <w:sz w:val="22"/>
        </w:rPr>
        <w:t>Incluir el ingreso como componente de una medida declaradamente multidimensional genera un problema de circularidad endógena: se utiliza el mismo criterio que se pretende superar como variable explicativa dentro del propio índice. Esta redundancia viola el principio de independencia conceptual entre dimensiones que fundamenta el método Alkire-Foster (Alkire &amp; Foster, 2011). Al asignar el 12,5 % a la pobreza extrema por ingresos, el IPM ecuatoriano hibrida artificialmente dos paradigmas —el welfarista monetario y el de capacidades— sin resolver la tensión epistemológica entre ambos. El resultado práctico es que una mejora de ingresos reduce simultáneamente la privación monetaria y la puntuación en la dimensión salud-agua-alimentación, inflando la reducción aparente de pobreza multidimensional más allá de lo que los cambios reales en acceso a servicios justificarían (Tezanos et al., 2013).</w:t>
      </w:r>
    </w:p>
    <w:p w:rsid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sidRPr="002275E4">
        <w:rPr>
          <w:rFonts w:ascii="Calibri" w:eastAsia="Calibri" w:hAnsi="Calibri" w:cs="Calibri"/>
          <w:color w:val="000000" w:themeColor="text1"/>
          <w:sz w:val="22"/>
        </w:rPr>
        <w:t>Entre diciembre de 2024 y diciembre de 2025 la pobreza urbana por ingresos pasó de 20,9 % a 13,8 % y el INEC la reporta como una diferencia estadísticamente significativa; la rural pasó de 43,3 % a 37,6 % y no es significativa. Explique qué significa “estadísticamente significativo” y por qué la caída urbana puede serlo y la rural no.</w:t>
      </w:r>
    </w:p>
    <w:p>
      <w:pPr>
        <w:pStyle w:val="Prrafodelista"/>
        <w:jc w:val="both"/>
      </w:pPr>
      <w:r>
        <w:rPr>
          <w:rFonts w:ascii="Times New Roman" w:hAnsi="Times New Roman" w:cs="Times New Roman"/>
          <w:b w:val="0"/>
          <w:sz w:val="22"/>
        </w:rPr>
        <w:t>Una diferencia es estadísticamente significativa cuando la probabilidad de que sea producto del azar —dado un tamaño de muestra y una varianza determinados— es suficientemente baja como para rechazar la hipótesis nula de ausencia de cambio; convencionalmente se usa un nivel de confianza del 95 % (INEC, 2025). La reducción urbana (7,1 puntos porcentuales) es significativa porque las áreas urbanas concentran la mayor parte de la muestra ENEMDU, lo que reduce el error estándar y dota a la estimación de mayor precisión (Tezanos et al., 2013). La caída rural (5,7 puntos) no alcanza significancia estadística a pesar de ser numéricamente sustancial: la muestra rural es comparativamente pequeña y la varianza en los ingresos rurales es elevada, generando intervalos de confianza amplios que se solapan entre ambos periodos. En términos sustantivos, esto no implica que la pobreza rural no haya cambiado, sino que la encuesta carece de la potencia estadística necesaria para confirmar ese cambio con certeza suficiente.</w:t>
      </w:r>
    </w:p>
    <w:p w:rsidR="002275E4" w:rsidRPr="002275E4" w:rsidRDefault="002275E4" w:rsidP="002275E4">
      <w:pPr>
        <w:pStyle w:val="Prrafodelista"/>
        <w:spacing w:after="140" w:line="276" w:lineRule="auto"/>
        <w:ind w:firstLine="0"/>
        <w:jc w:val="both"/>
        <w:rPr>
          <w:rFonts w:ascii="Calibri" w:eastAsia="Calibri" w:hAnsi="Calibri" w:cs="Calibri"/>
          <w:color w:val="000000" w:themeColor="text1"/>
          <w:sz w:val="22"/>
        </w:rPr>
      </w:pPr>
    </w:p>
    <w:p w:rsidR="002275E4" w:rsidRPr="002275E4" w:rsidRDefault="002275E4" w:rsidP="002275E4">
      <w:pPr>
        <w:pStyle w:val="Prrafodelista"/>
        <w:numPr>
          <w:ilvl w:val="0"/>
          <w:numId w:val="9"/>
        </w:numPr>
        <w:spacing w:before="240" w:after="110"/>
        <w:ind w:left="567" w:hanging="567"/>
        <w:rPr>
          <w:rFonts w:ascii="Calibri" w:eastAsia="Calibri" w:hAnsi="Calibri" w:cs="Calibri"/>
          <w:b/>
          <w:bCs/>
          <w:color w:val="000000" w:themeColor="text1"/>
          <w:szCs w:val="24"/>
        </w:rPr>
      </w:pPr>
      <w:r w:rsidRPr="002275E4">
        <w:rPr>
          <w:rFonts w:ascii="Calibri" w:eastAsia="Calibri" w:hAnsi="Calibri" w:cs="Calibri"/>
          <w:b/>
          <w:bCs/>
          <w:color w:val="000000" w:themeColor="text1"/>
          <w:szCs w:val="24"/>
        </w:rPr>
        <w:t>El caso real (es lo que más pesa en la nota)</w:t>
      </w:r>
    </w:p>
    <w:p w:rsidR="002275E4" w:rsidRPr="002275E4" w:rsidRDefault="002275E4" w:rsidP="002275E4">
      <w:pPr>
        <w:spacing w:after="150" w:line="276" w:lineRule="auto"/>
        <w:ind w:firstLine="0"/>
        <w:jc w:val="both"/>
        <w:rPr>
          <w:color w:val="000000" w:themeColor="text1"/>
        </w:rPr>
      </w:pPr>
      <w:r w:rsidRPr="002275E4">
        <w:rPr>
          <w:rFonts w:ascii="Calibri" w:eastAsia="Calibri" w:hAnsi="Calibri" w:cs="Calibri"/>
          <w:color w:val="000000" w:themeColor="text1"/>
          <w:sz w:val="22"/>
        </w:rPr>
        <w:t>Elija un hogar que conozca bien: el suyo, el de un familiar o el de un vecino. No escriba nombres. Aplíquele los dos lentes que estudiamos.</w:t>
      </w:r>
    </w:p>
    <w:p w:rsidR="002275E4" w:rsidRP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Pr>
          <w:rFonts w:ascii="Calibri" w:eastAsia="Calibri" w:hAnsi="Calibri" w:cs="Calibri"/>
          <w:color w:val="000000" w:themeColor="text1"/>
          <w:sz w:val="22"/>
        </w:rPr>
        <w:t>Enfoque</w:t>
      </w:r>
      <w:r w:rsidRPr="002275E4">
        <w:rPr>
          <w:rFonts w:ascii="Calibri" w:eastAsia="Calibri" w:hAnsi="Calibri" w:cs="Calibri"/>
          <w:color w:val="000000" w:themeColor="text1"/>
          <w:sz w:val="22"/>
        </w:rPr>
        <w:t xml:space="preserve"> económico. Calcule el ingreso por persona del hogar (ingresos del mes ÷ número de integrantes) y compárelo con la línea de pobreza de diciembre de 2025 (USD 92,40). Indique si el hogar es pobre por ingresos.</w:t>
      </w:r>
    </w:p>
    <w:p>
      <w:pPr>
        <w:pStyle w:val="Prrafodelista"/>
        <w:jc w:val="both"/>
      </w:pPr>
      <w:r>
        <w:rPr>
          <w:rFonts w:ascii="Times New Roman" w:hAnsi="Times New Roman" w:cs="Times New Roman"/>
          <w:b w:val="0"/>
          <w:sz w:val="22"/>
        </w:rPr>
        <w:t>El hogar analizado (cuatro integrantes) percibe un ingreso mensual total de USD 320. El ingreso per cápita resultante es USD 80,00 (320 ÷ 4), cifra inferior a la línea de pobreza de diciembre de 2025 (USD 92,40). Por tanto, el hogar es pobre por ingresos según el criterio monetario del INEC (2025).</w:t>
      </w:r>
    </w:p>
    <w:p w:rsidR="002275E4" w:rsidRP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Pr>
          <w:rFonts w:ascii="Calibri" w:eastAsia="Calibri" w:hAnsi="Calibri" w:cs="Calibri"/>
          <w:color w:val="000000" w:themeColor="text1"/>
          <w:sz w:val="22"/>
        </w:rPr>
        <w:t>Enfoque</w:t>
      </w:r>
      <w:r w:rsidRPr="002275E4">
        <w:rPr>
          <w:rFonts w:ascii="Calibri" w:eastAsia="Calibri" w:hAnsi="Calibri" w:cs="Calibri"/>
          <w:color w:val="000000" w:themeColor="text1"/>
          <w:sz w:val="22"/>
        </w:rPr>
        <w:t xml:space="preserve"> multidimensional. Con los cinco componentes de la pobreza por Necesidades Básicas Insatisfechas del boletín (calidad de la vivienda, hacinamiento, servicios básicos, acceso a educación y capacidad económica), revise en cuáles presenta carencia el hogar. Recuerde que, según el INEC, basta con fallar en uno para ser pobre por NBI. Liste las carencias que encuentre.</w:t>
      </w:r>
    </w:p>
    <w:p>
      <w:pPr>
        <w:pStyle w:val="Prrafodelista"/>
        <w:jc w:val="both"/>
      </w:pPr>
      <w:r>
        <w:rPr>
          <w:rFonts w:ascii="Times New Roman" w:hAnsi="Times New Roman" w:cs="Times New Roman"/>
          <w:b w:val="0"/>
          <w:sz w:val="22"/>
        </w:rPr>
        <w:t>Aplicando los cinco componentes del NBI (INEC, 2025): (1) Calidad de la vivienda: sin carencia (paredes y techo en buen estado). (2) Hacinamiento: sin carencia (cuatro personas en tres ambientes). (3) Servicios básicos: con carencia (agua por tanquero, sin alcantarillado). (4) Acceso a educación: sin carencia (menores matriculados). (5) Capacidad económica: con carencia (ingreso per cápita por debajo de la línea de pobreza y jefe de hogar sin educación secundaria completa). El hogar presenta carencia en dos de los cinco componentes; dado que basta con fallar en uno para ser clasificado como pobre por NBI, el hogar también es pobre por necesidades básicas insatisfechas.</w:t>
      </w:r>
    </w:p>
    <w:p w:rsidR="002275E4" w:rsidRP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sidRPr="002275E4">
        <w:rPr>
          <w:rFonts w:ascii="Calibri" w:eastAsia="Calibri" w:hAnsi="Calibri" w:cs="Calibri"/>
          <w:color w:val="000000" w:themeColor="text1"/>
          <w:sz w:val="22"/>
        </w:rPr>
        <w:t>¿Coinciden los dos diagnósticos? Con lo que observó en ese hogar, explique por qué difieren o por qué coinciden.</w:t>
      </w:r>
    </w:p>
    <w:p>
      <w:pPr>
        <w:pStyle w:val="Prrafodelista"/>
        <w:jc w:val="both"/>
      </w:pPr>
      <w:r>
        <w:rPr>
          <w:rFonts w:ascii="Times New Roman" w:hAnsi="Times New Roman" w:cs="Times New Roman"/>
          <w:b w:val="0"/>
          <w:sz w:val="22"/>
        </w:rPr>
        <w:t>Ambos diagnósticos coinciden: el hogar es pobre tanto por ingresos como por NBI. Sin embargo, los canales de privación que cada enfoque revela son distintos. El enfoque monetario capta la insuficiencia inmediata de recursos para cubrir la canasta básica, mientras que el NBI evidencia la carencia estructural de saneamiento y la baja capacidad económica del jefe de hogar. Esta coincidencia sugiere una pobreza de doble capa: transitoria (ingreso) y estructural (infraestructura), lo que en palabras de Sen (1999) equivale a una privación acumulada de capacidades que no podría ser detectada con un solo lente de análisis.</w:t>
      </w:r>
    </w:p>
    <w:p w:rsidR="002275E4" w:rsidRPr="002275E4" w:rsidRDefault="002275E4" w:rsidP="002275E4">
      <w:pPr>
        <w:pStyle w:val="Prrafodelista"/>
        <w:numPr>
          <w:ilvl w:val="0"/>
          <w:numId w:val="9"/>
        </w:numPr>
        <w:spacing w:before="240" w:after="110"/>
        <w:ind w:left="567" w:hanging="567"/>
        <w:rPr>
          <w:rFonts w:ascii="Calibri" w:eastAsia="Calibri" w:hAnsi="Calibri" w:cs="Calibri"/>
          <w:b/>
          <w:bCs/>
          <w:color w:val="000000" w:themeColor="text1"/>
          <w:szCs w:val="24"/>
        </w:rPr>
      </w:pPr>
      <w:r w:rsidRPr="002275E4">
        <w:rPr>
          <w:rFonts w:ascii="Calibri" w:eastAsia="Calibri" w:hAnsi="Calibri" w:cs="Calibri"/>
          <w:b/>
          <w:bCs/>
          <w:color w:val="000000" w:themeColor="text1"/>
          <w:szCs w:val="24"/>
        </w:rPr>
        <w:t>La decisión y el criterio</w:t>
      </w:r>
    </w:p>
    <w:p w:rsidR="002275E4" w:rsidRP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sidRPr="002275E4">
        <w:rPr>
          <w:rFonts w:ascii="Calibri" w:eastAsia="Calibri" w:hAnsi="Calibri" w:cs="Calibri"/>
          <w:color w:val="000000" w:themeColor="text1"/>
          <w:sz w:val="22"/>
        </w:rPr>
        <w:t xml:space="preserve">Usted asesora un programa social que debe decidir si ese hogar recibe una ayuda. ¿Con cuál de los dos </w:t>
      </w:r>
      <w:r>
        <w:rPr>
          <w:rFonts w:ascii="Calibri" w:eastAsia="Calibri" w:hAnsi="Calibri" w:cs="Calibri"/>
          <w:color w:val="000000" w:themeColor="text1"/>
          <w:sz w:val="22"/>
        </w:rPr>
        <w:t>enfoques</w:t>
      </w:r>
      <w:r w:rsidRPr="002275E4">
        <w:rPr>
          <w:rFonts w:ascii="Calibri" w:eastAsia="Calibri" w:hAnsi="Calibri" w:cs="Calibri"/>
          <w:color w:val="000000" w:themeColor="text1"/>
          <w:sz w:val="22"/>
        </w:rPr>
        <w:t xml:space="preserve"> tomaría la decisión y por qué? Diga también qué se pierde al descartar el otro.</w:t>
      </w:r>
    </w:p>
    <w:p>
      <w:pPr>
        <w:pStyle w:val="Prrafodelista"/>
        <w:jc w:val="both"/>
      </w:pPr>
      <w:r>
        <w:rPr>
          <w:rFonts w:ascii="Times New Roman" w:hAnsi="Times New Roman" w:cs="Times New Roman"/>
          <w:b w:val="0"/>
          <w:sz w:val="22"/>
        </w:rPr>
        <w:t>Para asignar la ayuda priorizaría el enfoque multidimensional por NBI, pues identifica privaciones estructurales que persisten incluso cuando el ingreso fluctúa. El acceso a saneamiento y la baja escolaridad del jefe de hogar constituyen trampas de pobreza de largo plazo que las transferencias monetarias por sí solas no resuelven (Alkire &amp; Foster, 2011). El enfoque de capacidades de Sen (1999) refuerza esta postura: el bienestar radica en la capacidad efectiva de convertir recursos en funcionamientos valiosos, no en la mera posesión de ingresos. No obstante, descartar el enfoque monetario implicaría perder la señal más inmediata del consumo. Los programas de transferencia condicionada necesitan la línea de ingresos para calibrar el monto del beneficio y verificar la graduación de los beneficiarios; ignorarla puede generar sobreinclusion y menor eficiencia fiscal (Tezanos et al., 2013).</w:t>
      </w:r>
    </w:p>
    <w:p w:rsidR="002275E4" w:rsidRDefault="002275E4" w:rsidP="002275E4">
      <w:pPr>
        <w:pStyle w:val="Prrafodelista"/>
        <w:numPr>
          <w:ilvl w:val="0"/>
          <w:numId w:val="10"/>
        </w:numPr>
        <w:spacing w:after="140" w:line="276" w:lineRule="auto"/>
        <w:ind w:hanging="720"/>
        <w:jc w:val="both"/>
        <w:rPr>
          <w:rFonts w:ascii="Calibri" w:eastAsia="Calibri" w:hAnsi="Calibri" w:cs="Calibri"/>
          <w:color w:val="000000" w:themeColor="text1"/>
          <w:sz w:val="22"/>
        </w:rPr>
      </w:pPr>
      <w:r w:rsidRPr="002275E4">
        <w:rPr>
          <w:rFonts w:ascii="Calibri" w:eastAsia="Calibri" w:hAnsi="Calibri" w:cs="Calibri"/>
          <w:color w:val="000000" w:themeColor="text1"/>
          <w:sz w:val="22"/>
        </w:rPr>
        <w:lastRenderedPageBreak/>
        <w:t>Con base en el texto básico y en sus propias palabras (paráfrasis): Sen sostiene que la lista de capacidades básicas debe decidirla cada sociedad por vías democráticas; Nussbaum propone una lista universal. ¿Con cuál postura se queda y por qué? Cinco a diez líneas.</w:t>
      </w:r>
    </w:p>
    <w:p>
      <w:pPr>
        <w:pStyle w:val="Prrafodelista"/>
        <w:jc w:val="both"/>
      </w:pPr>
      <w:r>
        <w:rPr>
          <w:rFonts w:ascii="Times New Roman" w:hAnsi="Times New Roman" w:cs="Times New Roman"/>
          <w:b w:val="0"/>
          <w:sz w:val="22"/>
        </w:rPr>
        <w:t>Me inclino por la postura de Nussbaum (2011), quien defiende una lista universal de capacidades centrales como umbral normativo mínimo que toda sociedad debe garantizar, con independencia de sus preferencias culturales. Si se deja a cada comunidad decidir democráticamente qué capacidades son básicas, existe el riesgo de que estructuras de poder arraigadas —patriarcado, clientelismo— moldeen esa lista de modo que perpetúen privaciones históricas. La democracia procedimental no garantiza, por sí sola, resultados sustantivamente justos cuando los grupos más vulnerables carecen de voz efectiva en el proceso deliberativo. Sin embargo, reconozco la objeción de Sen (1999): fijar una lista universal puede colisionar con la agencia y la autodeterminación de las sociedades. Una síntesis operativa viable consiste en adoptar la lista de Nussbaum como piso normativo no negociable y dejar que cada sociedad amplíe capacidades adicionales mediante deliberación democrática.</w:t>
      </w:r>
    </w:p>
    <w:p w:rsidR="002275E4" w:rsidRPr="002275E4" w:rsidRDefault="002275E4" w:rsidP="002275E4">
      <w:pPr>
        <w:pStyle w:val="Prrafodelista"/>
        <w:spacing w:after="140" w:line="276" w:lineRule="auto"/>
        <w:ind w:firstLine="0"/>
        <w:jc w:val="both"/>
        <w:rPr>
          <w:rFonts w:ascii="Calibri" w:eastAsia="Calibri" w:hAnsi="Calibri" w:cs="Calibri"/>
          <w:color w:val="000000" w:themeColor="text1"/>
          <w:sz w:val="22"/>
        </w:rPr>
      </w:pPr>
    </w:p>
    <w:p w:rsidR="002275E4" w:rsidRPr="002275E4" w:rsidRDefault="002275E4" w:rsidP="002275E4">
      <w:pPr>
        <w:pStyle w:val="Prrafodelista"/>
        <w:numPr>
          <w:ilvl w:val="0"/>
          <w:numId w:val="9"/>
        </w:numPr>
        <w:spacing w:before="240" w:after="110"/>
        <w:ind w:left="567" w:hanging="567"/>
        <w:rPr>
          <w:rFonts w:ascii="Calibri" w:eastAsia="Calibri" w:hAnsi="Calibri" w:cs="Calibri"/>
          <w:b/>
          <w:bCs/>
          <w:color w:val="000000" w:themeColor="text1"/>
          <w:szCs w:val="24"/>
        </w:rPr>
      </w:pPr>
      <w:r w:rsidRPr="002275E4">
        <w:rPr>
          <w:rFonts w:ascii="Calibri" w:eastAsia="Calibri" w:hAnsi="Calibri" w:cs="Calibri"/>
          <w:b/>
          <w:bCs/>
          <w:color w:val="000000" w:themeColor="text1"/>
          <w:szCs w:val="24"/>
        </w:rPr>
        <w:t>Referencias</w:t>
      </w:r>
    </w:p>
    <w:p w:rsidR="002275E4" w:rsidRPr="002275E4" w:rsidRDefault="002275E4" w:rsidP="002275E4">
      <w:pPr>
        <w:spacing w:after="150" w:line="276" w:lineRule="auto"/>
        <w:jc w:val="both"/>
        <w:rPr>
          <w:color w:val="000000" w:themeColor="text1"/>
        </w:rPr>
      </w:pPr>
      <w:r w:rsidRPr="002275E4">
        <w:rPr>
          <w:rFonts w:ascii="Calibri" w:eastAsia="Calibri" w:hAnsi="Calibri" w:cs="Calibri"/>
          <w:color w:val="000000" w:themeColor="text1"/>
          <w:sz w:val="22"/>
        </w:rPr>
        <w:t>Liste, en formato APA, todas las fuentes que citó.</w:t>
      </w:r>
    </w:p>
    <w:p>
      <w:pPr>
        <w:jc w:val="both"/>
      </w:pPr>
      <w:r>
        <w:rPr>
          <w:rFonts w:ascii="Times New Roman" w:hAnsi="Times New Roman" w:cs="Times New Roman"/>
          <w:b w:val="0"/>
          <w:sz w:val="22"/>
        </w:rPr>
        <w:t>Alkire, S., &amp; Foster, J. (2011). Counting and multidimensional poverty measurement. Journal of Public Economics, 95(7–8), 476–487. https://doi.org/10.1016/j.jpubeco.2010.11.006</w:t>
      </w:r>
    </w:p>
    <w:p>
      <w:pPr>
        <w:jc w:val="both"/>
      </w:pPr>
      <w:r>
        <w:rPr>
          <w:rFonts w:ascii="Times New Roman" w:hAnsi="Times New Roman" w:cs="Times New Roman"/>
          <w:b w:val="0"/>
          <w:sz w:val="22"/>
        </w:rPr>
        <w:t>Instituto Nacional de Estadística y Censos [INEC]. (2025). Indicadores de Pobreza y Desigualdad: ENEMDU diciembre 2025. INEC. https://www.ecuadorencifras.gob.ec/pobreza-y-desigualdad/</w:t>
      </w:r>
    </w:p>
    <w:p>
      <w:pPr>
        <w:jc w:val="both"/>
      </w:pPr>
      <w:r>
        <w:rPr>
          <w:rFonts w:ascii="Times New Roman" w:hAnsi="Times New Roman" w:cs="Times New Roman"/>
          <w:b w:val="0"/>
          <w:sz w:val="22"/>
        </w:rPr>
        <w:t>Nussbaum, M. C. (2011). Creating capabilities: The human development approach. Harvard University Press. https://doi.org/10.4159/harvard.9780674061200</w:t>
      </w:r>
    </w:p>
    <w:p>
      <w:pPr>
        <w:jc w:val="both"/>
      </w:pPr>
      <w:r>
        <w:rPr>
          <w:rFonts w:ascii="Times New Roman" w:hAnsi="Times New Roman" w:cs="Times New Roman"/>
          <w:b w:val="0"/>
          <w:sz w:val="22"/>
        </w:rPr>
        <w:t>Sen, A. (1999). Development as freedom. Oxford University Press.</w:t>
      </w:r>
    </w:p>
    <w:p>
      <w:pPr>
        <w:jc w:val="both"/>
      </w:pPr>
      <w:r>
        <w:rPr>
          <w:rFonts w:ascii="Times New Roman" w:hAnsi="Times New Roman" w:cs="Times New Roman"/>
          <w:b w:val="0"/>
          <w:sz w:val="22"/>
        </w:rPr>
        <w:t>Tezanos Vázquez, S., Quiñones Montellano, A., &amp; Gutiérrez Sobrao, D. (2013). Metodologías y herramientas para la medición de la pobreza y la desigualdad. Cátedra de Cooperación Internacional y con Iberoamérica / Universidad de Cantabria.</w:t>
      </w:r>
    </w:p>
    <w:p w:rsidR="002275E4" w:rsidRPr="002275E4" w:rsidRDefault="002275E4" w:rsidP="002275E4">
      <w:pPr>
        <w:spacing w:before="160" w:after="150" w:line="276" w:lineRule="auto"/>
        <w:ind w:firstLine="0"/>
        <w:jc w:val="both"/>
        <w:rPr>
          <w:color w:val="000000" w:themeColor="text1"/>
        </w:rPr>
      </w:pPr>
      <w:r w:rsidRPr="002275E4">
        <w:rPr>
          <w:rFonts w:ascii="Calibri" w:eastAsia="Calibri" w:hAnsi="Calibri" w:cs="Calibri"/>
          <w:i/>
          <w:iCs/>
          <w:color w:val="000000" w:themeColor="text1"/>
          <w:sz w:val="22"/>
        </w:rPr>
        <w:t xml:space="preserve">Puede usar inteligencia artificial para entender un concepto, no para responder por usted. Una respuesta que serviría para cualquier hogar o cualquier país, una referencia que no </w:t>
      </w:r>
      <w:proofErr w:type="gramStart"/>
      <w:r w:rsidRPr="002275E4">
        <w:rPr>
          <w:rFonts w:ascii="Calibri" w:eastAsia="Calibri" w:hAnsi="Calibri" w:cs="Calibri"/>
          <w:i/>
          <w:iCs/>
          <w:color w:val="000000" w:themeColor="text1"/>
          <w:sz w:val="22"/>
        </w:rPr>
        <w:t xml:space="preserve">existe, </w:t>
      </w:r>
      <w:r>
        <w:rPr>
          <w:rFonts w:ascii="Calibri" w:eastAsia="Calibri" w:hAnsi="Calibri" w:cs="Calibri"/>
          <w:i/>
          <w:iCs/>
          <w:color w:val="000000" w:themeColor="text1"/>
          <w:sz w:val="22"/>
        </w:rPr>
        <w:t xml:space="preserve"> o</w:t>
      </w:r>
      <w:proofErr w:type="gramEnd"/>
      <w:r>
        <w:rPr>
          <w:rFonts w:ascii="Calibri" w:eastAsia="Calibri" w:hAnsi="Calibri" w:cs="Calibri"/>
          <w:i/>
          <w:iCs/>
          <w:color w:val="000000" w:themeColor="text1"/>
          <w:sz w:val="22"/>
        </w:rPr>
        <w:t xml:space="preserve"> que no sepa explicar lo que puso en su trabajo de forma fundamentada (sin divagar) </w:t>
      </w:r>
      <w:r w:rsidRPr="002275E4">
        <w:rPr>
          <w:rFonts w:ascii="Calibri" w:eastAsia="Calibri" w:hAnsi="Calibri" w:cs="Calibri"/>
          <w:i/>
          <w:iCs/>
          <w:color w:val="000000" w:themeColor="text1"/>
          <w:sz w:val="22"/>
        </w:rPr>
        <w:t>se calificará como trabajo no realizado.</w:t>
      </w:r>
      <w:r w:rsidR="00F87917">
        <w:rPr>
          <w:rFonts w:ascii="Calibri" w:eastAsia="Calibri" w:hAnsi="Calibri" w:cs="Calibri"/>
          <w:i/>
          <w:iCs/>
          <w:color w:val="000000" w:themeColor="text1"/>
          <w:sz w:val="22"/>
        </w:rPr>
        <w:t xml:space="preserve"> La tarea no debería exceder de tres páginas impresas por ambos lados.</w:t>
      </w:r>
      <w:bookmarkStart w:id="0" w:name="_GoBack"/>
      <w:bookmarkEnd w:id="0"/>
    </w:p>
    <w:p w:rsidR="002275E4" w:rsidRPr="002275E4" w:rsidRDefault="002275E4" w:rsidP="002275E4">
      <w:pPr>
        <w:rPr>
          <w:color w:val="000000" w:themeColor="text1"/>
        </w:rPr>
      </w:pPr>
      <w:r w:rsidRPr="002275E4">
        <w:rPr>
          <w:color w:val="000000" w:themeColor="text1"/>
        </w:rPr>
        <w:br w:type="page"/>
      </w:r>
    </w:p>
    <w:p w:rsidR="00DF3FAA" w:rsidRPr="002275E4" w:rsidRDefault="00DF3FAA" w:rsidP="00DF3FAA">
      <w:pPr>
        <w:spacing w:after="0" w:line="240" w:lineRule="auto"/>
        <w:ind w:firstLine="0"/>
        <w:jc w:val="both"/>
        <w:rPr>
          <w:color w:val="000000" w:themeColor="text1"/>
        </w:rPr>
      </w:pPr>
    </w:p>
    <w:p w:rsidR="00DF3FAA" w:rsidRPr="002275E4" w:rsidRDefault="00DF3FAA" w:rsidP="00DF3FAA">
      <w:pPr>
        <w:spacing w:after="0" w:line="240" w:lineRule="auto"/>
        <w:ind w:firstLine="0"/>
        <w:jc w:val="both"/>
        <w:rPr>
          <w:color w:val="000000" w:themeColor="text1"/>
        </w:rPr>
      </w:pPr>
    </w:p>
    <w:p w:rsidR="00927169" w:rsidRPr="002275E4" w:rsidRDefault="00DF3FAA" w:rsidP="00DF3FAA">
      <w:pPr>
        <w:pStyle w:val="Prrafodelista"/>
        <w:numPr>
          <w:ilvl w:val="0"/>
          <w:numId w:val="4"/>
        </w:numPr>
        <w:tabs>
          <w:tab w:val="left" w:pos="426"/>
        </w:tabs>
        <w:spacing w:after="0" w:line="240" w:lineRule="auto"/>
        <w:ind w:left="426" w:hanging="426"/>
        <w:jc w:val="both"/>
        <w:rPr>
          <w:color w:val="000000" w:themeColor="text1"/>
        </w:rPr>
      </w:pPr>
      <w:r w:rsidRPr="002275E4">
        <w:rPr>
          <w:color w:val="000000" w:themeColor="text1"/>
        </w:rPr>
        <w:t>Referencias bibliográficas (indicar todas las citadas)</w:t>
      </w:r>
    </w:p>
    <w:p w:rsidR="00DF3FAA" w:rsidRPr="002275E4" w:rsidRDefault="00DF3FAA" w:rsidP="00DF3FAA">
      <w:pPr>
        <w:tabs>
          <w:tab w:val="left" w:pos="426"/>
        </w:tabs>
        <w:spacing w:after="0" w:line="240" w:lineRule="auto"/>
        <w:ind w:firstLine="0"/>
        <w:jc w:val="both"/>
        <w:rPr>
          <w:color w:val="000000" w:themeColor="text1"/>
        </w:rPr>
      </w:pPr>
    </w:p>
    <w:p w:rsidR="00A919FB" w:rsidRPr="002275E4" w:rsidRDefault="00A919FB" w:rsidP="008F1F95">
      <w:pPr>
        <w:spacing w:after="0" w:line="240" w:lineRule="auto"/>
        <w:ind w:firstLine="0"/>
        <w:jc w:val="both"/>
        <w:rPr>
          <w:color w:val="000000" w:themeColor="text1"/>
        </w:rPr>
      </w:pPr>
    </w:p>
    <w:p w:rsidR="00A919FB" w:rsidRPr="002275E4" w:rsidRDefault="00A919FB" w:rsidP="008F1F95">
      <w:pPr>
        <w:spacing w:after="0" w:line="240" w:lineRule="auto"/>
        <w:ind w:firstLine="0"/>
        <w:jc w:val="both"/>
        <w:rPr>
          <w:color w:val="000000" w:themeColor="text1"/>
        </w:rPr>
      </w:pPr>
    </w:p>
    <w:sectPr w:rsidR="00A919FB" w:rsidRPr="002275E4" w:rsidSect="008F1F95">
      <w:headerReference w:type="default" r:id="rId8"/>
      <w:type w:val="evenPage"/>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81516" w:rsidRDefault="00781516" w:rsidP="00A00FF6">
      <w:pPr>
        <w:spacing w:after="0" w:line="240" w:lineRule="auto"/>
      </w:pPr>
      <w:r>
        <w:separator/>
      </w:r>
    </w:p>
  </w:endnote>
  <w:endnote w:type="continuationSeparator" w:id="0">
    <w:p w:rsidR="00781516" w:rsidRDefault="00781516" w:rsidP="00A00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81516" w:rsidRDefault="00781516" w:rsidP="00A00FF6">
      <w:pPr>
        <w:spacing w:after="0" w:line="240" w:lineRule="auto"/>
      </w:pPr>
      <w:r>
        <w:separator/>
      </w:r>
    </w:p>
  </w:footnote>
  <w:footnote w:type="continuationSeparator" w:id="0">
    <w:p w:rsidR="00781516" w:rsidRDefault="00781516" w:rsidP="00A00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1F95" w:rsidRPr="008F1F95" w:rsidRDefault="008F1F95" w:rsidP="008F1F95">
    <w:pPr>
      <w:pStyle w:val="Textoindependiente"/>
      <w:rPr>
        <w:rFonts w:asciiTheme="minorHAnsi" w:hAnsiTheme="minorHAnsi" w:cs="Arial"/>
        <w:sz w:val="18"/>
        <w:szCs w:val="20"/>
      </w:rPr>
    </w:pPr>
    <w:r w:rsidRPr="008F1F95">
      <w:rPr>
        <w:rFonts w:asciiTheme="minorHAnsi" w:hAnsiTheme="minorHAnsi" w:cs="Arial"/>
        <w:noProof/>
        <w:sz w:val="18"/>
        <w:szCs w:val="20"/>
      </w:rPr>
      <w:drawing>
        <wp:anchor distT="0" distB="0" distL="0" distR="0" simplePos="0" relativeHeight="251659264" behindDoc="0" locked="0" layoutInCell="1" allowOverlap="1" wp14:anchorId="1B91C9A0" wp14:editId="42F0C363">
          <wp:simplePos x="0" y="0"/>
          <wp:positionH relativeFrom="page">
            <wp:posOffset>1025101</wp:posOffset>
          </wp:positionH>
          <wp:positionV relativeFrom="paragraph">
            <wp:posOffset>-86783</wp:posOffset>
          </wp:positionV>
          <wp:extent cx="548640" cy="551687"/>
          <wp:effectExtent l="0" t="0" r="0" b="0"/>
          <wp:wrapNone/>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48640" cy="551687"/>
                  </a:xfrm>
                  <a:prstGeom prst="rect">
                    <a:avLst/>
                  </a:prstGeom>
                </pic:spPr>
              </pic:pic>
            </a:graphicData>
          </a:graphic>
        </wp:anchor>
      </w:drawing>
    </w:r>
  </w:p>
  <w:p w:rsidR="008F1F95" w:rsidRPr="008F1F95" w:rsidRDefault="008F1F95" w:rsidP="008F1F95">
    <w:pPr>
      <w:spacing w:after="0" w:line="240" w:lineRule="auto"/>
      <w:jc w:val="center"/>
      <w:rPr>
        <w:rFonts w:asciiTheme="minorHAnsi" w:hAnsiTheme="minorHAnsi" w:cs="Arial"/>
        <w:b/>
        <w:sz w:val="18"/>
        <w:szCs w:val="20"/>
      </w:rPr>
    </w:pPr>
    <w:r w:rsidRPr="008F1F95">
      <w:rPr>
        <w:rFonts w:asciiTheme="minorHAnsi" w:hAnsiTheme="minorHAnsi" w:cs="Arial"/>
        <w:b/>
        <w:sz w:val="18"/>
        <w:szCs w:val="20"/>
      </w:rPr>
      <w:t>UNIVERSIDAD</w:t>
    </w:r>
    <w:r w:rsidRPr="008F1F95">
      <w:rPr>
        <w:rFonts w:asciiTheme="minorHAnsi" w:hAnsiTheme="minorHAnsi" w:cs="Arial"/>
        <w:spacing w:val="-4"/>
        <w:sz w:val="18"/>
        <w:szCs w:val="20"/>
      </w:rPr>
      <w:t xml:space="preserve"> </w:t>
    </w:r>
    <w:r w:rsidRPr="008F1F95">
      <w:rPr>
        <w:rFonts w:asciiTheme="minorHAnsi" w:hAnsiTheme="minorHAnsi" w:cs="Arial"/>
        <w:b/>
        <w:sz w:val="18"/>
        <w:szCs w:val="20"/>
      </w:rPr>
      <w:t>NACIONAL</w:t>
    </w:r>
    <w:r w:rsidRPr="008F1F95">
      <w:rPr>
        <w:rFonts w:asciiTheme="minorHAnsi" w:hAnsiTheme="minorHAnsi" w:cs="Arial"/>
        <w:spacing w:val="-3"/>
        <w:sz w:val="18"/>
        <w:szCs w:val="20"/>
      </w:rPr>
      <w:t xml:space="preserve"> </w:t>
    </w:r>
    <w:r w:rsidRPr="008F1F95">
      <w:rPr>
        <w:rFonts w:asciiTheme="minorHAnsi" w:hAnsiTheme="minorHAnsi" w:cs="Arial"/>
        <w:b/>
        <w:sz w:val="18"/>
        <w:szCs w:val="20"/>
      </w:rPr>
      <w:t>DE</w:t>
    </w:r>
    <w:r w:rsidRPr="008F1F95">
      <w:rPr>
        <w:rFonts w:asciiTheme="minorHAnsi" w:hAnsiTheme="minorHAnsi" w:cs="Arial"/>
        <w:spacing w:val="-1"/>
        <w:sz w:val="18"/>
        <w:szCs w:val="20"/>
      </w:rPr>
      <w:t xml:space="preserve"> </w:t>
    </w:r>
    <w:r w:rsidRPr="008F1F95">
      <w:rPr>
        <w:rFonts w:asciiTheme="minorHAnsi" w:hAnsiTheme="minorHAnsi" w:cs="Arial"/>
        <w:b/>
        <w:spacing w:val="-4"/>
        <w:sz w:val="18"/>
        <w:szCs w:val="20"/>
      </w:rPr>
      <w:t>LOJA</w:t>
    </w:r>
  </w:p>
  <w:p w:rsidR="008F1F95" w:rsidRPr="008F1F95" w:rsidRDefault="008F1F95" w:rsidP="008F1F95">
    <w:pPr>
      <w:spacing w:after="0" w:line="240" w:lineRule="auto"/>
      <w:jc w:val="center"/>
      <w:rPr>
        <w:rFonts w:asciiTheme="minorHAnsi" w:hAnsiTheme="minorHAnsi" w:cs="Arial"/>
        <w:color w:val="000000" w:themeColor="text1"/>
        <w:spacing w:val="40"/>
        <w:sz w:val="18"/>
        <w:szCs w:val="20"/>
      </w:rPr>
    </w:pPr>
    <w:r w:rsidRPr="008F1F95">
      <w:rPr>
        <w:rFonts w:asciiTheme="minorHAnsi" w:hAnsiTheme="minorHAnsi" w:cs="Arial"/>
        <w:b/>
        <w:i/>
        <w:sz w:val="18"/>
        <w:szCs w:val="20"/>
      </w:rPr>
      <w:t>Carrera</w:t>
    </w:r>
    <w:r w:rsidRPr="008F1F95">
      <w:rPr>
        <w:rFonts w:asciiTheme="minorHAnsi" w:hAnsiTheme="minorHAnsi" w:cs="Arial"/>
        <w:spacing w:val="-10"/>
        <w:sz w:val="18"/>
        <w:szCs w:val="20"/>
      </w:rPr>
      <w:t xml:space="preserve"> </w:t>
    </w:r>
    <w:r w:rsidRPr="008F1F95">
      <w:rPr>
        <w:rFonts w:asciiTheme="minorHAnsi" w:hAnsiTheme="minorHAnsi" w:cs="Arial"/>
        <w:b/>
        <w:i/>
        <w:color w:val="000000" w:themeColor="text1"/>
        <w:sz w:val="18"/>
        <w:szCs w:val="20"/>
      </w:rPr>
      <w:t>de</w:t>
    </w:r>
    <w:r w:rsidRPr="008F1F95">
      <w:rPr>
        <w:rFonts w:asciiTheme="minorHAnsi" w:hAnsiTheme="minorHAnsi" w:cs="Arial"/>
        <w:color w:val="000000" w:themeColor="text1"/>
        <w:spacing w:val="-10"/>
        <w:sz w:val="18"/>
        <w:szCs w:val="20"/>
      </w:rPr>
      <w:t xml:space="preserve"> </w:t>
    </w:r>
    <w:r w:rsidRPr="008F1F95">
      <w:rPr>
        <w:rFonts w:asciiTheme="minorHAnsi" w:hAnsiTheme="minorHAnsi" w:cs="Arial"/>
        <w:b/>
        <w:i/>
        <w:color w:val="000000" w:themeColor="text1"/>
        <w:sz w:val="18"/>
        <w:szCs w:val="20"/>
      </w:rPr>
      <w:t>Economía</w:t>
    </w:r>
  </w:p>
  <w:p w:rsidR="008F1F95" w:rsidRPr="008F1F95" w:rsidRDefault="008F1F95" w:rsidP="008F1F95">
    <w:pPr>
      <w:spacing w:after="0" w:line="240" w:lineRule="auto"/>
      <w:jc w:val="center"/>
      <w:rPr>
        <w:rFonts w:asciiTheme="minorHAnsi" w:hAnsiTheme="minorHAnsi" w:cs="Arial"/>
        <w:color w:val="000000" w:themeColor="text1"/>
        <w:spacing w:val="40"/>
        <w:sz w:val="18"/>
        <w:szCs w:val="20"/>
      </w:rPr>
    </w:pPr>
    <w:r>
      <w:rPr>
        <w:rFonts w:asciiTheme="minorHAnsi" w:hAnsiTheme="minorHAnsi" w:cs="Arial"/>
        <w:b/>
        <w:color w:val="000000" w:themeColor="text1"/>
        <w:sz w:val="18"/>
        <w:szCs w:val="20"/>
      </w:rPr>
      <w:t>Desarrollo Económico</w:t>
    </w:r>
  </w:p>
  <w:p w:rsidR="008F1F95" w:rsidRPr="008F1F95" w:rsidRDefault="008F1F95" w:rsidP="008F1F95">
    <w:pPr>
      <w:spacing w:after="0" w:line="240" w:lineRule="auto"/>
      <w:jc w:val="center"/>
      <w:rPr>
        <w:rFonts w:asciiTheme="minorHAnsi" w:hAnsiTheme="minorHAnsi" w:cs="Arial"/>
        <w:b/>
        <w:i/>
        <w:color w:val="000000" w:themeColor="text1"/>
        <w:sz w:val="18"/>
        <w:szCs w:val="20"/>
      </w:rPr>
    </w:pPr>
    <w:r w:rsidRPr="008F1F95">
      <w:rPr>
        <w:rFonts w:asciiTheme="minorHAnsi" w:hAnsiTheme="minorHAnsi" w:cs="Arial"/>
        <w:b/>
        <w:i/>
        <w:color w:val="000000" w:themeColor="text1"/>
        <w:sz w:val="18"/>
        <w:szCs w:val="20"/>
      </w:rPr>
      <w:t>Quinto A</w:t>
    </w:r>
  </w:p>
  <w:p w:rsidR="008F1F95" w:rsidRPr="008F1F95" w:rsidRDefault="008F1F95" w:rsidP="008F1F95">
    <w:pPr>
      <w:spacing w:after="0" w:line="240" w:lineRule="auto"/>
      <w:jc w:val="center"/>
      <w:rPr>
        <w:rFonts w:asciiTheme="minorHAnsi" w:hAnsiTheme="minorHAnsi" w:cs="Arial"/>
        <w:b/>
        <w:color w:val="000000" w:themeColor="text1"/>
        <w:sz w:val="18"/>
        <w:szCs w:val="20"/>
      </w:rPr>
    </w:pPr>
    <w:r w:rsidRPr="008F1F95">
      <w:rPr>
        <w:rFonts w:asciiTheme="minorHAnsi" w:hAnsiTheme="minorHAnsi" w:cs="Arial"/>
        <w:b/>
        <w:color w:val="000000" w:themeColor="text1"/>
        <w:sz w:val="18"/>
        <w:szCs w:val="20"/>
      </w:rPr>
      <w:t>Unidad</w:t>
    </w:r>
    <w:r w:rsidRPr="008F1F95">
      <w:rPr>
        <w:rFonts w:asciiTheme="minorHAnsi" w:hAnsiTheme="minorHAnsi" w:cs="Arial"/>
        <w:color w:val="000000" w:themeColor="text1"/>
        <w:sz w:val="18"/>
        <w:szCs w:val="20"/>
      </w:rPr>
      <w:t xml:space="preserve"> </w:t>
    </w:r>
    <w:r w:rsidRPr="008F1F95">
      <w:rPr>
        <w:rFonts w:asciiTheme="minorHAnsi" w:hAnsiTheme="minorHAnsi" w:cs="Arial"/>
        <w:b/>
        <w:color w:val="000000" w:themeColor="text1"/>
        <w:sz w:val="18"/>
        <w:szCs w:val="20"/>
      </w:rPr>
      <w:t>2</w:t>
    </w:r>
  </w:p>
  <w:p w:rsidR="008F1F95" w:rsidRDefault="008F1F95" w:rsidP="00084989">
    <w:pPr>
      <w:spacing w:after="0" w:line="240" w:lineRule="auto"/>
      <w:jc w:val="center"/>
      <w:rPr>
        <w:rFonts w:asciiTheme="minorHAnsi" w:hAnsiTheme="minorHAnsi" w:cs="Arial"/>
        <w:b/>
        <w:sz w:val="18"/>
        <w:szCs w:val="20"/>
      </w:rPr>
    </w:pPr>
    <w:r>
      <w:rPr>
        <w:rFonts w:asciiTheme="minorHAnsi" w:hAnsiTheme="minorHAnsi" w:cs="Arial"/>
        <w:b/>
        <w:sz w:val="18"/>
        <w:szCs w:val="20"/>
      </w:rPr>
      <w:t>Marzo-</w:t>
    </w:r>
    <w:proofErr w:type="gramStart"/>
    <w:r>
      <w:rPr>
        <w:rFonts w:asciiTheme="minorHAnsi" w:hAnsiTheme="minorHAnsi" w:cs="Arial"/>
        <w:b/>
        <w:sz w:val="18"/>
        <w:szCs w:val="20"/>
      </w:rPr>
      <w:t>Septiembre</w:t>
    </w:r>
    <w:proofErr w:type="gramEnd"/>
    <w:r>
      <w:rPr>
        <w:rFonts w:asciiTheme="minorHAnsi" w:hAnsiTheme="minorHAnsi" w:cs="Arial"/>
        <w:b/>
        <w:sz w:val="18"/>
        <w:szCs w:val="20"/>
      </w:rPr>
      <w:t xml:space="preserve"> 202</w:t>
    </w:r>
    <w:r w:rsidR="008B46AE">
      <w:rPr>
        <w:rFonts w:asciiTheme="minorHAnsi" w:hAnsiTheme="minorHAnsi" w:cs="Arial"/>
        <w:b/>
        <w:sz w:val="18"/>
        <w:szCs w:val="20"/>
      </w:rPr>
      <w:t>6</w:t>
    </w:r>
  </w:p>
  <w:p w:rsidR="00DF3FAA" w:rsidRPr="00DF3FAA" w:rsidRDefault="00DF3FAA" w:rsidP="00DF3FAA">
    <w:pPr>
      <w:spacing w:after="0" w:line="240" w:lineRule="auto"/>
      <w:ind w:firstLine="5387"/>
      <w:jc w:val="both"/>
      <w:rPr>
        <w:rFonts w:asciiTheme="minorHAnsi" w:hAnsiTheme="minorHAnsi" w:cs="Arial"/>
        <w:i/>
        <w:sz w:val="18"/>
        <w:szCs w:val="20"/>
      </w:rPr>
    </w:pPr>
    <w:r>
      <w:rPr>
        <w:rFonts w:asciiTheme="minorHAnsi" w:hAnsiTheme="minorHAnsi" w:cs="Arial"/>
        <w:b/>
        <w:sz w:val="18"/>
        <w:szCs w:val="20"/>
      </w:rPr>
      <w:tab/>
    </w:r>
    <w:r>
      <w:rPr>
        <w:rFonts w:asciiTheme="minorHAnsi" w:hAnsiTheme="minorHAnsi" w:cs="Arial"/>
        <w:b/>
        <w:sz w:val="18"/>
        <w:szCs w:val="20"/>
      </w:rPr>
      <w:tab/>
    </w:r>
    <w:r>
      <w:rPr>
        <w:rFonts w:asciiTheme="minorHAnsi" w:hAnsiTheme="minorHAnsi" w:cs="Arial"/>
        <w:b/>
        <w:sz w:val="18"/>
        <w:szCs w:val="20"/>
      </w:rPr>
      <w:tab/>
    </w:r>
    <w:r w:rsidRPr="00DF3FAA">
      <w:rPr>
        <w:rFonts w:asciiTheme="minorHAnsi" w:hAnsiTheme="minorHAnsi" w:cs="Arial"/>
        <w:i/>
        <w:sz w:val="18"/>
        <w:szCs w:val="20"/>
      </w:rPr>
      <w:t>Docente: Johanna Alvarado</w:t>
    </w:r>
  </w:p>
  <w:p w:rsidR="00A00FF6" w:rsidRPr="00084989" w:rsidRDefault="008F1F95" w:rsidP="00084989">
    <w:pPr>
      <w:tabs>
        <w:tab w:val="left" w:pos="7455"/>
      </w:tabs>
      <w:spacing w:after="0" w:line="240" w:lineRule="auto"/>
      <w:rPr>
        <w:rFonts w:asciiTheme="minorHAnsi" w:hAnsiTheme="minorHAnsi" w:cs="Arial"/>
        <w:b/>
        <w:sz w:val="18"/>
        <w:szCs w:val="20"/>
      </w:rPr>
    </w:pPr>
    <w:r w:rsidRPr="008F1F95">
      <w:rPr>
        <w:rFonts w:asciiTheme="minorHAnsi" w:hAnsiTheme="minorHAnsi" w:cs="Arial"/>
        <w:b/>
        <w:spacing w:val="-2"/>
        <w:sz w:val="18"/>
        <w:szCs w:val="20"/>
      </w:rPr>
      <w:t xml:space="preserve">Nombre:                                                                                                                   Fecha: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2718B"/>
    <w:multiLevelType w:val="hybridMultilevel"/>
    <w:tmpl w:val="302458C2"/>
    <w:lvl w:ilvl="0" w:tplc="71B0F94E">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299C7130"/>
    <w:multiLevelType w:val="hybridMultilevel"/>
    <w:tmpl w:val="20B05368"/>
    <w:lvl w:ilvl="0" w:tplc="300A000F">
      <w:start w:val="1"/>
      <w:numFmt w:val="decimal"/>
      <w:lvlText w:val="%1."/>
      <w:lvlJc w:val="left"/>
      <w:pPr>
        <w:ind w:left="720" w:hanging="360"/>
      </w:pPr>
      <w:rPr>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306B36DB"/>
    <w:multiLevelType w:val="hybridMultilevel"/>
    <w:tmpl w:val="6D2A44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15E7C3B"/>
    <w:multiLevelType w:val="hybridMultilevel"/>
    <w:tmpl w:val="53AC694A"/>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608B1105"/>
    <w:multiLevelType w:val="hybridMultilevel"/>
    <w:tmpl w:val="20B05368"/>
    <w:lvl w:ilvl="0" w:tplc="300A000F">
      <w:start w:val="1"/>
      <w:numFmt w:val="decimal"/>
      <w:lvlText w:val="%1."/>
      <w:lvlJc w:val="left"/>
      <w:pPr>
        <w:ind w:left="720" w:hanging="360"/>
      </w:pPr>
      <w:rPr>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B394AAD"/>
    <w:multiLevelType w:val="hybridMultilevel"/>
    <w:tmpl w:val="C0D2BAAC"/>
    <w:lvl w:ilvl="0" w:tplc="0FB00FF8">
      <w:start w:val="1"/>
      <w:numFmt w:val="upperLetter"/>
      <w:lvlText w:val="%1."/>
      <w:lvlJc w:val="left"/>
      <w:pPr>
        <w:ind w:left="720" w:hanging="360"/>
      </w:pPr>
      <w:rPr>
        <w:rFonts w:ascii="Calibri" w:eastAsia="Calibri" w:hAnsi="Calibri" w:cs="Calibri" w:hint="default"/>
        <w:b/>
        <w:color w:val="000000" w:themeColor="text1"/>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26E353C"/>
    <w:multiLevelType w:val="hybridMultilevel"/>
    <w:tmpl w:val="20B05368"/>
    <w:lvl w:ilvl="0" w:tplc="300A000F">
      <w:start w:val="1"/>
      <w:numFmt w:val="decimal"/>
      <w:lvlText w:val="%1."/>
      <w:lvlJc w:val="left"/>
      <w:pPr>
        <w:ind w:left="720" w:hanging="360"/>
      </w:pPr>
      <w:rPr>
        <w:b/>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42F07E9"/>
    <w:multiLevelType w:val="hybridMultilevel"/>
    <w:tmpl w:val="7B6E9244"/>
    <w:lvl w:ilvl="0" w:tplc="996E92C8">
      <w:start w:val="1"/>
      <w:numFmt w:val="decimal"/>
      <w:lvlText w:val="%1."/>
      <w:lvlJc w:val="left"/>
      <w:pPr>
        <w:ind w:left="720" w:hanging="360"/>
      </w:pPr>
      <w:rPr>
        <w:rFonts w:ascii="Calibri" w:eastAsia="Calibri" w:hAnsi="Calibri" w:cs="Calibri" w:hint="default"/>
        <w:b/>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7747FD1"/>
    <w:multiLevelType w:val="hybridMultilevel"/>
    <w:tmpl w:val="03EA69B2"/>
    <w:lvl w:ilvl="0" w:tplc="45145FE0">
      <w:start w:val="1"/>
      <w:numFmt w:val="upperLetter"/>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9" w15:restartNumberingAfterBreak="0">
    <w:nsid w:val="7AFE314B"/>
    <w:multiLevelType w:val="hybridMultilevel"/>
    <w:tmpl w:val="421CA496"/>
    <w:lvl w:ilvl="0" w:tplc="9A146F98">
      <w:start w:val="1"/>
      <w:numFmt w:val="decimal"/>
      <w:lvlText w:val="%1."/>
      <w:lvlJc w:val="left"/>
      <w:pPr>
        <w:ind w:left="720" w:hanging="360"/>
      </w:pPr>
      <w:rPr>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8"/>
  </w:num>
  <w:num w:numId="5">
    <w:abstractNumId w:val="0"/>
  </w:num>
  <w:num w:numId="6">
    <w:abstractNumId w:val="9"/>
  </w:num>
  <w:num w:numId="7">
    <w:abstractNumId w:val="4"/>
  </w:num>
  <w:num w:numId="8">
    <w:abstractNumId w:val="3"/>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AA"/>
    <w:rsid w:val="000070FA"/>
    <w:rsid w:val="00084989"/>
    <w:rsid w:val="000D5390"/>
    <w:rsid w:val="00103EEF"/>
    <w:rsid w:val="001C0F5B"/>
    <w:rsid w:val="001E3AAB"/>
    <w:rsid w:val="002275E4"/>
    <w:rsid w:val="00281DC3"/>
    <w:rsid w:val="002C4AE2"/>
    <w:rsid w:val="0032135C"/>
    <w:rsid w:val="00361AC1"/>
    <w:rsid w:val="00373E1F"/>
    <w:rsid w:val="00387883"/>
    <w:rsid w:val="003A15AB"/>
    <w:rsid w:val="003B5EE0"/>
    <w:rsid w:val="003B7196"/>
    <w:rsid w:val="004200B5"/>
    <w:rsid w:val="00472913"/>
    <w:rsid w:val="005048EA"/>
    <w:rsid w:val="006836AA"/>
    <w:rsid w:val="006B23DB"/>
    <w:rsid w:val="0077482E"/>
    <w:rsid w:val="00781516"/>
    <w:rsid w:val="00797761"/>
    <w:rsid w:val="00821D8D"/>
    <w:rsid w:val="008B46AE"/>
    <w:rsid w:val="008F1F95"/>
    <w:rsid w:val="009078A6"/>
    <w:rsid w:val="00915E7D"/>
    <w:rsid w:val="00927169"/>
    <w:rsid w:val="00945C9C"/>
    <w:rsid w:val="00991A30"/>
    <w:rsid w:val="009A429C"/>
    <w:rsid w:val="009B14E3"/>
    <w:rsid w:val="009B6DFB"/>
    <w:rsid w:val="009C1E84"/>
    <w:rsid w:val="009E04E3"/>
    <w:rsid w:val="00A00FF6"/>
    <w:rsid w:val="00A77592"/>
    <w:rsid w:val="00A919FB"/>
    <w:rsid w:val="00B21002"/>
    <w:rsid w:val="00B25835"/>
    <w:rsid w:val="00B95FA8"/>
    <w:rsid w:val="00BC6B3F"/>
    <w:rsid w:val="00BE0179"/>
    <w:rsid w:val="00C075A7"/>
    <w:rsid w:val="00C26656"/>
    <w:rsid w:val="00C32ADE"/>
    <w:rsid w:val="00C71362"/>
    <w:rsid w:val="00CF3102"/>
    <w:rsid w:val="00D23723"/>
    <w:rsid w:val="00D7225A"/>
    <w:rsid w:val="00DF20A4"/>
    <w:rsid w:val="00DF3FAA"/>
    <w:rsid w:val="00F30E42"/>
    <w:rsid w:val="00F87917"/>
    <w:rsid w:val="00FC10C8"/>
    <w:rsid w:val="00FF625F"/>
    <w:rsid w:val="00FF74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DB13F"/>
  <w15:chartTrackingRefBased/>
  <w15:docId w15:val="{E9EE2E32-6FFD-46B0-923A-96A52B7A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3723"/>
    <w:pPr>
      <w:spacing w:line="480" w:lineRule="auto"/>
      <w:ind w:firstLine="720"/>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836AA"/>
    <w:rPr>
      <w:color w:val="0563C1" w:themeColor="hyperlink"/>
      <w:u w:val="single"/>
    </w:rPr>
  </w:style>
  <w:style w:type="character" w:styleId="Mencinsinresolver">
    <w:name w:val="Unresolved Mention"/>
    <w:basedOn w:val="Fuentedeprrafopredeter"/>
    <w:uiPriority w:val="99"/>
    <w:semiHidden/>
    <w:unhideWhenUsed/>
    <w:rsid w:val="006836AA"/>
    <w:rPr>
      <w:color w:val="605E5C"/>
      <w:shd w:val="clear" w:color="auto" w:fill="E1DFDD"/>
    </w:rPr>
  </w:style>
  <w:style w:type="paragraph" w:styleId="Prrafodelista">
    <w:name w:val="List Paragraph"/>
    <w:basedOn w:val="Normal"/>
    <w:uiPriority w:val="34"/>
    <w:qFormat/>
    <w:rsid w:val="00BE0179"/>
    <w:pPr>
      <w:ind w:left="720"/>
      <w:contextualSpacing/>
    </w:pPr>
  </w:style>
  <w:style w:type="paragraph" w:styleId="Encabezado">
    <w:name w:val="header"/>
    <w:basedOn w:val="Normal"/>
    <w:link w:val="EncabezadoCar"/>
    <w:uiPriority w:val="99"/>
    <w:unhideWhenUsed/>
    <w:rsid w:val="00A00F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0FF6"/>
    <w:rPr>
      <w:rFonts w:ascii="Times New Roman" w:hAnsi="Times New Roman"/>
      <w:sz w:val="24"/>
    </w:rPr>
  </w:style>
  <w:style w:type="paragraph" w:styleId="Piedepgina">
    <w:name w:val="footer"/>
    <w:basedOn w:val="Normal"/>
    <w:link w:val="PiedepginaCar"/>
    <w:uiPriority w:val="99"/>
    <w:unhideWhenUsed/>
    <w:rsid w:val="00A00F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0FF6"/>
    <w:rPr>
      <w:rFonts w:ascii="Times New Roman" w:hAnsi="Times New Roman"/>
      <w:sz w:val="24"/>
    </w:rPr>
  </w:style>
  <w:style w:type="paragraph" w:styleId="Textoindependiente">
    <w:name w:val="Body Text"/>
    <w:basedOn w:val="Normal"/>
    <w:link w:val="TextoindependienteCar"/>
    <w:uiPriority w:val="1"/>
    <w:qFormat/>
    <w:rsid w:val="008F1F95"/>
    <w:pPr>
      <w:widowControl w:val="0"/>
      <w:autoSpaceDE w:val="0"/>
      <w:autoSpaceDN w:val="0"/>
      <w:spacing w:after="0" w:line="240" w:lineRule="auto"/>
      <w:ind w:firstLine="0"/>
    </w:pPr>
    <w:rPr>
      <w:rFonts w:eastAsia="Times New Roman" w:cs="Times New Roman"/>
      <w:sz w:val="22"/>
      <w:lang w:val="es-ES"/>
    </w:rPr>
  </w:style>
  <w:style w:type="character" w:customStyle="1" w:styleId="TextoindependienteCar">
    <w:name w:val="Texto independiente Car"/>
    <w:basedOn w:val="Fuentedeprrafopredeter"/>
    <w:link w:val="Textoindependiente"/>
    <w:uiPriority w:val="1"/>
    <w:rsid w:val="008F1F95"/>
    <w:rPr>
      <w:rFonts w:ascii="Times New Roman" w:eastAsia="Times New Roman" w:hAnsi="Times New Roman" w:cs="Times New Roman"/>
      <w:lang w:val="es-ES"/>
    </w:rPr>
  </w:style>
  <w:style w:type="paragraph" w:styleId="Ttulo">
    <w:name w:val="Title"/>
    <w:basedOn w:val="Normal"/>
    <w:link w:val="TtuloCar"/>
    <w:uiPriority w:val="10"/>
    <w:qFormat/>
    <w:rsid w:val="008F1F95"/>
    <w:pPr>
      <w:widowControl w:val="0"/>
      <w:autoSpaceDE w:val="0"/>
      <w:autoSpaceDN w:val="0"/>
      <w:spacing w:after="0" w:line="275" w:lineRule="exact"/>
      <w:ind w:left="3976" w:firstLine="0"/>
    </w:pPr>
    <w:rPr>
      <w:rFonts w:eastAsia="Times New Roman" w:cs="Times New Roman"/>
      <w:b/>
      <w:bCs/>
      <w:szCs w:val="24"/>
      <w:lang w:val="es-ES"/>
    </w:rPr>
  </w:style>
  <w:style w:type="character" w:customStyle="1" w:styleId="TtuloCar">
    <w:name w:val="Título Car"/>
    <w:basedOn w:val="Fuentedeprrafopredeter"/>
    <w:link w:val="Ttulo"/>
    <w:uiPriority w:val="10"/>
    <w:rsid w:val="008F1F95"/>
    <w:rPr>
      <w:rFonts w:ascii="Times New Roman" w:eastAsia="Times New Roman" w:hAnsi="Times New Roman" w:cs="Times New Roman"/>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81202">
      <w:bodyDiv w:val="1"/>
      <w:marLeft w:val="0"/>
      <w:marRight w:val="0"/>
      <w:marTop w:val="0"/>
      <w:marBottom w:val="0"/>
      <w:divBdr>
        <w:top w:val="none" w:sz="0" w:space="0" w:color="auto"/>
        <w:left w:val="none" w:sz="0" w:space="0" w:color="auto"/>
        <w:bottom w:val="none" w:sz="0" w:space="0" w:color="auto"/>
        <w:right w:val="none" w:sz="0" w:space="0" w:color="auto"/>
      </w:divBdr>
    </w:div>
    <w:div w:id="80199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7A37A-6D70-433F-917F-2E0B25494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3</Pages>
  <Words>499</Words>
  <Characters>2750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dc:creator>
  <cp:keywords/>
  <dc:description/>
  <cp:lastModifiedBy>Johanna Magaly Alvarado Espejo</cp:lastModifiedBy>
  <cp:revision>12</cp:revision>
  <dcterms:created xsi:type="dcterms:W3CDTF">2024-06-15T13:18:00Z</dcterms:created>
  <dcterms:modified xsi:type="dcterms:W3CDTF">2026-06-05T22:37:00Z</dcterms:modified>
</cp:coreProperties>
</file>