
<file path=[Content_Types].xml><?xml version="1.0" encoding="utf-8"?>
<Types xmlns="http://schemas.openxmlformats.org/package/2006/content-types">
  <Default Extension="xlsx" ContentType="application/vnd.openxmlformats-officedocument.spreadsheetml.sheet"/>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charts/chart4.xml" ContentType="application/vnd.openxmlformats-officedocument.drawingml.chart+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charts/chart5.xml" ContentType="application/vnd.openxmlformats-officedocument.drawingml.chart+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charts/chart3.xml" ContentType="application/vnd.openxmlformats-officedocument.drawingml.chart+xml"/>
  <Override PartName="/word/charts/chart2.xml" ContentType="application/vnd.openxmlformats-officedocument.drawingml.chart+xml"/>
  <Override PartName="/word/charts/chart1.xml" ContentType="application/vnd.openxmlformats-officedocument.drawingml.chart+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BED3E1E">
      <w:pPr>
        <w:pBdr/>
        <w:spacing w:after="240" w:before="0" w:line="360" w:lineRule="auto"/>
        <w:ind/>
        <w:jc w:val="left"/>
        <w:rPr>
          <w:rFonts w:ascii="Times New Roman" w:hAnsi="Times New Roman" w:cs="Times New Roman"/>
          <w:b/>
          <w:bCs/>
          <w:sz w:val="24"/>
          <w:szCs w:val="24"/>
          <w:highlight w:val="none"/>
        </w:rPr>
      </w:pPr>
      <w:r>
        <w:rPr>
          <w:rFonts w:ascii="Times New Roman" w:hAnsi="Times New Roman"/>
          <w:b/>
          <w:i w:val="0"/>
          <w:sz w:val="24"/>
        </w:rPr>
        <w:t xml:space="preserve">1. Título</w:t>
      </w:r>
      <w:r>
        <w:rPr>
          <w:rFonts w:ascii="Times New Roman" w:hAnsi="Times New Roman" w:cs="Times New Roman"/>
          <w:b/>
          <w:bCs/>
          <w:sz w:val="24"/>
          <w:szCs w:val="24"/>
          <w:highlight w:val="none"/>
        </w:rPr>
      </w:r>
    </w:p>
    <w:p>
      <w:pPr>
        <w:pBdr/>
        <w:spacing w:after="240" w:before="0" w:line="360" w:lineRule="auto"/>
        <w:ind w:firstLine="720"/>
        <w:jc w:val="both"/>
        <w:rPr>
          <w:rFonts w:ascii="Times New Roman" w:hAnsi="Times New Roman" w:cs="Times New Roman"/>
          <w:b/>
          <w:bCs/>
          <w:sz w:val="24"/>
          <w:szCs w:val="24"/>
          <w:highlight w:val="none"/>
        </w:rPr>
      </w:pPr>
      <w:r>
        <w:rPr>
          <w:rFonts w:ascii="Times New Roman" w:hAnsi="Times New Roman"/>
          <w:b/>
          <w:sz w:val="24"/>
          <w:szCs w:val="24"/>
        </w:rPr>
        <w:t xml:space="preserve">Corea del Sur (1980</w:t>
      </w:r>
      <w:r>
        <w:rPr>
          <w:rFonts w:ascii="Times New Roman" w:hAnsi="Times New Roman"/>
          <w:b/>
          <w:sz w:val="24"/>
          <w:szCs w:val="24"/>
        </w:rPr>
        <w:t xml:space="preserve">-</w:t>
      </w:r>
      <w:r>
        <w:rPr>
          <w:rFonts w:ascii="Times New Roman" w:hAnsi="Times New Roman"/>
          <w:b/>
          <w:sz w:val="24"/>
          <w:szCs w:val="24"/>
        </w:rPr>
        <w:t xml:space="preserve">2020): crecimiento económico, transformación estructural y desarrollo desde la teoría de la modernización y el enfoque estructuralista</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240" w:before="0" w:line="360" w:lineRule="auto"/>
        <w:ind w:firstLine="720"/>
        <w:jc w:val="both"/>
        <w:rPr>
          <w:rFonts w:ascii="Times New Roman" w:hAnsi="Times New Roman" w:cs="Times New Roman"/>
          <w:sz w:val="24"/>
          <w:szCs w:val="24"/>
          <w:highlight w:val="none"/>
        </w:rPr>
      </w:pPr>
      <w:r>
        <w:rPr>
          <w:rFonts w:ascii="Times New Roman" w:hAnsi="Times New Roman"/>
          <w:sz w:val="24"/>
          <w:szCs w:val="24"/>
        </w:rPr>
        <w:t xml:space="preserve">La trayectoria macroeconómica de Corea del Sur (1980-2020) constituye uno de los laboratorios empíricos más riguro</w:t>
      </w:r>
      <w:r>
        <w:rPr>
          <w:rFonts w:ascii="Times New Roman" w:hAnsi="Times New Roman"/>
          <w:sz w:val="24"/>
          <w:szCs w:val="24"/>
        </w:rPr>
        <w:t xml:space="preserve">sos para el análisis del desarrollo económico contemporáneo. Durante este periodo, la nación experimentó una metamorfosis estructural que permite diseccionar los mecanismos de transición desde el subdesarrollo hacia la frontera tecnológica global. La prese</w:t>
      </w:r>
      <w:r>
        <w:rPr>
          <w:rFonts w:ascii="Times New Roman" w:hAnsi="Times New Roman"/>
          <w:sz w:val="24"/>
          <w:szCs w:val="24"/>
        </w:rPr>
        <w:t xml:space="preserve">nte auditoría tiene como propósito contrastar la evidencia fáctica con los postulados de la Teoría de la Modernización y el Enfoque Estructuralista, identificando la convergencia entre la acumulación de factores y la transformación de la matriz productiva.</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spacing w:after="240" w:before="0" w:line="360" w:lineRule="auto"/>
        <w:ind w:left="0"/>
        <w:jc w:val="left"/>
        <w:rPr>
          <w:rFonts w:ascii="Times New Roman" w:hAnsi="Times New Roman" w:cs="Times New Roman"/>
          <w:b/>
          <w:sz w:val="24"/>
          <w:szCs w:val="24"/>
        </w:rPr>
      </w:pPr>
      <w:r>
        <w:rPr>
          <w:rFonts w:ascii="Times New Roman" w:hAnsi="Times New Roman"/>
          <w:b/>
          <w:i w:val="0"/>
          <w:sz w:val="24"/>
        </w:rPr>
        <w:t xml:space="preserve">2. Bloque de modernización</w:t>
      </w:r>
      <w:r>
        <w:rPr>
          <w:rFonts w:ascii="Times New Roman" w:hAnsi="Times New Roman" w:cs="Times New Roman"/>
          <w:b/>
          <w:sz w:val="24"/>
          <w:szCs w:val="24"/>
        </w:rPr>
      </w:r>
    </w:p>
    <w:p>
      <w:pPr>
        <w:pBdr/>
        <w:spacing w:after="240" w:before="0" w:line="360" w:lineRule="auto"/>
        <w:ind w:firstLine="720"/>
        <w:jc w:val="both"/>
        <w:rPr>
          <w:rFonts w:ascii="Times New Roman" w:hAnsi="Times New Roman" w:cs="Times New Roman"/>
          <w:sz w:val="24"/>
          <w:szCs w:val="24"/>
        </w:rPr>
      </w:pPr>
      <w:r>
        <w:rPr>
          <w:rFonts w:ascii="Times New Roman" w:hAnsi="Times New Roman"/>
          <w:sz w:val="24"/>
          <w:szCs w:val="24"/>
        </w:rPr>
        <w:t xml:space="preserve">La teoría de la modernización sostiene que el desarrollo sigue trayectorias progresivas caracterizadas por acumulación, industrialización y mejoras en capital humano. Bajo este marco, la experiencia surcoreana muestra importantes elemento</w:t>
      </w:r>
      <w:r>
        <w:rPr>
          <w:rFonts w:ascii="Times New Roman" w:hAnsi="Times New Roman"/>
          <w:sz w:val="24"/>
          <w:szCs w:val="24"/>
        </w:rPr>
        <w:t xml:space="preserve">s compatibles con dicho modelo.</w:t>
      </w:r>
      <w:r>
        <w:rPr>
          <w:rFonts w:ascii="Times New Roman" w:hAnsi="Times New Roman" w:cs="Times New Roman"/>
          <w:sz w:val="24"/>
          <w:szCs w:val="24"/>
        </w:rPr>
      </w:r>
      <w:r>
        <w:rPr>
          <w:rFonts w:ascii="Times New Roman" w:hAnsi="Times New Roman" w:cs="Times New Roman"/>
          <w:sz w:val="24"/>
          <w:szCs w:val="24"/>
        </w:rPr>
      </w:r>
    </w:p>
    <w:p>
      <w:pPr>
        <w:pBdr/>
        <w:spacing w:after="240" w:before="0" w:line="360" w:lineRule="auto"/>
        <w:ind/>
        <w:jc w:val="left"/>
        <w:rPr>
          <w:rFonts w:ascii="Times New Roman" w:hAnsi="Times New Roman" w:cs="Times New Roman"/>
          <w:b/>
          <w:bCs/>
          <w:sz w:val="24"/>
          <w:szCs w:val="24"/>
          <w:highlight w:val="none"/>
        </w:rPr>
      </w:pPr>
      <w:r>
        <w:rPr>
          <w:rFonts w:ascii="Times New Roman" w:hAnsi="Times New Roman"/>
          <w:b/>
          <w:i w:val="0"/>
          <w:sz w:val="24"/>
        </w:rPr>
        <w:t xml:space="preserve">2.1. Crecimiento sostenido del ingreso y acumulación</w:t>
      </w:r>
      <w:r>
        <w:rPr>
          <w:rFonts w:ascii="Times New Roman" w:hAnsi="Times New Roman" w:cs="Times New Roman"/>
          <w:b/>
          <w:bCs/>
          <w:sz w:val="24"/>
          <w:szCs w:val="24"/>
          <w:highlight w:val="none"/>
        </w:rPr>
      </w:r>
    </w:p>
    <w:p>
      <w:pPr>
        <w:pBdr/>
        <w:spacing w:after="0" w:before="0" w:line="360" w:lineRule="auto"/>
        <w:ind/>
        <w:jc w:val="left"/>
        <w:rPr>
          <w:rFonts w:ascii="Times New Roman" w:hAnsi="Times New Roman" w:cs="Times New Roman"/>
          <w:sz w:val="24"/>
          <w:szCs w:val="24"/>
        </w:rPr>
      </w:pPr>
      <w:r>
        <w:rPr>
          <w:rFonts w:ascii="Times New Roman" w:hAnsi="Times New Roman"/>
          <w:b/>
          <w:i w:val="0"/>
          <w:sz w:val="24"/>
        </w:rPr>
        <w:t xml:space="preserve">Figura 1</w:t>
      </w:r>
      <w:r>
        <w:rPr>
          <w:rFonts w:ascii="Times New Roman" w:hAnsi="Times New Roman" w:cs="Times New Roman"/>
          <w:sz w:val="24"/>
          <w:szCs w:val="24"/>
        </w:rPr>
      </w:r>
    </w:p>
    <w:p>
      <w:pPr>
        <w:pBdr/>
        <w:spacing w:after="240" w:before="0" w:line="360" w:lineRule="auto"/>
        <w:ind w:firstLine="720"/>
        <w:jc w:val="left"/>
        <w:rPr>
          <w:rFonts w:ascii="Times New Roman" w:hAnsi="Times New Roman" w:cs="Times New Roman"/>
          <w:i/>
          <w:sz w:val="24"/>
          <w:szCs w:val="24"/>
        </w:rPr>
      </w:pPr>
      <w:r>
        <w:rPr>
          <w:rFonts w:ascii="Times New Roman" w:hAnsi="Times New Roman"/>
          <w:b w:val="0"/>
          <w:i/>
          <w:sz w:val="24"/>
        </w:rPr>
        <w:t xml:space="preserve">Evolución del PIB per cápita de Corea del Sur (1980-2020)</w:t>
      </w:r>
      <w:r>
        <w:rPr>
          <w:rFonts w:ascii="Times New Roman" w:hAnsi="Times New Roman" w:cs="Times New Roman"/>
          <w:i/>
          <w:sz w:val="24"/>
          <w:szCs w:val="24"/>
        </w:rPr>
      </w:r>
    </w:p>
    <w:p>
      <w:pPr>
        <w:pBdr/>
        <w:spacing w:after="240" w:before="0" w:line="360" w:lineRule="auto"/>
        <w:ind/>
        <w:jc w:val="both"/>
        <w:rPr>
          <w:rFonts w:ascii="Times New Roman" w:hAnsi="Times New Roman" w:cs="Times New Roman"/>
          <w:sz w:val="24"/>
          <w:szCs w:val="24"/>
        </w:rPr>
      </w:pPr>
      <w:r>
        <w:rPr>
          <w:rFonts w:ascii="Times New Roman" w:hAnsi="Times New Roman"/>
          <w:sz w:val="24"/>
          <w:szCs w:val="24"/>
          <w:lang w:val="es-EC" w:eastAsia="es-EC"/>
        </w:rPr>
        <w:drawing>
          <wp:inline distT="0" distB="0" distL="0" distR="0">
            <wp:extent cx="4597740" cy="2203334"/>
            <wp:effectExtent l="0" t="0" r="0" b="0"/>
            <wp:docPr id="3"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Pr>
          <w:rFonts w:ascii="Times New Roman" w:hAnsi="Times New Roman" w:cs="Times New Roman"/>
          <w:sz w:val="24"/>
          <w:szCs w:val="24"/>
        </w:rPr>
      </w:r>
      <w:r>
        <w:rPr>
          <w:rFonts w:ascii="Times New Roman" w:hAnsi="Times New Roman" w:cs="Times New Roman"/>
          <w:sz w:val="24"/>
          <w:szCs w:val="24"/>
        </w:rPr>
      </w:r>
    </w:p>
    <w:p>
      <w:pPr>
        <w:pBdr/>
        <w:spacing w:after="240" w:before="0" w:line="360" w:lineRule="auto"/>
        <w:ind w:firstLine="720"/>
        <w:jc w:val="both"/>
        <w:rPr>
          <w:rFonts w:ascii="Times New Roman" w:hAnsi="Times New Roman" w:cs="Times New Roman"/>
          <w:sz w:val="24"/>
          <w:szCs w:val="24"/>
        </w:rPr>
      </w:pPr>
      <w:r>
        <w:rPr>
          <w:rFonts w:ascii="Times New Roman" w:hAnsi="Times New Roman"/>
          <w:sz w:val="24"/>
          <w:szCs w:val="24"/>
        </w:rPr>
        <w:t xml:space="preserve">La evolución del PIB per cápita en Corea del Sur refleja una tendencia ascendente resiliente, capaz de absorber choques financieros sistémicos sin comprometer la senda de co</w:t>
      </w:r>
      <w:r>
        <w:rPr>
          <w:rFonts w:ascii="Times New Roman" w:hAnsi="Times New Roman"/>
          <w:sz w:val="24"/>
          <w:szCs w:val="24"/>
        </w:rPr>
        <w:t xml:space="preserve">nvergencia de largo plazo. Bajo la tesis de Ray (1998), esta expansión responde a una acumulación virtuosa donde el capital físico y humano operan sincrónicamente para elevar la Productividad Total de los Factores (PTF). La inversión extranjera, si bien re</w:t>
      </w:r>
      <w:r>
        <w:rPr>
          <w:rFonts w:ascii="Times New Roman" w:hAnsi="Times New Roman"/>
          <w:sz w:val="24"/>
          <w:szCs w:val="24"/>
        </w:rPr>
        <w:t xml:space="preserve">levante, complementó una estrategia doméstica soberana basada en la planificación estratégica y el fortalecimiento de las capacidades productivas internas, matizando la visión ortodoxa de que el desarrollo emerge únicamente de la inercia del libre mercado.</w:t>
      </w:r>
      <w:r>
        <w:rPr>
          <w:rFonts w:ascii="Times New Roman" w:hAnsi="Times New Roman" w:cs="Times New Roman"/>
          <w:sz w:val="24"/>
          <w:szCs w:val="24"/>
        </w:rPr>
      </w:r>
      <w:r>
        <w:rPr>
          <w:rFonts w:ascii="Times New Roman" w:hAnsi="Times New Roman" w:cs="Times New Roman"/>
          <w:sz w:val="24"/>
          <w:szCs w:val="24"/>
        </w:rPr>
      </w:r>
    </w:p>
    <w:p>
      <w:pPr>
        <w:pBdr/>
        <w:spacing w:after="240" w:before="0" w:line="360" w:lineRule="auto"/>
        <w:ind/>
        <w:jc w:val="left"/>
        <w:rPr>
          <w:rFonts w:ascii="Times New Roman" w:hAnsi="Times New Roman" w:cs="Times New Roman"/>
          <w:b/>
          <w:sz w:val="24"/>
          <w:szCs w:val="24"/>
        </w:rPr>
      </w:pPr>
      <w:r>
        <w:rPr>
          <w:rFonts w:ascii="Times New Roman" w:hAnsi="Times New Roman"/>
          <w:b/>
          <w:i w:val="0"/>
          <w:sz w:val="24"/>
        </w:rPr>
        <w:t xml:space="preserve">2.2. Inversión como motor del desarrollo</w:t>
      </w:r>
      <w:r>
        <w:rPr>
          <w:rFonts w:ascii="Times New Roman" w:hAnsi="Times New Roman" w:cs="Times New Roman"/>
          <w:b/>
          <w:sz w:val="24"/>
          <w:szCs w:val="24"/>
        </w:rPr>
      </w:r>
    </w:p>
    <w:p>
      <w:pPr>
        <w:pBdr/>
        <w:spacing w:after="0" w:before="0" w:line="360" w:lineRule="auto"/>
        <w:ind/>
        <w:jc w:val="left"/>
        <w:rPr>
          <w:rFonts w:ascii="Times New Roman" w:hAnsi="Times New Roman" w:cs="Times New Roman"/>
          <w:sz w:val="24"/>
          <w:szCs w:val="24"/>
        </w:rPr>
      </w:pPr>
      <w:r>
        <w:rPr>
          <w:rFonts w:ascii="Times New Roman" w:hAnsi="Times New Roman"/>
          <w:b/>
          <w:i w:val="0"/>
          <w:sz w:val="24"/>
        </w:rPr>
        <w:t xml:space="preserve">Figura 2</w:t>
      </w:r>
      <w:r>
        <w:rPr>
          <w:rFonts w:ascii="Times New Roman" w:hAnsi="Times New Roman" w:cs="Times New Roman"/>
          <w:sz w:val="24"/>
          <w:szCs w:val="24"/>
        </w:rPr>
      </w:r>
    </w:p>
    <w:p>
      <w:pPr>
        <w:pBdr/>
        <w:spacing w:after="240" w:before="0" w:line="360" w:lineRule="auto"/>
        <w:ind w:firstLine="720"/>
        <w:jc w:val="left"/>
        <w:rPr>
          <w:rFonts w:ascii="Times New Roman" w:hAnsi="Times New Roman" w:cs="Times New Roman"/>
          <w:i/>
          <w:sz w:val="24"/>
          <w:szCs w:val="24"/>
        </w:rPr>
      </w:pPr>
      <w:r>
        <w:rPr>
          <w:rFonts w:ascii="Times New Roman" w:hAnsi="Times New Roman"/>
          <w:b w:val="0"/>
          <w:i/>
          <w:sz w:val="24"/>
        </w:rPr>
        <w:t xml:space="preserve">Formación bruta de capital e inversión extranjera como porcentaje del PIB (1980-2020)</w:t>
      </w:r>
      <w:r>
        <w:rPr>
          <w:rFonts w:ascii="Times New Roman" w:hAnsi="Times New Roman" w:cs="Times New Roman"/>
          <w:i/>
          <w:sz w:val="24"/>
          <w:szCs w:val="24"/>
        </w:rPr>
      </w:r>
    </w:p>
    <w:p>
      <w:pPr>
        <w:pBdr/>
        <w:spacing w:after="240" w:before="0" w:line="360" w:lineRule="auto"/>
        <w:ind/>
        <w:jc w:val="center"/>
        <w:rPr>
          <w:rFonts w:ascii="Times New Roman" w:hAnsi="Times New Roman" w:cs="Times New Roman"/>
          <w:sz w:val="24"/>
          <w:szCs w:val="24"/>
        </w:rPr>
      </w:pPr>
      <w:r>
        <w:rPr>
          <w:rFonts w:ascii="Times New Roman" w:hAnsi="Times New Roman"/>
          <w:sz w:val="24"/>
          <w:szCs w:val="24"/>
          <w:lang w:val="es-EC" w:eastAsia="es-EC"/>
        </w:rPr>
        <w:drawing>
          <wp:inline distT="0" distB="0" distL="0" distR="0">
            <wp:extent cx="4974782" cy="2353650"/>
            <wp:effectExtent l="0" t="0" r="0" b="0"/>
            <wp:docPr id="4"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Pr>
          <w:rFonts w:ascii="Times New Roman" w:hAnsi="Times New Roman" w:cs="Times New Roman"/>
          <w:sz w:val="24"/>
          <w:szCs w:val="24"/>
        </w:rPr>
      </w:r>
      <w:r>
        <w:rPr>
          <w:rFonts w:ascii="Times New Roman" w:hAnsi="Times New Roman" w:cs="Times New Roman"/>
          <w:sz w:val="24"/>
          <w:szCs w:val="24"/>
        </w:rPr>
      </w:r>
    </w:p>
    <w:p>
      <w:pPr>
        <w:pBdr/>
        <w:spacing w:after="240" w:before="0" w:line="360" w:lineRule="auto"/>
        <w:ind w:firstLine="720"/>
        <w:jc w:val="both"/>
        <w:rPr>
          <w:rFonts w:ascii="Times New Roman" w:hAnsi="Times New Roman" w:cs="Times New Roman"/>
          <w:sz w:val="24"/>
          <w:szCs w:val="24"/>
        </w:rPr>
      </w:pPr>
      <w:r>
        <w:rPr>
          <w:rFonts w:ascii="Times New Roman" w:hAnsi="Times New Roman"/>
          <w:sz w:val="24"/>
          <w:szCs w:val="24"/>
        </w:rPr>
        <w:t xml:space="preserve">La elevada participación de la inversión en el producto interno bruto constituye un pilar estructural de l</w:t>
      </w:r>
      <w:r>
        <w:rPr>
          <w:rFonts w:ascii="Times New Roman" w:hAnsi="Times New Roman"/>
          <w:sz w:val="24"/>
          <w:szCs w:val="24"/>
        </w:rPr>
        <w:t xml:space="preserve">a trayectoria modernizadora surcoreana. La formación bruta de capital mantuvo niveles elevados, favoreciendo el upgrading tecnológico y la sofisticación industrial sostenida. Desde esta óptica, la acumulación de capital no fue un fin en sí mismo, sino la c</w:t>
      </w:r>
      <w:r>
        <w:rPr>
          <w:rFonts w:ascii="Times New Roman" w:hAnsi="Times New Roman"/>
          <w:sz w:val="24"/>
          <w:szCs w:val="24"/>
        </w:rPr>
        <w:t xml:space="preserve">ondición necesaria para la captura de rentas de innovación. La Inversión Extranjera Directa (IED) operó como un mecanismo estratégico de transferencia tecnológica, integrándose funcionalmente a los objetivos nacionales de desarrollo y soberanía productiva.</w:t>
      </w:r>
      <w:r>
        <w:rPr>
          <w:rFonts w:ascii="Times New Roman" w:hAnsi="Times New Roman" w:cs="Times New Roman"/>
          <w:sz w:val="24"/>
          <w:szCs w:val="24"/>
        </w:rPr>
      </w:r>
      <w:r>
        <w:rPr>
          <w:rFonts w:ascii="Times New Roman" w:hAnsi="Times New Roman" w:cs="Times New Roman"/>
          <w:sz w:val="24"/>
          <w:szCs w:val="24"/>
        </w:rPr>
      </w:r>
    </w:p>
    <w:p>
      <w:pPr>
        <w:pBdr/>
        <w:spacing w:after="240" w:before="0" w:line="360" w:lineRule="auto"/>
        <w:ind/>
        <w:jc w:val="left"/>
        <w:rPr>
          <w:rFonts w:ascii="Times New Roman" w:hAnsi="Times New Roman" w:cs="Times New Roman"/>
          <w:b/>
          <w:sz w:val="24"/>
          <w:szCs w:val="24"/>
        </w:rPr>
      </w:pPr>
      <w:r>
        <w:rPr>
          <w:rFonts w:ascii="Times New Roman" w:hAnsi="Times New Roman"/>
          <w:b/>
          <w:i w:val="0"/>
          <w:sz w:val="24"/>
        </w:rPr>
        <w:t xml:space="preserve">2.3. Capital humano y transformación del empleo</w:t>
      </w:r>
      <w:r>
        <w:rPr>
          <w:rFonts w:ascii="Times New Roman" w:hAnsi="Times New Roman" w:cs="Times New Roman"/>
          <w:b/>
          <w:sz w:val="24"/>
          <w:szCs w:val="24"/>
        </w:rPr>
      </w:r>
    </w:p>
    <w:p>
      <w:pPr>
        <w:pBdr/>
        <w:spacing w:after="0" w:before="0" w:line="360" w:lineRule="auto"/>
        <w:ind/>
        <w:jc w:val="left"/>
        <w:rPr>
          <w:rFonts w:ascii="Times New Roman" w:hAnsi="Times New Roman" w:cs="Times New Roman"/>
          <w:sz w:val="24"/>
          <w:szCs w:val="24"/>
        </w:rPr>
      </w:pPr>
      <w:r>
        <w:rPr>
          <w:rFonts w:ascii="Times New Roman" w:hAnsi="Times New Roman"/>
          <w:b/>
          <w:i w:val="0"/>
          <w:sz w:val="24"/>
        </w:rPr>
        <w:t xml:space="preserve">Figura 3</w:t>
      </w:r>
      <w:r>
        <w:rPr>
          <w:rFonts w:ascii="Times New Roman" w:hAnsi="Times New Roman" w:cs="Times New Roman"/>
          <w:sz w:val="24"/>
          <w:szCs w:val="24"/>
        </w:rPr>
      </w:r>
    </w:p>
    <w:p>
      <w:pPr>
        <w:pBdr/>
        <w:spacing w:after="240" w:before="0" w:line="360" w:lineRule="auto"/>
        <w:ind/>
        <w:jc w:val="left"/>
        <w:rPr>
          <w:rFonts w:ascii="Times New Roman" w:hAnsi="Times New Roman" w:cs="Times New Roman"/>
          <w:i/>
          <w:sz w:val="24"/>
          <w:szCs w:val="24"/>
        </w:rPr>
      </w:pPr>
      <w:r>
        <w:rPr>
          <w:rFonts w:ascii="Times New Roman" w:hAnsi="Times New Roman"/>
          <w:b w:val="0"/>
          <w:i/>
          <w:sz w:val="24"/>
        </w:rPr>
        <w:t xml:space="preserve">Evolución del capital humano y empleo (1980-2020)</w:t>
      </w:r>
      <w:r>
        <w:rPr>
          <w:rFonts w:ascii="Times New Roman" w:hAnsi="Times New Roman" w:cs="Times New Roman"/>
          <w:i/>
          <w:sz w:val="24"/>
          <w:szCs w:val="24"/>
        </w:rPr>
      </w:r>
    </w:p>
    <w:p>
      <w:pPr>
        <w:pBdr/>
        <w:spacing w:after="240" w:before="0" w:line="360" w:lineRule="auto"/>
        <w:ind/>
        <w:jc w:val="center"/>
        <w:rPr>
          <w:rFonts w:ascii="Times New Roman" w:hAnsi="Times New Roman" w:cs="Times New Roman"/>
          <w:sz w:val="24"/>
          <w:szCs w:val="24"/>
        </w:rPr>
      </w:pPr>
      <w:r>
        <w:rPr>
          <w:rFonts w:ascii="Times New Roman" w:hAnsi="Times New Roman"/>
          <w:sz w:val="24"/>
          <w:szCs w:val="24"/>
          <w:lang w:val="es-EC" w:eastAsia="es-EC"/>
        </w:rPr>
        <w:drawing>
          <wp:inline distT="0" distB="0" distL="0" distR="0">
            <wp:extent cx="4931115" cy="2427767"/>
            <wp:effectExtent l="0" t="0" r="0" b="0"/>
            <wp:docPr id="5"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Pr>
          <w:rFonts w:ascii="Times New Roman" w:hAnsi="Times New Roman" w:cs="Times New Roman"/>
          <w:sz w:val="24"/>
          <w:szCs w:val="24"/>
        </w:rPr>
      </w:r>
      <w:r>
        <w:rPr>
          <w:rFonts w:ascii="Times New Roman" w:hAnsi="Times New Roman" w:cs="Times New Roman"/>
          <w:sz w:val="24"/>
          <w:szCs w:val="24"/>
        </w:rPr>
      </w:r>
    </w:p>
    <w:p>
      <w:pPr>
        <w:pBdr/>
        <w:spacing w:after="240" w:before="0" w:line="360" w:lineRule="auto"/>
        <w:ind w:firstLine="720"/>
        <w:jc w:val="both"/>
        <w:rPr>
          <w:rFonts w:ascii="Times New Roman" w:hAnsi="Times New Roman" w:cs="Times New Roman"/>
          <w:sz w:val="24"/>
          <w:szCs w:val="24"/>
        </w:rPr>
      </w:pPr>
      <w:r>
        <w:rPr>
          <w:rFonts w:ascii="Times New Roman" w:hAnsi="Times New Roman"/>
          <w:sz w:val="24"/>
          <w:szCs w:val="24"/>
        </w:rPr>
        <w:t xml:space="preserve">La piedra angular del proceso coreano radica en la expansión cualitativa del capital humano median</w:t>
      </w:r>
      <w:r>
        <w:rPr>
          <w:rFonts w:ascii="Times New Roman" w:hAnsi="Times New Roman"/>
          <w:sz w:val="24"/>
          <w:szCs w:val="24"/>
        </w:rPr>
        <w:t xml:space="preserve">te una inversión pública masiva y sostenida en educación y formación técnica. Esta metamorfosis facilitó el tránsito desde actividades intensivas en mano de obra hacia sectores de alta tecnología, validando la importancia de la calidad poblacional en la tr</w:t>
      </w:r>
      <w:r>
        <w:rPr>
          <w:rFonts w:ascii="Times New Roman" w:hAnsi="Times New Roman"/>
          <w:sz w:val="24"/>
          <w:szCs w:val="24"/>
        </w:rPr>
        <w:t xml:space="preserve">ansición estructural. Como documenta Amsden (1989), esta dinámica no fue un subproducto espontáneo del crecimiento, sino el resultado de políticas institucionales deliberadas orientadas a la creación de capacidades endógenas y la sofisticación ocupacional.</w:t>
      </w:r>
      <w:r>
        <w:rPr>
          <w:rFonts w:ascii="Times New Roman" w:hAnsi="Times New Roman" w:cs="Times New Roman"/>
          <w:sz w:val="24"/>
          <w:szCs w:val="24"/>
        </w:rPr>
      </w:r>
      <w:r>
        <w:rPr>
          <w:rFonts w:ascii="Times New Roman" w:hAnsi="Times New Roman" w:cs="Times New Roman"/>
          <w:sz w:val="24"/>
          <w:szCs w:val="24"/>
        </w:rPr>
      </w:r>
    </w:p>
    <w:p>
      <w:pPr>
        <w:pBdr/>
        <w:spacing w:after="240" w:before="0" w:line="360" w:lineRule="auto"/>
        <w:ind/>
        <w:jc w:val="left"/>
        <w:rPr>
          <w:rFonts w:ascii="Times New Roman" w:hAnsi="Times New Roman" w:cs="Times New Roman"/>
          <w:b/>
          <w:sz w:val="24"/>
          <w:szCs w:val="24"/>
        </w:rPr>
      </w:pPr>
      <w:r>
        <w:rPr>
          <w:rFonts w:ascii="Times New Roman" w:hAnsi="Times New Roman"/>
          <w:b/>
          <w:i w:val="0"/>
          <w:sz w:val="24"/>
        </w:rPr>
        <w:t xml:space="preserve">3. Conclusión parcial</w:t>
      </w:r>
      <w:r>
        <w:rPr>
          <w:rFonts w:ascii="Times New Roman" w:hAnsi="Times New Roman" w:cs="Times New Roman"/>
          <w:b/>
          <w:sz w:val="24"/>
          <w:szCs w:val="24"/>
        </w:rPr>
      </w:r>
    </w:p>
    <w:p>
      <w:pPr>
        <w:pBdr/>
        <w:spacing w:after="240" w:before="0" w:line="360" w:lineRule="auto"/>
        <w:ind w:firstLine="720"/>
        <w:jc w:val="both"/>
        <w:rPr>
          <w:rFonts w:ascii="Times New Roman" w:hAnsi="Times New Roman" w:cs="Times New Roman"/>
          <w:sz w:val="24"/>
          <w:szCs w:val="24"/>
        </w:rPr>
      </w:pPr>
      <w:r>
        <w:rPr>
          <w:rFonts w:ascii="Times New Roman" w:hAnsi="Times New Roman"/>
          <w:sz w:val="24"/>
          <w:szCs w:val="24"/>
        </w:rPr>
        <w:t xml:space="preserve">En síntes</w:t>
      </w:r>
      <w:r>
        <w:rPr>
          <w:rFonts w:ascii="Times New Roman" w:hAnsi="Times New Roman"/>
          <w:sz w:val="24"/>
          <w:szCs w:val="24"/>
        </w:rPr>
        <w:t xml:space="preserve">is, la evidencia confirma una trayectoria consistente con las etapas del crecimiento económico postuladas por la modernización: convergencia de ingresos, inversión intensiva y fortalecimiento del capital humano. Sin embargo, el éxito surcoreano trasciende </w:t>
      </w:r>
      <w:r>
        <w:rPr>
          <w:rFonts w:ascii="Times New Roman" w:hAnsi="Times New Roman"/>
          <w:sz w:val="24"/>
          <w:szCs w:val="24"/>
        </w:rPr>
        <w:t xml:space="preserve">la mera acumulación de factores; representa una estrategia dirigida que exige integrar dimensiones estructurales e institucionales para su comprensión total, revelando que la evolución de mercado fue impulsada por una gobernanza estatal activa y eficiente.</w:t>
      </w:r>
      <w:r>
        <w:rPr>
          <w:rFonts w:ascii="Times New Roman" w:hAnsi="Times New Roman" w:cs="Times New Roman"/>
          <w:sz w:val="24"/>
          <w:szCs w:val="24"/>
        </w:rPr>
      </w:r>
      <w:r>
        <w:rPr>
          <w:rFonts w:ascii="Times New Roman" w:hAnsi="Times New Roman" w:cs="Times New Roman"/>
          <w:sz w:val="24"/>
          <w:szCs w:val="24"/>
        </w:rPr>
      </w:r>
    </w:p>
    <w:p>
      <w:pPr>
        <w:pBdr/>
        <w:spacing w:after="240" w:before="0" w:line="360" w:lineRule="auto"/>
        <w:ind/>
        <w:jc w:val="left"/>
        <w:rPr>
          <w:rFonts w:ascii="Times New Roman" w:hAnsi="Times New Roman" w:cs="Times New Roman"/>
          <w:b/>
          <w:sz w:val="24"/>
          <w:szCs w:val="24"/>
        </w:rPr>
      </w:pPr>
      <w:r>
        <w:rPr>
          <w:rFonts w:ascii="Times New Roman" w:hAnsi="Times New Roman"/>
          <w:b/>
          <w:i w:val="0"/>
          <w:sz w:val="24"/>
        </w:rPr>
        <w:t xml:space="preserve">4. Bloque estructuralista</w:t>
      </w:r>
      <w:r>
        <w:rPr>
          <w:rFonts w:ascii="Times New Roman" w:hAnsi="Times New Roman" w:cs="Times New Roman"/>
          <w:b/>
          <w:sz w:val="24"/>
          <w:szCs w:val="24"/>
        </w:rPr>
      </w:r>
    </w:p>
    <w:p>
      <w:pPr>
        <w:pBdr/>
        <w:spacing w:after="240" w:before="0" w:line="360" w:lineRule="auto"/>
        <w:ind w:firstLine="720"/>
        <w:jc w:val="both"/>
        <w:rPr>
          <w:rFonts w:ascii="Times New Roman" w:hAnsi="Times New Roman" w:cs="Times New Roman"/>
          <w:sz w:val="24"/>
          <w:szCs w:val="24"/>
        </w:rPr>
      </w:pPr>
      <w:r>
        <w:rPr>
          <w:rFonts w:ascii="Times New Roman" w:hAnsi="Times New Roman"/>
          <w:sz w:val="24"/>
          <w:szCs w:val="24"/>
        </w:rPr>
        <w:t xml:space="preserve">Desde la analítica estructuralista, el interrogante medular trasciende el crecimiento agregado para enfocarse en la transformación de la matriz</w:t>
      </w:r>
      <w:r>
        <w:rPr>
          <w:rFonts w:ascii="Times New Roman" w:hAnsi="Times New Roman"/>
          <w:sz w:val="24"/>
          <w:szCs w:val="24"/>
        </w:rPr>
        <w:t xml:space="preserve"> productiva y la ruptura de la asimetría centro-periferia. El desarrollo se define aquí por la capacidad del sistema económico para reconfigurar su patrón de inserción internacional y reducir la vulnerabilidad externa mediante el progreso técnico endógeno.</w:t>
      </w:r>
      <w:r>
        <w:rPr>
          <w:rFonts w:ascii="Times New Roman" w:hAnsi="Times New Roman" w:cs="Times New Roman"/>
          <w:sz w:val="24"/>
          <w:szCs w:val="24"/>
        </w:rPr>
      </w:r>
      <w:r>
        <w:rPr>
          <w:rFonts w:ascii="Times New Roman" w:hAnsi="Times New Roman" w:cs="Times New Roman"/>
          <w:sz w:val="24"/>
          <w:szCs w:val="24"/>
        </w:rPr>
      </w:r>
    </w:p>
    <w:p>
      <w:pPr>
        <w:pBdr/>
        <w:spacing w:after="240" w:before="0" w:line="360" w:lineRule="auto"/>
        <w:ind/>
        <w:jc w:val="left"/>
        <w:rPr>
          <w:rFonts w:ascii="Times New Roman" w:hAnsi="Times New Roman" w:cs="Times New Roman"/>
          <w:b/>
          <w:sz w:val="24"/>
          <w:szCs w:val="24"/>
        </w:rPr>
      </w:pPr>
      <w:r>
        <w:rPr>
          <w:rFonts w:ascii="Times New Roman" w:hAnsi="Times New Roman"/>
          <w:b/>
          <w:i w:val="0"/>
          <w:sz w:val="24"/>
        </w:rPr>
        <w:t xml:space="preserve">4.1. Transformación de la estructura exportadora</w:t>
      </w:r>
      <w:r>
        <w:rPr>
          <w:rFonts w:ascii="Times New Roman" w:hAnsi="Times New Roman" w:cs="Times New Roman"/>
          <w:b/>
          <w:sz w:val="24"/>
          <w:szCs w:val="24"/>
        </w:rPr>
      </w:r>
    </w:p>
    <w:p>
      <w:pPr>
        <w:pBdr/>
        <w:spacing w:after="0" w:before="0" w:line="360" w:lineRule="auto"/>
        <w:ind/>
        <w:jc w:val="left"/>
        <w:rPr>
          <w:rFonts w:ascii="Times New Roman" w:hAnsi="Times New Roman" w:cs="Times New Roman"/>
          <w:sz w:val="24"/>
          <w:szCs w:val="24"/>
        </w:rPr>
      </w:pPr>
      <w:r>
        <w:rPr>
          <w:rFonts w:ascii="Times New Roman" w:hAnsi="Times New Roman"/>
          <w:b/>
          <w:i w:val="0"/>
          <w:sz w:val="24"/>
        </w:rPr>
        <w:t xml:space="preserve">Figura 4</w:t>
      </w:r>
      <w:r>
        <w:rPr>
          <w:rFonts w:ascii="Times New Roman" w:hAnsi="Times New Roman" w:cs="Times New Roman"/>
          <w:sz w:val="24"/>
          <w:szCs w:val="24"/>
        </w:rPr>
      </w:r>
    </w:p>
    <w:p>
      <w:pPr>
        <w:pBdr/>
        <w:spacing w:after="240" w:before="0" w:line="360" w:lineRule="auto"/>
        <w:ind w:firstLine="720"/>
        <w:jc w:val="left"/>
        <w:rPr>
          <w:rFonts w:ascii="Times New Roman" w:hAnsi="Times New Roman" w:cs="Times New Roman"/>
          <w:i/>
          <w:sz w:val="24"/>
          <w:szCs w:val="24"/>
        </w:rPr>
      </w:pPr>
      <w:r>
        <w:rPr>
          <w:rFonts w:ascii="Times New Roman" w:hAnsi="Times New Roman"/>
          <w:b w:val="0"/>
          <w:i/>
          <w:sz w:val="24"/>
        </w:rPr>
        <w:t xml:space="preserve">Evolución de las exportaciones manufactureras (1980-2020)</w:t>
      </w:r>
      <w:r>
        <w:rPr>
          <w:rFonts w:ascii="Times New Roman" w:hAnsi="Times New Roman" w:cs="Times New Roman"/>
          <w:i/>
          <w:sz w:val="24"/>
          <w:szCs w:val="24"/>
        </w:rPr>
      </w:r>
    </w:p>
    <w:p>
      <w:pPr>
        <w:pBdr/>
        <w:spacing w:after="240" w:before="0" w:line="360" w:lineRule="auto"/>
        <w:ind/>
        <w:jc w:val="both"/>
        <w:rPr>
          <w:rFonts w:ascii="Times New Roman" w:hAnsi="Times New Roman" w:cs="Times New Roman"/>
          <w:sz w:val="24"/>
          <w:szCs w:val="24"/>
        </w:rPr>
      </w:pPr>
      <w:r>
        <w:rPr>
          <w:rFonts w:ascii="Times New Roman" w:hAnsi="Times New Roman"/>
          <w:sz w:val="24"/>
          <w:szCs w:val="24"/>
          <w:lang w:val="es-EC" w:eastAsia="es-EC"/>
        </w:rPr>
        <w:drawing>
          <wp:inline distT="0" distB="0" distL="0" distR="0">
            <wp:extent cx="5391150" cy="2876550"/>
            <wp:effectExtent l="0" t="0" r="0" b="0"/>
            <wp:docPr id="6"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rFonts w:ascii="Times New Roman" w:hAnsi="Times New Roman" w:cs="Times New Roman"/>
          <w:sz w:val="24"/>
          <w:szCs w:val="24"/>
        </w:rPr>
      </w:r>
      <w:r>
        <w:rPr>
          <w:rFonts w:ascii="Times New Roman" w:hAnsi="Times New Roman" w:cs="Times New Roman"/>
          <w:sz w:val="24"/>
          <w:szCs w:val="24"/>
        </w:rPr>
      </w:r>
    </w:p>
    <w:p>
      <w:pPr>
        <w:pBdr/>
        <w:spacing w:after="240" w:before="0" w:line="360" w:lineRule="auto"/>
        <w:ind w:firstLine="720"/>
        <w:jc w:val="both"/>
        <w:rPr>
          <w:rFonts w:ascii="Times New Roman" w:hAnsi="Times New Roman" w:cs="Times New Roman"/>
          <w:sz w:val="24"/>
          <w:szCs w:val="24"/>
        </w:rPr>
      </w:pPr>
      <w:r>
        <w:rPr>
          <w:rFonts w:ascii="Times New Roman" w:hAnsi="Times New Roman"/>
          <w:sz w:val="24"/>
          <w:szCs w:val="24"/>
        </w:rPr>
        <w:t xml:space="preserve">La composición exportadora de Corea del Sur evidencia una transición profunda hacia manufacturas complejas y tecnología avanzada, consolidando u</w:t>
      </w:r>
      <w:r>
        <w:rPr>
          <w:rFonts w:ascii="Times New Roman" w:hAnsi="Times New Roman"/>
          <w:sz w:val="24"/>
          <w:szCs w:val="24"/>
        </w:rPr>
        <w:t xml:space="preserve">n patrón de inserción internacional basado en el valor agregado dinámico. Este cambio constituye la superación de las ventajas comparativas estáticas en favor de ventajas competitivas sustentadas en la innovación. Al modificar su arquitectura comercial, la</w:t>
      </w:r>
      <w:r>
        <w:rPr>
          <w:rFonts w:ascii="Times New Roman" w:hAnsi="Times New Roman"/>
          <w:sz w:val="24"/>
          <w:szCs w:val="24"/>
        </w:rPr>
        <w:t xml:space="preserve"> nación logró neutralizar las restricciones estructurales del subdesarrollo asociadas a la especialización primaria, validando las intuiciones de Prebisch (1950) sobre la necesidad de transformar la estructura productiva para alcanzar la convergencia real.</w:t>
      </w:r>
      <w:r>
        <w:rPr>
          <w:rFonts w:ascii="Times New Roman" w:hAnsi="Times New Roman" w:cs="Times New Roman"/>
          <w:sz w:val="24"/>
          <w:szCs w:val="24"/>
        </w:rPr>
      </w:r>
      <w:r>
        <w:rPr>
          <w:rFonts w:ascii="Times New Roman" w:hAnsi="Times New Roman" w:cs="Times New Roman"/>
          <w:sz w:val="24"/>
          <w:szCs w:val="24"/>
        </w:rPr>
      </w:r>
    </w:p>
    <w:p>
      <w:pPr>
        <w:pBdr/>
        <w:spacing w:after="240" w:before="0" w:line="360" w:lineRule="auto"/>
        <w:ind/>
        <w:jc w:val="left"/>
        <w:rPr>
          <w:rFonts w:ascii="Times New Roman" w:hAnsi="Times New Roman" w:cs="Times New Roman"/>
          <w:b/>
          <w:sz w:val="24"/>
          <w:szCs w:val="24"/>
        </w:rPr>
      </w:pPr>
      <w:r>
        <w:rPr>
          <w:rFonts w:ascii="Times New Roman" w:hAnsi="Times New Roman"/>
          <w:b/>
          <w:i w:val="0"/>
          <w:sz w:val="24"/>
        </w:rPr>
        <w:t xml:space="preserve">4.2. Industrialización y cambio estructural</w:t>
      </w:r>
      <w:r>
        <w:rPr>
          <w:rFonts w:ascii="Times New Roman" w:hAnsi="Times New Roman" w:cs="Times New Roman"/>
          <w:b/>
          <w:sz w:val="24"/>
          <w:szCs w:val="24"/>
        </w:rPr>
      </w:r>
    </w:p>
    <w:p>
      <w:pPr>
        <w:pBdr/>
        <w:spacing w:after="0" w:before="0" w:line="360" w:lineRule="auto"/>
        <w:ind/>
        <w:jc w:val="left"/>
        <w:rPr>
          <w:rFonts w:ascii="Times New Roman" w:hAnsi="Times New Roman" w:cs="Times New Roman"/>
          <w:sz w:val="24"/>
          <w:szCs w:val="24"/>
        </w:rPr>
      </w:pPr>
      <w:r>
        <w:rPr>
          <w:rFonts w:ascii="Times New Roman" w:hAnsi="Times New Roman"/>
          <w:b/>
          <w:i w:val="0"/>
          <w:sz w:val="24"/>
        </w:rPr>
        <w:t xml:space="preserve">Figura 5</w:t>
      </w:r>
      <w:r>
        <w:rPr>
          <w:rFonts w:ascii="Times New Roman" w:hAnsi="Times New Roman" w:cs="Times New Roman"/>
          <w:sz w:val="24"/>
          <w:szCs w:val="24"/>
        </w:rPr>
      </w:r>
    </w:p>
    <w:p>
      <w:pPr>
        <w:pBdr/>
        <w:spacing w:after="240" w:before="0" w:line="360" w:lineRule="auto"/>
        <w:ind w:firstLine="720"/>
        <w:jc w:val="left"/>
        <w:rPr>
          <w:rFonts w:ascii="Times New Roman" w:hAnsi="Times New Roman" w:cs="Times New Roman"/>
          <w:i/>
          <w:sz w:val="24"/>
          <w:szCs w:val="24"/>
        </w:rPr>
      </w:pPr>
      <w:r>
        <w:rPr>
          <w:rFonts w:ascii="Times New Roman" w:hAnsi="Times New Roman"/>
          <w:b w:val="0"/>
          <w:i/>
          <w:sz w:val="24"/>
        </w:rPr>
        <w:t xml:space="preserve">Participación industrial y términos de intercambio (1980-2020)</w:t>
      </w:r>
      <w:r>
        <w:rPr>
          <w:rFonts w:ascii="Times New Roman" w:hAnsi="Times New Roman" w:cs="Times New Roman"/>
          <w:i/>
          <w:sz w:val="24"/>
          <w:szCs w:val="24"/>
        </w:rPr>
      </w:r>
    </w:p>
    <w:p>
      <w:pPr>
        <w:pBdr/>
        <w:spacing w:after="240" w:before="0" w:line="360" w:lineRule="auto"/>
        <w:ind/>
        <w:jc w:val="center"/>
        <w:rPr>
          <w:rFonts w:ascii="Times New Roman" w:hAnsi="Times New Roman" w:cs="Times New Roman"/>
          <w:sz w:val="24"/>
          <w:szCs w:val="24"/>
        </w:rPr>
      </w:pPr>
      <w:r>
        <w:rPr>
          <w:rFonts w:ascii="Times New Roman" w:hAnsi="Times New Roman"/>
          <w:sz w:val="24"/>
          <w:szCs w:val="24"/>
          <w:lang w:val="es-EC" w:eastAsia="es-EC"/>
        </w:rPr>
        <w:drawing>
          <wp:inline distT="0" distB="0" distL="0" distR="0">
            <wp:extent cx="4807290" cy="2366784"/>
            <wp:effectExtent l="0" t="0" r="0" b="0"/>
            <wp:docPr id="7"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Pr>
          <w:rFonts w:ascii="Times New Roman" w:hAnsi="Times New Roman" w:cs="Times New Roman"/>
          <w:sz w:val="24"/>
          <w:szCs w:val="24"/>
        </w:rPr>
      </w:r>
      <w:r>
        <w:rPr>
          <w:rFonts w:ascii="Times New Roman" w:hAnsi="Times New Roman" w:cs="Times New Roman"/>
          <w:sz w:val="24"/>
          <w:szCs w:val="24"/>
        </w:rPr>
      </w:r>
    </w:p>
    <w:p>
      <w:pPr>
        <w:pBdr/>
        <w:spacing w:after="240" w:before="0" w:line="360" w:lineRule="auto"/>
        <w:ind w:firstLine="720"/>
        <w:jc w:val="both"/>
        <w:rPr>
          <w:rFonts w:ascii="Times New Roman" w:hAnsi="Times New Roman" w:cs="Times New Roman"/>
          <w:sz w:val="24"/>
          <w:szCs w:val="24"/>
        </w:rPr>
      </w:pPr>
      <w:r>
        <w:rPr>
          <w:rFonts w:ascii="Times New Roman" w:hAnsi="Times New Roman"/>
          <w:sz w:val="24"/>
          <w:szCs w:val="24"/>
        </w:rPr>
        <w:t xml:space="preserve">La densidad del sector industrial operó como el motor de la productividad y el epicentro del cambio técnico en la economía coreana. La industrialización no fue una expansión inercial, sino un proc</w:t>
      </w:r>
      <w:r>
        <w:rPr>
          <w:rFonts w:ascii="Times New Roman" w:hAnsi="Times New Roman"/>
          <w:sz w:val="24"/>
          <w:szCs w:val="24"/>
        </w:rPr>
        <w:t xml:space="preserve">eso de reconfiguración hacia sectores con alta elasticidad-ingreso de la demanda mundial, lo que permitió una mejora sostenida en los términos de intercambio. Esta transformación fue mediada por políticas industriales selectivas y un aprendizaje tecnológic</w:t>
      </w:r>
      <w:r>
        <w:rPr>
          <w:rFonts w:ascii="Times New Roman" w:hAnsi="Times New Roman"/>
          <w:sz w:val="24"/>
          <w:szCs w:val="24"/>
        </w:rPr>
        <w:t xml:space="preserve">o coordinado entre el Estado y los conglomerados nacionales. El caso surcoreano refuerza la premisa estructuralista: el cambio estructural deliberado es la única vía para superar la heterogeneidad productiva y fortalecer la posición externa de la economía.</w:t>
      </w:r>
      <w:r>
        <w:rPr>
          <w:rFonts w:ascii="Times New Roman" w:hAnsi="Times New Roman" w:cs="Times New Roman"/>
          <w:sz w:val="24"/>
          <w:szCs w:val="24"/>
        </w:rPr>
      </w:r>
      <w:r>
        <w:rPr>
          <w:rFonts w:ascii="Times New Roman" w:hAnsi="Times New Roman" w:cs="Times New Roman"/>
          <w:sz w:val="24"/>
          <w:szCs w:val="24"/>
        </w:rPr>
      </w:r>
    </w:p>
    <w:p>
      <w:pPr>
        <w:pBdr/>
        <w:spacing w:after="240" w:before="0" w:line="360" w:lineRule="auto"/>
        <w:ind/>
        <w:jc w:val="left"/>
        <w:rPr>
          <w:rFonts w:ascii="Times New Roman" w:hAnsi="Times New Roman" w:cs="Times New Roman"/>
          <w:b/>
          <w:sz w:val="24"/>
          <w:szCs w:val="24"/>
        </w:rPr>
      </w:pPr>
      <w:r>
        <w:rPr>
          <w:rFonts w:ascii="Times New Roman" w:hAnsi="Times New Roman"/>
          <w:b/>
          <w:i w:val="0"/>
          <w:sz w:val="24"/>
        </w:rPr>
        <w:t xml:space="preserve">4.3. Dependencia externa y autonomía tecnológica</w:t>
      </w:r>
      <w:r>
        <w:rPr>
          <w:rFonts w:ascii="Times New Roman" w:hAnsi="Times New Roman" w:cs="Times New Roman"/>
          <w:b/>
          <w:sz w:val="24"/>
          <w:szCs w:val="24"/>
        </w:rPr>
      </w:r>
    </w:p>
    <w:p>
      <w:pPr>
        <w:pBdr/>
        <w:spacing w:after="240" w:before="0" w:line="360" w:lineRule="auto"/>
        <w:ind w:firstLine="720"/>
        <w:jc w:val="both"/>
        <w:rPr>
          <w:rFonts w:ascii="Times New Roman" w:hAnsi="Times New Roman" w:cs="Times New Roman"/>
          <w:sz w:val="24"/>
          <w:szCs w:val="24"/>
        </w:rPr>
      </w:pPr>
      <w:r>
        <w:rPr>
          <w:rFonts w:ascii="Times New Roman" w:hAnsi="Times New Roman"/>
          <w:sz w:val="24"/>
          <w:szCs w:val="24"/>
        </w:rPr>
        <w:t xml:space="preserve">La transición desde la imitación industrial hacia la innovación endógena refleja un avance </w:t>
      </w:r>
      <w:r>
        <w:rPr>
          <w:rFonts w:ascii="Times New Roman" w:hAnsi="Times New Roman"/>
          <w:sz w:val="24"/>
          <w:szCs w:val="24"/>
        </w:rPr>
        <w:t xml:space="preserve">significativo hacia la autonomía tecnológica y productiva. Este desacoplamiento de la dependencia tecnológica pasiva diferencia a Corea de otros modelos de crecimiento periférico subordinado, permitiéndole una inserción competitiva y no subordinada en las </w:t>
      </w:r>
      <w:r>
        <w:rPr>
          <w:rFonts w:ascii="Times New Roman" w:hAnsi="Times New Roman"/>
          <w:sz w:val="24"/>
          <w:szCs w:val="24"/>
        </w:rPr>
        <w:t xml:space="preserve">cadenas globales de valor. Aunque persistieron los vínculos con los mercados globales, la posición de Corea evolucionó hacia una interdependencia estratégica sustentada en capacidades de innovación propias y un control soberano sobre los procesos técnicos.</w:t>
      </w:r>
      <w:r>
        <w:rPr>
          <w:rFonts w:ascii="Times New Roman" w:hAnsi="Times New Roman" w:cs="Times New Roman"/>
          <w:sz w:val="24"/>
          <w:szCs w:val="24"/>
        </w:rPr>
      </w:r>
      <w:r>
        <w:rPr>
          <w:rFonts w:ascii="Times New Roman" w:hAnsi="Times New Roman" w:cs="Times New Roman"/>
          <w:sz w:val="24"/>
          <w:szCs w:val="24"/>
        </w:rPr>
      </w:r>
    </w:p>
    <w:p>
      <w:pPr>
        <w:pBdr/>
        <w:spacing w:after="240" w:before="0" w:line="360" w:lineRule="auto"/>
        <w:ind w:left="0"/>
        <w:jc w:val="left"/>
        <w:rPr>
          <w:rFonts w:ascii="Times New Roman" w:hAnsi="Times New Roman" w:cs="Times New Roman"/>
          <w:b/>
          <w:sz w:val="24"/>
          <w:szCs w:val="24"/>
        </w:rPr>
      </w:pPr>
      <w:r>
        <w:rPr>
          <w:rFonts w:ascii="Times New Roman" w:hAnsi="Times New Roman"/>
          <w:b/>
          <w:i w:val="0"/>
          <w:sz w:val="24"/>
        </w:rPr>
        <w:t xml:space="preserve">5. Conclusión parcial</w:t>
      </w:r>
      <w:r>
        <w:rPr>
          <w:rFonts w:ascii="Times New Roman" w:hAnsi="Times New Roman" w:cs="Times New Roman"/>
          <w:b/>
          <w:sz w:val="24"/>
          <w:szCs w:val="24"/>
        </w:rPr>
      </w:r>
    </w:p>
    <w:p>
      <w:pPr>
        <w:pBdr/>
        <w:spacing w:after="240" w:before="0" w:line="360" w:lineRule="auto"/>
        <w:ind w:firstLine="720"/>
        <w:jc w:val="both"/>
        <w:rPr>
          <w:rFonts w:ascii="Times New Roman" w:hAnsi="Times New Roman" w:cs="Times New Roman"/>
          <w:sz w:val="24"/>
          <w:szCs w:val="24"/>
        </w:rPr>
      </w:pPr>
      <w:r>
        <w:rPr>
          <w:rFonts w:ascii="Times New Roman" w:hAnsi="Times New Roman"/>
          <w:sz w:val="24"/>
          <w:szCs w:val="24"/>
        </w:rPr>
        <w:t xml:space="preserve">En conclusión, el enfoque estructuralista permite identificar una transformación productiva genuina en Corea del Sur, basada en el upgrading</w:t>
      </w:r>
      <w:r>
        <w:rPr>
          <w:rFonts w:ascii="Times New Roman" w:hAnsi="Times New Roman"/>
          <w:sz w:val="24"/>
          <w:szCs w:val="24"/>
        </w:rPr>
        <w:t xml:space="preserve"> tecnológico y la superación de la especialización primaria. El proceso representa la ruptura de las restricciones históricas de la periferia mediante la sofisticación de la arquitectura económica y la reducción progresiva de la dependencia externa pasiva.</w:t>
      </w:r>
      <w:r>
        <w:rPr>
          <w:rFonts w:ascii="Times New Roman" w:hAnsi="Times New Roman" w:cs="Times New Roman"/>
          <w:sz w:val="24"/>
          <w:szCs w:val="24"/>
        </w:rPr>
      </w:r>
      <w:r>
        <w:rPr>
          <w:rFonts w:ascii="Times New Roman" w:hAnsi="Times New Roman" w:cs="Times New Roman"/>
          <w:sz w:val="24"/>
          <w:szCs w:val="24"/>
        </w:rPr>
      </w:r>
    </w:p>
    <w:p>
      <w:pPr>
        <w:pBdr/>
        <w:spacing w:after="240" w:before="0" w:line="360" w:lineRule="auto"/>
        <w:ind/>
        <w:jc w:val="left"/>
        <w:rPr>
          <w:rFonts w:ascii="Times New Roman" w:hAnsi="Times New Roman" w:cs="Times New Roman"/>
          <w:b/>
          <w:sz w:val="24"/>
          <w:szCs w:val="24"/>
        </w:rPr>
      </w:pPr>
      <w:r>
        <w:rPr>
          <w:rFonts w:ascii="Times New Roman" w:hAnsi="Times New Roman"/>
          <w:b/>
          <w:i w:val="0"/>
          <w:sz w:val="24"/>
        </w:rPr>
        <w:t xml:space="preserve">6. Conclusión general</w:t>
      </w:r>
      <w:r>
        <w:rPr>
          <w:rFonts w:ascii="Times New Roman" w:hAnsi="Times New Roman" w:cs="Times New Roman"/>
          <w:b/>
          <w:sz w:val="24"/>
          <w:szCs w:val="24"/>
        </w:rPr>
      </w:r>
    </w:p>
    <w:p>
      <w:pPr>
        <w:pBdr/>
        <w:spacing w:after="240" w:before="0" w:line="360" w:lineRule="auto"/>
        <w:ind w:firstLine="720"/>
        <w:jc w:val="both"/>
        <w:rPr>
          <w:rFonts w:ascii="Times New Roman" w:hAnsi="Times New Roman" w:cs="Times New Roman"/>
          <w:sz w:val="24"/>
          <w:szCs w:val="24"/>
        </w:rPr>
      </w:pPr>
      <w:r>
        <w:rPr>
          <w:rFonts w:ascii="Times New Roman" w:hAnsi="Times New Roman"/>
          <w:sz w:val="24"/>
          <w:szCs w:val="24"/>
        </w:rPr>
        <w:t xml:space="preserve">La excepcionalidad surcoreana demuestra que el desarrollo económico es un fenómeno sistémico que desborda las explicaciones unidimensionales. Mientras la Teoría de la Modernización permite comprender la dinámica de acumulaci</w:t>
      </w:r>
      <w:r>
        <w:rPr>
          <w:rFonts w:ascii="Times New Roman" w:hAnsi="Times New Roman"/>
          <w:sz w:val="24"/>
          <w:szCs w:val="24"/>
        </w:rPr>
        <w:t xml:space="preserve">ón de factores y convergencia de ingresos, el Enfoque Estructuralista descifra la profundidad de la transformación productiva y el cambio técnico. La interacción entre ambas dimensiones, mediada por un papel activo del Estado y una inserción estratégica en</w:t>
      </w:r>
      <w:r>
        <w:rPr>
          <w:rFonts w:ascii="Times New Roman" w:hAnsi="Times New Roman"/>
          <w:sz w:val="24"/>
          <w:szCs w:val="24"/>
        </w:rPr>
        <w:t xml:space="preserve"> el mercado global, redefine los paradigmas del desarrollo. La principal lección es que la soberanía productiva y la inversión masiva en capital humano son los pilares irrenunciables para trascender la condición de periferia y alcanzar el desarrollo pleno.</w:t>
      </w:r>
      <w:r>
        <w:rPr>
          <w:rFonts w:ascii="Times New Roman" w:hAnsi="Times New Roman" w:cs="Times New Roman"/>
          <w:sz w:val="24"/>
          <w:szCs w:val="24"/>
        </w:rPr>
      </w:r>
      <w:r>
        <w:rPr>
          <w:rFonts w:ascii="Times New Roman" w:hAnsi="Times New Roman" w:cs="Times New Roman"/>
          <w:sz w:val="24"/>
          <w:szCs w:val="24"/>
        </w:rPr>
      </w:r>
    </w:p>
    <w:p>
      <w:pPr>
        <w:pBdr/>
        <w:spacing w:after="240" w:before="0" w:line="360" w:lineRule="auto"/>
        <w:ind/>
        <w:jc w:val="left"/>
        <w:rPr>
          <w:rFonts w:ascii="Times New Roman" w:hAnsi="Times New Roman" w:cs="Times New Roman"/>
          <w:b/>
          <w:sz w:val="24"/>
          <w:szCs w:val="24"/>
        </w:rPr>
      </w:pPr>
      <w:r>
        <w:rPr>
          <w:rFonts w:ascii="Times New Roman" w:hAnsi="Times New Roman"/>
          <w:b/>
          <w:i w:val="0"/>
          <w:sz w:val="24"/>
        </w:rPr>
        <w:t xml:space="preserve">7. Bibliografía</w:t>
      </w:r>
      <w:r>
        <w:rPr>
          <w:rFonts w:ascii="Times New Roman" w:hAnsi="Times New Roman" w:cs="Times New Roman"/>
          <w:b/>
          <w:sz w:val="24"/>
          <w:szCs w:val="24"/>
        </w:rPr>
      </w:r>
    </w:p>
    <w:p>
      <w:pPr>
        <w:pBdr/>
        <w:spacing w:after="240" w:before="0" w:line="360" w:lineRule="auto"/>
        <w:ind w:hanging="720" w:left="720"/>
        <w:jc w:val="both"/>
        <w:rPr>
          <w:rFonts w:ascii="Times New Roman" w:hAnsi="Times New Roman" w:cs="Times New Roman"/>
          <w:sz w:val="24"/>
          <w:szCs w:val="24"/>
        </w:rPr>
      </w:pPr>
      <w:r>
        <w:rPr>
          <w:rFonts w:ascii="Times New Roman" w:hAnsi="Times New Roman"/>
          <w:sz w:val="24"/>
          <w:szCs w:val="24"/>
          <w:lang w:val="es-EC"/>
        </w:rPr>
        <w:t xml:space="preserve">Amsden, A. H. (1989). </w:t>
      </w:r>
      <w:r>
        <w:rPr>
          <w:rFonts w:ascii="Times New Roman" w:hAnsi="Times New Roman"/>
          <w:i/>
          <w:iCs/>
          <w:sz w:val="24"/>
          <w:szCs w:val="24"/>
          <w:lang w:val="es-EC"/>
        </w:rPr>
        <w:t xml:space="preserve">Asia’s next giant: South Korea and late industrialization</w:t>
      </w:r>
      <w:r>
        <w:rPr>
          <w:rFonts w:ascii="Times New Roman" w:hAnsi="Times New Roman"/>
          <w:sz w:val="24"/>
          <w:szCs w:val="24"/>
          <w:lang w:val="es-EC"/>
        </w:rPr>
        <w:t xml:space="preserve">. Oxford University Press.</w:t>
      </w:r>
      <w:r>
        <w:rPr>
          <w:rFonts w:ascii="Times New Roman" w:hAnsi="Times New Roman" w:cs="Times New Roman"/>
          <w:sz w:val="24"/>
          <w:szCs w:val="24"/>
        </w:rPr>
      </w:r>
      <w:r>
        <w:rPr>
          <w:rFonts w:ascii="Times New Roman" w:hAnsi="Times New Roman" w:cs="Times New Roman"/>
          <w:sz w:val="24"/>
          <w:szCs w:val="24"/>
        </w:rPr>
      </w:r>
    </w:p>
    <w:p>
      <w:pPr>
        <w:pBdr/>
        <w:spacing w:after="240" w:before="0" w:line="360" w:lineRule="auto"/>
        <w:ind w:hanging="720" w:left="720"/>
        <w:jc w:val="both"/>
        <w:rPr>
          <w:rFonts w:ascii="Times New Roman" w:hAnsi="Times New Roman" w:cs="Times New Roman"/>
          <w:sz w:val="24"/>
          <w:szCs w:val="24"/>
        </w:rPr>
      </w:pPr>
      <w:r>
        <w:rPr>
          <w:rFonts w:ascii="Times New Roman" w:hAnsi="Times New Roman"/>
          <w:sz w:val="24"/>
          <w:szCs w:val="24"/>
          <w:lang w:val="es-EC"/>
        </w:rPr>
        <w:t xml:space="preserve">Hidalgo-Capitán, A. L. (2010). La construcción retrospectiva de una especialidad académica. </w:t>
      </w:r>
      <w:r>
        <w:rPr>
          <w:rFonts w:ascii="Times New Roman" w:hAnsi="Times New Roman"/>
          <w:i/>
          <w:iCs/>
          <w:sz w:val="24"/>
          <w:szCs w:val="24"/>
          <w:lang w:val="es-EC"/>
        </w:rPr>
        <w:t xml:space="preserve">Economía Política del Desarrollo</w:t>
      </w:r>
      <w:r>
        <w:rPr>
          <w:rFonts w:ascii="Times New Roman" w:hAnsi="Times New Roman"/>
          <w:sz w:val="24"/>
          <w:szCs w:val="24"/>
          <w:lang w:val="es-EC"/>
        </w:rPr>
        <w:t xml:space="preserve">.</w:t>
      </w:r>
      <w:r>
        <w:rPr>
          <w:rFonts w:ascii="Times New Roman" w:hAnsi="Times New Roman" w:cs="Times New Roman"/>
          <w:sz w:val="24"/>
          <w:szCs w:val="24"/>
        </w:rPr>
      </w:r>
      <w:r>
        <w:rPr>
          <w:rFonts w:ascii="Times New Roman" w:hAnsi="Times New Roman" w:cs="Times New Roman"/>
          <w:sz w:val="24"/>
          <w:szCs w:val="24"/>
        </w:rPr>
      </w:r>
    </w:p>
    <w:p>
      <w:pPr>
        <w:pBdr/>
        <w:spacing w:after="240" w:before="0" w:line="360" w:lineRule="auto"/>
        <w:ind w:hanging="720" w:left="720"/>
        <w:jc w:val="both"/>
        <w:rPr>
          <w:rFonts w:ascii="Times New Roman" w:hAnsi="Times New Roman" w:cs="Times New Roman"/>
          <w:sz w:val="24"/>
          <w:szCs w:val="24"/>
        </w:rPr>
      </w:pPr>
      <w:r>
        <w:rPr>
          <w:rFonts w:ascii="Times New Roman" w:hAnsi="Times New Roman"/>
          <w:sz w:val="24"/>
          <w:szCs w:val="24"/>
          <w:lang w:val="es-EC"/>
        </w:rPr>
        <w:t xml:space="preserve">Prebisch, R. (1950). </w:t>
      </w:r>
      <w:r>
        <w:rPr>
          <w:rFonts w:ascii="Times New Roman" w:hAnsi="Times New Roman"/>
          <w:i/>
          <w:iCs/>
          <w:sz w:val="24"/>
          <w:szCs w:val="24"/>
          <w:lang w:val="es-EC"/>
        </w:rPr>
        <w:t xml:space="preserve">The economic development of Latin America and its principal problems</w:t>
      </w:r>
      <w:r>
        <w:rPr>
          <w:rFonts w:ascii="Times New Roman" w:hAnsi="Times New Roman"/>
          <w:sz w:val="24"/>
          <w:szCs w:val="24"/>
          <w:lang w:val="es-EC"/>
        </w:rPr>
        <w:t xml:space="preserve">. United Nations.</w:t>
      </w:r>
      <w:r>
        <w:rPr>
          <w:rFonts w:ascii="Times New Roman" w:hAnsi="Times New Roman" w:cs="Times New Roman"/>
          <w:sz w:val="24"/>
          <w:szCs w:val="24"/>
        </w:rPr>
      </w:r>
      <w:r>
        <w:rPr>
          <w:rFonts w:ascii="Times New Roman" w:hAnsi="Times New Roman" w:cs="Times New Roman"/>
          <w:sz w:val="24"/>
          <w:szCs w:val="24"/>
        </w:rPr>
      </w:r>
    </w:p>
    <w:p>
      <w:pPr>
        <w:pBdr/>
        <w:spacing w:after="240" w:before="0" w:line="360" w:lineRule="auto"/>
        <w:ind w:hanging="720" w:left="720"/>
        <w:jc w:val="both"/>
        <w:rPr>
          <w:rFonts w:ascii="Times New Roman" w:hAnsi="Times New Roman" w:cs="Times New Roman"/>
          <w:sz w:val="24"/>
          <w:szCs w:val="24"/>
        </w:rPr>
      </w:pPr>
      <w:r>
        <w:rPr>
          <w:rFonts w:ascii="Times New Roman" w:hAnsi="Times New Roman"/>
          <w:sz w:val="24"/>
          <w:szCs w:val="24"/>
          <w:lang w:val="es-EC"/>
        </w:rPr>
        <w:t xml:space="preserve">Rostow, W. W. (1960). </w:t>
      </w:r>
      <w:r>
        <w:rPr>
          <w:rFonts w:ascii="Times New Roman" w:hAnsi="Times New Roman"/>
          <w:i/>
          <w:iCs/>
          <w:sz w:val="24"/>
          <w:szCs w:val="24"/>
          <w:lang w:val="es-EC"/>
        </w:rPr>
        <w:t xml:space="preserve">The stages of economic growth: A non-communist manifesto</w:t>
      </w:r>
      <w:r>
        <w:rPr>
          <w:rFonts w:ascii="Times New Roman" w:hAnsi="Times New Roman"/>
          <w:sz w:val="24"/>
          <w:szCs w:val="24"/>
          <w:lang w:val="es-EC"/>
        </w:rPr>
        <w:t xml:space="preserve">. Cambridge University Press.</w:t>
      </w:r>
      <w:r>
        <w:rPr>
          <w:rFonts w:ascii="Times New Roman" w:hAnsi="Times New Roman" w:cs="Times New Roman"/>
          <w:sz w:val="24"/>
          <w:szCs w:val="24"/>
        </w:rPr>
      </w:r>
      <w:r>
        <w:rPr>
          <w:rFonts w:ascii="Times New Roman" w:hAnsi="Times New Roman" w:cs="Times New Roman"/>
          <w:sz w:val="24"/>
          <w:szCs w:val="24"/>
        </w:rPr>
      </w:r>
    </w:p>
    <w:p>
      <w:pPr>
        <w:pBdr/>
        <w:spacing w:after="240" w:before="0" w:line="360" w:lineRule="auto"/>
        <w:ind w:left="0"/>
        <w:jc w:val="left"/>
        <w:rPr>
          <w:rFonts w:ascii="Times New Roman" w:hAnsi="Times New Roman" w:cs="Times New Roman"/>
          <w:b/>
          <w:bCs/>
          <w:sz w:val="24"/>
          <w:szCs w:val="24"/>
          <w:highlight w:val="none"/>
        </w:rPr>
      </w:pPr>
      <w:r>
        <w:rPr>
          <w:rFonts w:ascii="Times New Roman" w:hAnsi="Times New Roman"/>
          <w:b/>
          <w:i w:val="0"/>
          <w:sz w:val="24"/>
        </w:rPr>
        <w:t xml:space="preserve">8. Anexos</w:t>
      </w:r>
      <w:r>
        <w:rPr>
          <w:rFonts w:ascii="Times New Roman" w:hAnsi="Times New Roman" w:cs="Times New Roman"/>
          <w:b/>
          <w:bCs/>
          <w:sz w:val="24"/>
          <w:szCs w:val="24"/>
          <w:highlight w:val="none"/>
        </w:rPr>
      </w:r>
    </w:p>
    <w:p>
      <w:pPr>
        <w:pBdr/>
        <w:spacing w:after="240" w:before="0" w:line="360" w:lineRule="auto"/>
        <w:ind/>
        <w:jc w:val="left"/>
        <w:rPr/>
      </w:pPr>
      <w:r>
        <w:rPr>
          <w:rFonts w:ascii="Times New Roman" w:hAnsi="Times New Roman"/>
          <w:b w:val="0"/>
          <w:i w:val="0"/>
          <w:sz w:val="24"/>
        </w:rPr>
        <w:t xml:space="preserve">1. </w:t>
      </w:r>
      <w:hyperlink r:id="rId16" w:tooltip="https://docs.google.com/spreadsheets/d/1l8lWrTO5ozZYjxqN60IO1zVMgHDf1iAa/edit?usp=drive_link&amp;ouid=112267361205813762416&amp;rtpof=true&amp;sd=true" w:history="1">
        <w:r>
          <w:rPr>
            <w:color w:val="0000ff"/>
            <w:u w:val="single"/>
          </w:rPr>
          <w:t xml:space="preserve">Datos</w:t>
        </w:r>
      </w:hyperlink>
      <w:r>
        <w:rPr>
          <w:rFonts w:ascii="Times New Roman" w:hAnsi="Times New Roman"/>
          <w:sz w:val="24"/>
        </w:rPr>
      </w:r>
      <w:r/>
    </w:p>
    <w:p>
      <w:pPr>
        <w:pBdr/>
        <w:spacing w:after="240" w:before="0" w:line="360" w:lineRule="auto"/>
        <w:ind/>
        <w:jc w:val="left"/>
        <w:rPr/>
      </w:pPr>
      <w:r>
        <w:rPr>
          <w:rFonts w:ascii="Times New Roman" w:hAnsi="Times New Roman"/>
          <w:b w:val="0"/>
          <w:i w:val="0"/>
          <w:sz w:val="24"/>
        </w:rPr>
        <w:t xml:space="preserve">2. </w:t>
      </w:r>
      <w:hyperlink r:id="rId17" w:tooltip="https://drive.google.com/drive/folders/1MyeTFjRltQXn-209YyPnzdGzzS8Vr-bx?usp=drive_link" w:history="1">
        <w:r>
          <w:rPr>
            <w:color w:val="0000ff"/>
            <w:u w:val="single"/>
          </w:rPr>
          <w:t xml:space="preserve">Bibliografía</w:t>
        </w:r>
      </w:hyperlink>
      <w:r>
        <w:rPr>
          <w:rFonts w:ascii="Times New Roman" w:hAnsi="Times New Roman"/>
          <w:sz w:val="24"/>
        </w:rPr>
      </w:r>
      <w:r/>
    </w:p>
    <w:sectPr>
      <w:headerReference w:type="default" r:id="rId9"/>
      <w:headerReference w:type="first" r:id="rId10"/>
      <w:footnotePr/>
      <w:endnotePr/>
      <w:type w:val="nextPage"/>
      <w:pgSz w:h="16840" w:orient="portrait" w:w="11900"/>
      <w:pgMar w:top="1440" w:right="1440" w:bottom="1440" w:left="1440"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AFD4823">
    <w:pPr>
      <w:pStyle w:val="930"/>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26E6098">
    <w:pPr>
      <w:pStyle w:val="930"/>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1504" behindDoc="0" locked="0" layoutInCell="1" allowOverlap="1">
              <wp:simplePos x="0" y="0"/>
              <wp:positionH relativeFrom="column">
                <wp:posOffset>0</wp:posOffset>
              </wp:positionH>
              <wp:positionV relativeFrom="paragraph">
                <wp:posOffset>125168</wp:posOffset>
              </wp:positionV>
              <wp:extent cx="1785000" cy="269167"/>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44890" name=""/>
                      <pic:cNvPicPr>
                        <a:picLocks noChangeAspect="1"/>
                      </pic:cNvPicPr>
                      <pic:nvPr/>
                    </pic:nvPicPr>
                    <pic:blipFill rotWithShape="1">
                      <a:blip r:embed="rId1"/>
                      <a:stretch/>
                    </pic:blipFill>
                    <pic:spPr bwMode="auto">
                      <a:xfrm flipH="0" flipV="0">
                        <a:off x="0" y="0"/>
                        <a:ext cx="1784999" cy="26916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1504;o:allowoverlap:true;o:allowincell:true;mso-position-horizontal-relative:text;margin-left:0.00pt;mso-position-horizontal:absolute;mso-position-vertical-relative:text;margin-top:9.86pt;mso-position-vertical:absolute;width:140.55pt;height:21.19pt;mso-wrap-distance-left:9.07pt;mso-wrap-distance-top:0.00pt;mso-wrap-distance-right:9.07pt;mso-wrap-distance-bottom:0.00pt;z-index:1;" stroked="false">
              <v:imagedata r:id="rId1" o:title=""/>
              <o:lock v:ext="edit" rotation="t"/>
            </v:shape>
          </w:pict>
        </mc:Fallback>
      </mc:AlternateContent>
    </w:r>
    <w:r>
      <w:rPr>
        <w:highlight w:val="none"/>
      </w:rPr>
    </w:r>
    <w:r/>
    <w:r>
      <mc:AlternateContent>
        <mc:Choice Requires="wpg">
          <w:drawing>
            <wp:anchor xmlns:wp="http://schemas.openxmlformats.org/drawingml/2006/wordprocessingDrawing" xmlns:wp14="http://schemas.microsoft.com/office/word/2010/wordprocessingDrawing" distT="0" distB="0" distL="115200" distR="115200" simplePos="0" relativeHeight="19456" behindDoc="0" locked="0" layoutInCell="1" allowOverlap="1">
              <wp:simplePos x="0" y="0"/>
              <wp:positionH relativeFrom="column">
                <wp:posOffset>1336594</wp:posOffset>
              </wp:positionH>
              <wp:positionV relativeFrom="paragraph">
                <wp:posOffset>-445711</wp:posOffset>
              </wp:positionV>
              <wp:extent cx="2419512" cy="672087"/>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75608" name=""/>
                      <pic:cNvPicPr>
                        <a:picLocks noChangeAspect="1"/>
                      </pic:cNvPicPr>
                      <pic:nvPr/>
                    </pic:nvPicPr>
                    <pic:blipFill rotWithShape="1">
                      <a:blip r:embed="rId2"/>
                      <a:stretch/>
                    </pic:blipFill>
                    <pic:spPr bwMode="auto">
                      <a:xfrm flipH="0" flipV="0">
                        <a:off x="0" y="0"/>
                        <a:ext cx="2419512" cy="67208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19456;o:allowoverlap:true;o:allowincell:true;mso-position-horizontal-relative:text;margin-left:105.24pt;mso-position-horizontal:absolute;mso-position-vertical-relative:text;margin-top:-35.10pt;mso-position-vertical:absolute;width:190.51pt;height:52.92pt;mso-wrap-distance-left:9.07pt;mso-wrap-distance-top:0.00pt;mso-wrap-distance-right:9.07pt;mso-wrap-distance-bottom:0.00pt;z-index:1;" stroked="false">
              <v:imagedata r:id="rId2" o:title=""/>
              <o:lock v:ext="edit" rotation="t"/>
            </v:shape>
          </w:pict>
        </mc:Fallback>
      </mc:AlternateContent>
    </w:r>
    <w:r/>
    <w:r>
      <w:rPr>
        <w:highlight w:val="none"/>
      </w:rPr>
    </w:r>
    <w:r/>
    <w:r>
      <w:rPr>
        <w:highlight w:val="none"/>
      </w:rPr>
    </w:r>
    <w:r/>
    <w:r>
      <w:rPr>
        <w:highlight w:val="none"/>
      </w:rPr>
    </w:r>
    <w:r/>
    <w:r/>
    <w:r/>
  </w:p>
  <w:p>
    <w:pPr>
      <w:pStyle w:val="930"/>
      <w:pBdr/>
      <w:spacing/>
      <w:ind/>
      <w:rPr>
        <w:highlight w:val="none"/>
      </w:rPr>
    </w:pPr>
    <w:r>
      <w:rPr>
        <w:highlight w:val="none"/>
      </w:rPr>
    </w:r>
    <w:r/>
    <w:r>
      <w:rPr>
        <w:highlight w:val="none"/>
      </w:rPr>
    </w:r>
    <w:r>
      <w:rPr>
        <w:highlight w:val="none"/>
      </w:rPr>
    </w:r>
    <w:r>
      <w:rPr>
        <w:highlight w:val="no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CB65B0A"/>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nsid w:val="0263AC5D"/>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ES_tradnl"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3">
    <w:name w:val="Table Grid"/>
    <w:basedOn w:val="92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Table Grid Light"/>
    <w:basedOn w:val="92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1"/>
    <w:basedOn w:val="92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2"/>
    <w:basedOn w:val="92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3"/>
    <w:basedOn w:val="9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4"/>
    <w:basedOn w:val="9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5"/>
    <w:basedOn w:val="9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w:basedOn w:val="92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1"/>
    <w:basedOn w:val="9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2"/>
    <w:basedOn w:val="9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3"/>
    <w:basedOn w:val="9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4"/>
    <w:basedOn w:val="9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5"/>
    <w:basedOn w:val="9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6"/>
    <w:basedOn w:val="9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w:basedOn w:val="9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1"/>
    <w:basedOn w:val="9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2"/>
    <w:basedOn w:val="9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3"/>
    <w:basedOn w:val="9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4"/>
    <w:basedOn w:val="9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5"/>
    <w:basedOn w:val="9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6"/>
    <w:basedOn w:val="9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w:basedOn w:val="9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1"/>
    <w:basedOn w:val="9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2"/>
    <w:basedOn w:val="9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3"/>
    <w:basedOn w:val="9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4"/>
    <w:basedOn w:val="9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5"/>
    <w:basedOn w:val="9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6"/>
    <w:basedOn w:val="9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w:basedOn w:val="92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1"/>
    <w:basedOn w:val="92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2"/>
    <w:basedOn w:val="92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3"/>
    <w:basedOn w:val="92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4"/>
    <w:basedOn w:val="92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5"/>
    <w:basedOn w:val="92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6"/>
    <w:basedOn w:val="92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Accent 1"/>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2"/>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3"/>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Accent 4"/>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5"/>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6"/>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6 Colorful"/>
    <w:basedOn w:val="92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6">
    <w:name w:val="Grid Table 6 Colorful - Accent 1"/>
    <w:basedOn w:val="92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7">
    <w:name w:val="Grid Table 6 Colorful - Accent 2"/>
    <w:basedOn w:val="9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8">
    <w:name w:val="Grid Table 6 Colorful - Accent 3"/>
    <w:basedOn w:val="92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9">
    <w:name w:val="Grid Table 6 Colorful - Accent 4"/>
    <w:basedOn w:val="9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0">
    <w:name w:val="Grid Table 6 Colorful - Accent 5"/>
    <w:basedOn w:val="92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1">
    <w:name w:val="Grid Table 6 Colorful - Accent 6"/>
    <w:basedOn w:val="92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2">
    <w:name w:val="Grid Table 7 Colorful"/>
    <w:basedOn w:val="92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1"/>
    <w:basedOn w:val="92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2"/>
    <w:basedOn w:val="92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3"/>
    <w:basedOn w:val="92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4"/>
    <w:basedOn w:val="92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5"/>
    <w:basedOn w:val="92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6"/>
    <w:basedOn w:val="92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1"/>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2"/>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3"/>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4"/>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5"/>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6"/>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w:basedOn w:val="92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1"/>
    <w:basedOn w:val="92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2"/>
    <w:basedOn w:val="92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3"/>
    <w:basedOn w:val="92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4"/>
    <w:basedOn w:val="92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5"/>
    <w:basedOn w:val="92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6"/>
    <w:basedOn w:val="92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w:basedOn w:val="9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1"/>
    <w:basedOn w:val="92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2"/>
    <w:basedOn w:val="9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3"/>
    <w:basedOn w:val="92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4"/>
    <w:basedOn w:val="9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5"/>
    <w:basedOn w:val="92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6"/>
    <w:basedOn w:val="92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w:basedOn w:val="9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1"/>
    <w:basedOn w:val="92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2"/>
    <w:basedOn w:val="92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3"/>
    <w:basedOn w:val="92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4"/>
    <w:basedOn w:val="92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5"/>
    <w:basedOn w:val="92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6"/>
    <w:basedOn w:val="92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5 Dark"/>
    <w:basedOn w:val="92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1"/>
    <w:basedOn w:val="92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2"/>
    <w:basedOn w:val="92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3"/>
    <w:basedOn w:val="92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4"/>
    <w:basedOn w:val="92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5"/>
    <w:basedOn w:val="92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6"/>
    <w:basedOn w:val="92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6 Colorful"/>
    <w:basedOn w:val="92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1"/>
    <w:basedOn w:val="92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2"/>
    <w:basedOn w:val="92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3"/>
    <w:basedOn w:val="92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4"/>
    <w:basedOn w:val="92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5"/>
    <w:basedOn w:val="92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6"/>
    <w:basedOn w:val="92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7 Colorful"/>
    <w:basedOn w:val="92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2">
    <w:name w:val="List Table 7 Colorful - Accent 1"/>
    <w:basedOn w:val="92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43">
    <w:name w:val="List Table 7 Colorful - Accent 2"/>
    <w:basedOn w:val="92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44">
    <w:name w:val="List Table 7 Colorful - Accent 3"/>
    <w:basedOn w:val="92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45">
    <w:name w:val="List Table 7 Colorful - Accent 4"/>
    <w:basedOn w:val="92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6">
    <w:name w:val="List Table 7 Colorful - Accent 5"/>
    <w:basedOn w:val="92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47">
    <w:name w:val="List Table 7 Colorful - Accent 6"/>
    <w:basedOn w:val="92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8">
    <w:name w:val="Lined - Accent"/>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1"/>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2"/>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3"/>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4"/>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5"/>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6"/>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w:basedOn w:val="92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1"/>
    <w:basedOn w:val="92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2"/>
    <w:basedOn w:val="92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3"/>
    <w:basedOn w:val="92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4"/>
    <w:basedOn w:val="92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5"/>
    <w:basedOn w:val="92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6"/>
    <w:basedOn w:val="92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w:basedOn w:val="92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1"/>
    <w:basedOn w:val="9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2"/>
    <w:basedOn w:val="9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3"/>
    <w:basedOn w:val="9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4"/>
    <w:basedOn w:val="9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5"/>
    <w:basedOn w:val="9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6"/>
    <w:basedOn w:val="9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9">
    <w:name w:val="Heading 1"/>
    <w:basedOn w:val="926"/>
    <w:next w:val="926"/>
    <w:link w:val="87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70">
    <w:name w:val="Heading 2"/>
    <w:basedOn w:val="926"/>
    <w:next w:val="926"/>
    <w:link w:val="87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71">
    <w:name w:val="Heading 3"/>
    <w:basedOn w:val="926"/>
    <w:next w:val="926"/>
    <w:link w:val="88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72">
    <w:name w:val="Heading 4"/>
    <w:basedOn w:val="926"/>
    <w:next w:val="926"/>
    <w:link w:val="88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3">
    <w:name w:val="Heading 5"/>
    <w:basedOn w:val="926"/>
    <w:next w:val="926"/>
    <w:link w:val="88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4">
    <w:name w:val="Heading 6"/>
    <w:basedOn w:val="926"/>
    <w:next w:val="926"/>
    <w:link w:val="88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5">
    <w:name w:val="Heading 7"/>
    <w:basedOn w:val="926"/>
    <w:next w:val="926"/>
    <w:link w:val="88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6">
    <w:name w:val="Heading 8"/>
    <w:basedOn w:val="926"/>
    <w:next w:val="926"/>
    <w:link w:val="88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7">
    <w:name w:val="Heading 9"/>
    <w:basedOn w:val="926"/>
    <w:next w:val="926"/>
    <w:link w:val="88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8">
    <w:name w:val="Heading 1 Char"/>
    <w:basedOn w:val="927"/>
    <w:link w:val="869"/>
    <w:uiPriority w:val="9"/>
    <w:pPr>
      <w:pBdr/>
      <w:spacing/>
      <w:ind/>
    </w:pPr>
    <w:rPr>
      <w:rFonts w:ascii="Arial" w:hAnsi="Arial" w:eastAsia="Arial" w:cs="Arial"/>
      <w:color w:val="0f4761" w:themeColor="accent1" w:themeShade="BF"/>
      <w:sz w:val="40"/>
      <w:szCs w:val="40"/>
    </w:rPr>
  </w:style>
  <w:style w:type="character" w:styleId="879">
    <w:name w:val="Heading 2 Char"/>
    <w:basedOn w:val="927"/>
    <w:link w:val="870"/>
    <w:uiPriority w:val="9"/>
    <w:pPr>
      <w:pBdr/>
      <w:spacing/>
      <w:ind/>
    </w:pPr>
    <w:rPr>
      <w:rFonts w:ascii="Arial" w:hAnsi="Arial" w:eastAsia="Arial" w:cs="Arial"/>
      <w:color w:val="0f4761" w:themeColor="accent1" w:themeShade="BF"/>
      <w:sz w:val="32"/>
      <w:szCs w:val="32"/>
    </w:rPr>
  </w:style>
  <w:style w:type="character" w:styleId="880">
    <w:name w:val="Heading 3 Char"/>
    <w:basedOn w:val="927"/>
    <w:link w:val="871"/>
    <w:uiPriority w:val="9"/>
    <w:pPr>
      <w:pBdr/>
      <w:spacing/>
      <w:ind/>
    </w:pPr>
    <w:rPr>
      <w:rFonts w:ascii="Arial" w:hAnsi="Arial" w:eastAsia="Arial" w:cs="Arial"/>
      <w:color w:val="0f4761" w:themeColor="accent1" w:themeShade="BF"/>
      <w:sz w:val="28"/>
      <w:szCs w:val="28"/>
    </w:rPr>
  </w:style>
  <w:style w:type="character" w:styleId="881">
    <w:name w:val="Heading 4 Char"/>
    <w:basedOn w:val="927"/>
    <w:link w:val="872"/>
    <w:uiPriority w:val="9"/>
    <w:pPr>
      <w:pBdr/>
      <w:spacing/>
      <w:ind/>
    </w:pPr>
    <w:rPr>
      <w:rFonts w:ascii="Arial" w:hAnsi="Arial" w:eastAsia="Arial" w:cs="Arial"/>
      <w:i/>
      <w:iCs/>
      <w:color w:val="0f4761" w:themeColor="accent1" w:themeShade="BF"/>
    </w:rPr>
  </w:style>
  <w:style w:type="character" w:styleId="882">
    <w:name w:val="Heading 5 Char"/>
    <w:basedOn w:val="927"/>
    <w:link w:val="873"/>
    <w:uiPriority w:val="9"/>
    <w:pPr>
      <w:pBdr/>
      <w:spacing/>
      <w:ind/>
    </w:pPr>
    <w:rPr>
      <w:rFonts w:ascii="Arial" w:hAnsi="Arial" w:eastAsia="Arial" w:cs="Arial"/>
      <w:color w:val="0f4761" w:themeColor="accent1" w:themeShade="BF"/>
    </w:rPr>
  </w:style>
  <w:style w:type="character" w:styleId="883">
    <w:name w:val="Heading 6 Char"/>
    <w:basedOn w:val="927"/>
    <w:link w:val="874"/>
    <w:uiPriority w:val="9"/>
    <w:pPr>
      <w:pBdr/>
      <w:spacing/>
      <w:ind/>
    </w:pPr>
    <w:rPr>
      <w:rFonts w:ascii="Arial" w:hAnsi="Arial" w:eastAsia="Arial" w:cs="Arial"/>
      <w:i/>
      <w:iCs/>
      <w:color w:val="595959" w:themeColor="text1" w:themeTint="A6"/>
    </w:rPr>
  </w:style>
  <w:style w:type="character" w:styleId="884">
    <w:name w:val="Heading 7 Char"/>
    <w:basedOn w:val="927"/>
    <w:link w:val="875"/>
    <w:uiPriority w:val="9"/>
    <w:pPr>
      <w:pBdr/>
      <w:spacing/>
      <w:ind/>
    </w:pPr>
    <w:rPr>
      <w:rFonts w:ascii="Arial" w:hAnsi="Arial" w:eastAsia="Arial" w:cs="Arial"/>
      <w:color w:val="595959" w:themeColor="text1" w:themeTint="A6"/>
    </w:rPr>
  </w:style>
  <w:style w:type="character" w:styleId="885">
    <w:name w:val="Heading 8 Char"/>
    <w:basedOn w:val="927"/>
    <w:link w:val="876"/>
    <w:uiPriority w:val="9"/>
    <w:pPr>
      <w:pBdr/>
      <w:spacing/>
      <w:ind/>
    </w:pPr>
    <w:rPr>
      <w:rFonts w:ascii="Arial" w:hAnsi="Arial" w:eastAsia="Arial" w:cs="Arial"/>
      <w:i/>
      <w:iCs/>
      <w:color w:val="272727" w:themeColor="text1" w:themeTint="D8"/>
    </w:rPr>
  </w:style>
  <w:style w:type="character" w:styleId="886">
    <w:name w:val="Heading 9 Char"/>
    <w:basedOn w:val="927"/>
    <w:link w:val="877"/>
    <w:uiPriority w:val="9"/>
    <w:pPr>
      <w:pBdr/>
      <w:spacing/>
      <w:ind/>
    </w:pPr>
    <w:rPr>
      <w:rFonts w:ascii="Arial" w:hAnsi="Arial" w:eastAsia="Arial" w:cs="Arial"/>
      <w:i/>
      <w:iCs/>
      <w:color w:val="272727" w:themeColor="text1" w:themeTint="D8"/>
    </w:rPr>
  </w:style>
  <w:style w:type="paragraph" w:styleId="887">
    <w:name w:val="Title"/>
    <w:basedOn w:val="926"/>
    <w:next w:val="926"/>
    <w:link w:val="888"/>
    <w:uiPriority w:val="10"/>
    <w:qFormat/>
    <w:pPr>
      <w:pBdr/>
      <w:spacing w:after="80" w:line="240" w:lineRule="auto"/>
      <w:ind/>
      <w:contextualSpacing w:val="true"/>
    </w:pPr>
    <w:rPr>
      <w:rFonts w:ascii="Arial" w:hAnsi="Arial" w:eastAsia="Arial" w:cs="Arial"/>
      <w:spacing w:val="-10"/>
      <w:sz w:val="56"/>
      <w:szCs w:val="56"/>
    </w:rPr>
  </w:style>
  <w:style w:type="character" w:styleId="888">
    <w:name w:val="Title Char"/>
    <w:basedOn w:val="927"/>
    <w:link w:val="887"/>
    <w:uiPriority w:val="10"/>
    <w:pPr>
      <w:pBdr/>
      <w:spacing/>
      <w:ind/>
    </w:pPr>
    <w:rPr>
      <w:rFonts w:ascii="Arial" w:hAnsi="Arial" w:eastAsia="Arial" w:cs="Arial"/>
      <w:spacing w:val="-10"/>
      <w:sz w:val="56"/>
      <w:szCs w:val="56"/>
    </w:rPr>
  </w:style>
  <w:style w:type="paragraph" w:styleId="889">
    <w:name w:val="Subtitle"/>
    <w:basedOn w:val="926"/>
    <w:next w:val="926"/>
    <w:link w:val="890"/>
    <w:uiPriority w:val="11"/>
    <w:qFormat/>
    <w:pPr>
      <w:numPr>
        <w:ilvl w:val="1"/>
      </w:numPr>
      <w:pBdr/>
      <w:spacing/>
      <w:ind/>
    </w:pPr>
    <w:rPr>
      <w:color w:val="595959" w:themeColor="text1" w:themeTint="A6"/>
      <w:spacing w:val="15"/>
      <w:sz w:val="28"/>
      <w:szCs w:val="28"/>
    </w:rPr>
  </w:style>
  <w:style w:type="character" w:styleId="890">
    <w:name w:val="Subtitle Char"/>
    <w:basedOn w:val="927"/>
    <w:link w:val="889"/>
    <w:uiPriority w:val="11"/>
    <w:pPr>
      <w:pBdr/>
      <w:spacing/>
      <w:ind/>
    </w:pPr>
    <w:rPr>
      <w:color w:val="595959" w:themeColor="text1" w:themeTint="A6"/>
      <w:spacing w:val="15"/>
      <w:sz w:val="28"/>
      <w:szCs w:val="28"/>
    </w:rPr>
  </w:style>
  <w:style w:type="paragraph" w:styleId="891">
    <w:name w:val="Quote"/>
    <w:basedOn w:val="926"/>
    <w:next w:val="926"/>
    <w:link w:val="892"/>
    <w:uiPriority w:val="29"/>
    <w:qFormat/>
    <w:pPr>
      <w:pBdr/>
      <w:spacing w:before="160"/>
      <w:ind/>
      <w:jc w:val="center"/>
    </w:pPr>
    <w:rPr>
      <w:i/>
      <w:iCs/>
      <w:color w:val="404040" w:themeColor="text1" w:themeTint="BF"/>
    </w:rPr>
  </w:style>
  <w:style w:type="character" w:styleId="892">
    <w:name w:val="Quote Char"/>
    <w:basedOn w:val="927"/>
    <w:link w:val="891"/>
    <w:uiPriority w:val="29"/>
    <w:pPr>
      <w:pBdr/>
      <w:spacing/>
      <w:ind/>
    </w:pPr>
    <w:rPr>
      <w:i/>
      <w:iCs/>
      <w:color w:val="404040" w:themeColor="text1" w:themeTint="BF"/>
    </w:rPr>
  </w:style>
  <w:style w:type="character" w:styleId="893">
    <w:name w:val="Intense Emphasis"/>
    <w:basedOn w:val="927"/>
    <w:uiPriority w:val="21"/>
    <w:qFormat/>
    <w:pPr>
      <w:pBdr/>
      <w:spacing/>
      <w:ind/>
    </w:pPr>
    <w:rPr>
      <w:i/>
      <w:iCs/>
      <w:color w:val="0f4761" w:themeColor="accent1" w:themeShade="BF"/>
    </w:rPr>
  </w:style>
  <w:style w:type="paragraph" w:styleId="894">
    <w:name w:val="Intense Quote"/>
    <w:basedOn w:val="926"/>
    <w:next w:val="926"/>
    <w:link w:val="89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5">
    <w:name w:val="Intense Quote Char"/>
    <w:basedOn w:val="927"/>
    <w:link w:val="894"/>
    <w:uiPriority w:val="30"/>
    <w:pPr>
      <w:pBdr/>
      <w:spacing/>
      <w:ind/>
    </w:pPr>
    <w:rPr>
      <w:i/>
      <w:iCs/>
      <w:color w:val="0f4761" w:themeColor="accent1" w:themeShade="BF"/>
    </w:rPr>
  </w:style>
  <w:style w:type="character" w:styleId="896">
    <w:name w:val="Intense Reference"/>
    <w:basedOn w:val="927"/>
    <w:uiPriority w:val="32"/>
    <w:qFormat/>
    <w:pPr>
      <w:pBdr/>
      <w:spacing/>
      <w:ind/>
    </w:pPr>
    <w:rPr>
      <w:b/>
      <w:bCs/>
      <w:smallCaps/>
      <w:color w:val="0f4761" w:themeColor="accent1" w:themeShade="BF"/>
      <w:spacing w:val="5"/>
    </w:rPr>
  </w:style>
  <w:style w:type="paragraph" w:styleId="897">
    <w:name w:val="No Spacing"/>
    <w:basedOn w:val="926"/>
    <w:uiPriority w:val="1"/>
    <w:qFormat/>
    <w:pPr>
      <w:pBdr/>
      <w:spacing w:after="0" w:line="240" w:lineRule="auto"/>
      <w:ind/>
    </w:pPr>
  </w:style>
  <w:style w:type="character" w:styleId="898">
    <w:name w:val="Subtle Emphasis"/>
    <w:basedOn w:val="927"/>
    <w:uiPriority w:val="19"/>
    <w:qFormat/>
    <w:pPr>
      <w:pBdr/>
      <w:spacing/>
      <w:ind/>
    </w:pPr>
    <w:rPr>
      <w:i/>
      <w:iCs/>
      <w:color w:val="404040" w:themeColor="text1" w:themeTint="BF"/>
    </w:rPr>
  </w:style>
  <w:style w:type="character" w:styleId="899">
    <w:name w:val="Emphasis"/>
    <w:basedOn w:val="927"/>
    <w:uiPriority w:val="20"/>
    <w:qFormat/>
    <w:pPr>
      <w:pBdr/>
      <w:spacing/>
      <w:ind/>
    </w:pPr>
    <w:rPr>
      <w:i/>
      <w:iCs/>
    </w:rPr>
  </w:style>
  <w:style w:type="character" w:styleId="900">
    <w:name w:val="Strong"/>
    <w:basedOn w:val="927"/>
    <w:uiPriority w:val="22"/>
    <w:qFormat/>
    <w:pPr>
      <w:pBdr/>
      <w:spacing/>
      <w:ind/>
    </w:pPr>
    <w:rPr>
      <w:b/>
      <w:bCs/>
    </w:rPr>
  </w:style>
  <w:style w:type="character" w:styleId="901">
    <w:name w:val="Subtle Reference"/>
    <w:basedOn w:val="927"/>
    <w:uiPriority w:val="31"/>
    <w:qFormat/>
    <w:pPr>
      <w:pBdr/>
      <w:spacing/>
      <w:ind/>
    </w:pPr>
    <w:rPr>
      <w:smallCaps/>
      <w:color w:val="5a5a5a" w:themeColor="text1" w:themeTint="A5"/>
    </w:rPr>
  </w:style>
  <w:style w:type="character" w:styleId="902">
    <w:name w:val="Book Title"/>
    <w:basedOn w:val="927"/>
    <w:uiPriority w:val="33"/>
    <w:qFormat/>
    <w:pPr>
      <w:pBdr/>
      <w:spacing/>
      <w:ind/>
    </w:pPr>
    <w:rPr>
      <w:b/>
      <w:bCs/>
      <w:i/>
      <w:iCs/>
      <w:spacing w:val="5"/>
    </w:rPr>
  </w:style>
  <w:style w:type="character" w:styleId="903">
    <w:name w:val="Header Char"/>
    <w:basedOn w:val="927"/>
    <w:link w:val="930"/>
    <w:uiPriority w:val="99"/>
    <w:pPr>
      <w:pBdr/>
      <w:spacing/>
      <w:ind/>
    </w:pPr>
  </w:style>
  <w:style w:type="character" w:styleId="904">
    <w:name w:val="Footer Char"/>
    <w:basedOn w:val="927"/>
    <w:link w:val="932"/>
    <w:uiPriority w:val="99"/>
    <w:pPr>
      <w:pBdr/>
      <w:spacing/>
      <w:ind/>
    </w:pPr>
  </w:style>
  <w:style w:type="paragraph" w:styleId="905">
    <w:name w:val="Caption"/>
    <w:basedOn w:val="926"/>
    <w:next w:val="926"/>
    <w:uiPriority w:val="35"/>
    <w:unhideWhenUsed/>
    <w:qFormat/>
    <w:pPr>
      <w:pBdr/>
      <w:spacing w:after="200" w:line="240" w:lineRule="auto"/>
      <w:ind/>
    </w:pPr>
    <w:rPr>
      <w:i/>
      <w:iCs/>
      <w:color w:val="0e2841" w:themeColor="text2"/>
      <w:sz w:val="18"/>
      <w:szCs w:val="18"/>
    </w:rPr>
  </w:style>
  <w:style w:type="paragraph" w:styleId="906">
    <w:name w:val="footnote text"/>
    <w:basedOn w:val="926"/>
    <w:link w:val="907"/>
    <w:uiPriority w:val="99"/>
    <w:semiHidden/>
    <w:unhideWhenUsed/>
    <w:pPr>
      <w:pBdr/>
      <w:spacing w:after="0" w:line="240" w:lineRule="auto"/>
      <w:ind/>
    </w:pPr>
    <w:rPr>
      <w:sz w:val="20"/>
      <w:szCs w:val="20"/>
    </w:rPr>
  </w:style>
  <w:style w:type="character" w:styleId="907">
    <w:name w:val="Footnote Text Char"/>
    <w:basedOn w:val="927"/>
    <w:link w:val="906"/>
    <w:uiPriority w:val="99"/>
    <w:semiHidden/>
    <w:pPr>
      <w:pBdr/>
      <w:spacing/>
      <w:ind/>
    </w:pPr>
    <w:rPr>
      <w:sz w:val="20"/>
      <w:szCs w:val="20"/>
    </w:rPr>
  </w:style>
  <w:style w:type="character" w:styleId="908">
    <w:name w:val="footnote reference"/>
    <w:basedOn w:val="927"/>
    <w:uiPriority w:val="99"/>
    <w:semiHidden/>
    <w:unhideWhenUsed/>
    <w:pPr>
      <w:pBdr/>
      <w:spacing/>
      <w:ind/>
    </w:pPr>
    <w:rPr>
      <w:vertAlign w:val="superscript"/>
    </w:rPr>
  </w:style>
  <w:style w:type="paragraph" w:styleId="909">
    <w:name w:val="endnote text"/>
    <w:basedOn w:val="926"/>
    <w:link w:val="910"/>
    <w:uiPriority w:val="99"/>
    <w:semiHidden/>
    <w:unhideWhenUsed/>
    <w:pPr>
      <w:pBdr/>
      <w:spacing w:after="0" w:line="240" w:lineRule="auto"/>
      <w:ind/>
    </w:pPr>
    <w:rPr>
      <w:sz w:val="20"/>
      <w:szCs w:val="20"/>
    </w:rPr>
  </w:style>
  <w:style w:type="character" w:styleId="910">
    <w:name w:val="Endnote Text Char"/>
    <w:basedOn w:val="927"/>
    <w:link w:val="909"/>
    <w:uiPriority w:val="99"/>
    <w:semiHidden/>
    <w:pPr>
      <w:pBdr/>
      <w:spacing/>
      <w:ind/>
    </w:pPr>
    <w:rPr>
      <w:sz w:val="20"/>
      <w:szCs w:val="20"/>
    </w:rPr>
  </w:style>
  <w:style w:type="character" w:styleId="911">
    <w:name w:val="endnote reference"/>
    <w:basedOn w:val="927"/>
    <w:uiPriority w:val="99"/>
    <w:semiHidden/>
    <w:unhideWhenUsed/>
    <w:pPr>
      <w:pBdr/>
      <w:spacing/>
      <w:ind/>
    </w:pPr>
    <w:rPr>
      <w:vertAlign w:val="superscript"/>
    </w:rPr>
  </w:style>
  <w:style w:type="character" w:styleId="912">
    <w:name w:val="Hyperlink"/>
    <w:basedOn w:val="927"/>
    <w:uiPriority w:val="99"/>
    <w:unhideWhenUsed/>
    <w:pPr>
      <w:pBdr/>
      <w:spacing/>
      <w:ind/>
    </w:pPr>
    <w:rPr>
      <w:color w:val="0563c1" w:themeColor="hyperlink"/>
      <w:u w:val="single"/>
    </w:rPr>
  </w:style>
  <w:style w:type="character" w:styleId="913">
    <w:name w:val="FollowedHyperlink"/>
    <w:basedOn w:val="927"/>
    <w:uiPriority w:val="99"/>
    <w:semiHidden/>
    <w:unhideWhenUsed/>
    <w:pPr>
      <w:pBdr/>
      <w:spacing/>
      <w:ind/>
    </w:pPr>
    <w:rPr>
      <w:color w:val="954f72" w:themeColor="followedHyperlink"/>
      <w:u w:val="single"/>
    </w:rPr>
  </w:style>
  <w:style w:type="paragraph" w:styleId="914">
    <w:name w:val="toc 1"/>
    <w:basedOn w:val="926"/>
    <w:next w:val="926"/>
    <w:uiPriority w:val="39"/>
    <w:unhideWhenUsed/>
    <w:pPr>
      <w:pBdr/>
      <w:spacing w:after="100"/>
      <w:ind/>
    </w:pPr>
  </w:style>
  <w:style w:type="paragraph" w:styleId="915">
    <w:name w:val="toc 2"/>
    <w:basedOn w:val="926"/>
    <w:next w:val="926"/>
    <w:uiPriority w:val="39"/>
    <w:unhideWhenUsed/>
    <w:pPr>
      <w:pBdr/>
      <w:spacing w:after="100"/>
      <w:ind w:left="220"/>
    </w:pPr>
  </w:style>
  <w:style w:type="paragraph" w:styleId="916">
    <w:name w:val="toc 3"/>
    <w:basedOn w:val="926"/>
    <w:next w:val="926"/>
    <w:uiPriority w:val="39"/>
    <w:unhideWhenUsed/>
    <w:pPr>
      <w:pBdr/>
      <w:spacing w:after="100"/>
      <w:ind w:left="440"/>
    </w:pPr>
  </w:style>
  <w:style w:type="paragraph" w:styleId="917">
    <w:name w:val="toc 4"/>
    <w:basedOn w:val="926"/>
    <w:next w:val="926"/>
    <w:uiPriority w:val="39"/>
    <w:unhideWhenUsed/>
    <w:pPr>
      <w:pBdr/>
      <w:spacing w:after="100"/>
      <w:ind w:left="660"/>
    </w:pPr>
  </w:style>
  <w:style w:type="paragraph" w:styleId="918">
    <w:name w:val="toc 5"/>
    <w:basedOn w:val="926"/>
    <w:next w:val="926"/>
    <w:uiPriority w:val="39"/>
    <w:unhideWhenUsed/>
    <w:pPr>
      <w:pBdr/>
      <w:spacing w:after="100"/>
      <w:ind w:left="880"/>
    </w:pPr>
  </w:style>
  <w:style w:type="paragraph" w:styleId="919">
    <w:name w:val="toc 6"/>
    <w:basedOn w:val="926"/>
    <w:next w:val="926"/>
    <w:uiPriority w:val="39"/>
    <w:unhideWhenUsed/>
    <w:pPr>
      <w:pBdr/>
      <w:spacing w:after="100"/>
      <w:ind w:left="1100"/>
    </w:pPr>
  </w:style>
  <w:style w:type="paragraph" w:styleId="920">
    <w:name w:val="toc 7"/>
    <w:basedOn w:val="926"/>
    <w:next w:val="926"/>
    <w:uiPriority w:val="39"/>
    <w:unhideWhenUsed/>
    <w:pPr>
      <w:pBdr/>
      <w:spacing w:after="100"/>
      <w:ind w:left="1320"/>
    </w:pPr>
  </w:style>
  <w:style w:type="paragraph" w:styleId="921">
    <w:name w:val="toc 8"/>
    <w:basedOn w:val="926"/>
    <w:next w:val="926"/>
    <w:uiPriority w:val="39"/>
    <w:unhideWhenUsed/>
    <w:pPr>
      <w:pBdr/>
      <w:spacing w:after="100"/>
      <w:ind w:left="1540"/>
    </w:pPr>
  </w:style>
  <w:style w:type="paragraph" w:styleId="922">
    <w:name w:val="toc 9"/>
    <w:basedOn w:val="926"/>
    <w:next w:val="926"/>
    <w:uiPriority w:val="39"/>
    <w:unhideWhenUsed/>
    <w:pPr>
      <w:pBdr/>
      <w:spacing w:after="100"/>
      <w:ind w:left="1760"/>
    </w:pPr>
  </w:style>
  <w:style w:type="character" w:styleId="923">
    <w:name w:val="Placeholder Text"/>
    <w:basedOn w:val="927"/>
    <w:uiPriority w:val="99"/>
    <w:semiHidden/>
    <w:pPr>
      <w:pBdr/>
      <w:spacing/>
      <w:ind/>
    </w:pPr>
    <w:rPr>
      <w:color w:val="666666"/>
    </w:rPr>
  </w:style>
  <w:style w:type="paragraph" w:styleId="924">
    <w:name w:val="TOC Heading"/>
    <w:uiPriority w:val="39"/>
    <w:unhideWhenUsed/>
    <w:pPr>
      <w:pBdr/>
      <w:spacing/>
      <w:ind/>
    </w:pPr>
  </w:style>
  <w:style w:type="paragraph" w:styleId="925">
    <w:name w:val="table of figures"/>
    <w:basedOn w:val="926"/>
    <w:next w:val="926"/>
    <w:uiPriority w:val="99"/>
    <w:unhideWhenUsed/>
    <w:pPr>
      <w:pBdr/>
      <w:spacing w:after="0" w:afterAutospacing="0"/>
      <w:ind/>
    </w:pPr>
  </w:style>
  <w:style w:type="paragraph" w:styleId="926" w:default="1">
    <w:name w:val="Normal"/>
    <w:qFormat/>
    <w:pPr>
      <w:pBdr/>
      <w:spacing/>
      <w:ind/>
    </w:pPr>
  </w:style>
  <w:style w:type="character" w:styleId="927" w:default="1">
    <w:name w:val="Default Paragraph Font"/>
    <w:uiPriority w:val="1"/>
    <w:semiHidden/>
    <w:unhideWhenUsed/>
    <w:pPr>
      <w:pBdr/>
      <w:spacing/>
      <w:ind/>
    </w:pPr>
  </w:style>
  <w:style w:type="table" w:styleId="92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9" w:default="1">
    <w:name w:val="No List"/>
    <w:uiPriority w:val="99"/>
    <w:semiHidden/>
    <w:unhideWhenUsed/>
    <w:pPr>
      <w:pBdr/>
      <w:spacing/>
      <w:ind/>
    </w:pPr>
  </w:style>
  <w:style w:type="paragraph" w:styleId="930">
    <w:name w:val="Header"/>
    <w:basedOn w:val="926"/>
    <w:link w:val="931"/>
    <w:uiPriority w:val="99"/>
    <w:unhideWhenUsed/>
    <w:pPr>
      <w:pBdr/>
      <w:tabs>
        <w:tab w:val="center" w:leader="none" w:pos="4419"/>
        <w:tab w:val="right" w:leader="none" w:pos="8838"/>
      </w:tabs>
      <w:spacing/>
      <w:ind/>
    </w:pPr>
  </w:style>
  <w:style w:type="character" w:styleId="931" w:customStyle="1">
    <w:name w:val="Encabezado Car"/>
    <w:basedOn w:val="927"/>
    <w:link w:val="930"/>
    <w:uiPriority w:val="99"/>
    <w:pPr>
      <w:pBdr/>
      <w:spacing/>
      <w:ind/>
    </w:pPr>
  </w:style>
  <w:style w:type="paragraph" w:styleId="932">
    <w:name w:val="Footer"/>
    <w:basedOn w:val="926"/>
    <w:link w:val="933"/>
    <w:uiPriority w:val="99"/>
    <w:unhideWhenUsed/>
    <w:pPr>
      <w:pBdr/>
      <w:tabs>
        <w:tab w:val="center" w:leader="none" w:pos="4419"/>
        <w:tab w:val="right" w:leader="none" w:pos="8838"/>
      </w:tabs>
      <w:spacing/>
      <w:ind/>
    </w:pPr>
  </w:style>
  <w:style w:type="character" w:styleId="933" w:customStyle="1">
    <w:name w:val="Pie de página Car"/>
    <w:basedOn w:val="927"/>
    <w:link w:val="932"/>
    <w:uiPriority w:val="99"/>
    <w:pPr>
      <w:pBdr/>
      <w:spacing/>
      <w:ind/>
    </w:pPr>
  </w:style>
  <w:style w:type="character" w:styleId="934">
    <w:name w:val="line number"/>
    <w:basedOn w:val="927"/>
    <w:uiPriority w:val="99"/>
    <w:semiHidden/>
    <w:unhideWhenUsed/>
    <w:pPr>
      <w:pBdr/>
      <w:spacing/>
      <w:ind/>
    </w:pPr>
  </w:style>
  <w:style w:type="paragraph" w:styleId="935">
    <w:name w:val="List Paragraph"/>
    <w:basedOn w:val="92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chart" Target="charts/chart1.xml" /><Relationship Id="rId12" Type="http://schemas.openxmlformats.org/officeDocument/2006/relationships/chart" Target="charts/chart2.xml" /><Relationship Id="rId13" Type="http://schemas.openxmlformats.org/officeDocument/2006/relationships/chart" Target="charts/chart3.xml" /><Relationship Id="rId14" Type="http://schemas.openxmlformats.org/officeDocument/2006/relationships/chart" Target="charts/chart4.xml" /><Relationship Id="rId15" Type="http://schemas.openxmlformats.org/officeDocument/2006/relationships/chart" Target="charts/chart5.xml" /><Relationship Id="rId16" Type="http://schemas.openxmlformats.org/officeDocument/2006/relationships/hyperlink" Target="https://docs.google.com/spreadsheets/d/1l8lWrTO5ozZYjxqN60IO1zVMgHDf1iAa/edit?usp=drive_link&amp;ouid=112267361205813762416&amp;rtpof=true&amp;sd=true" TargetMode="External"/><Relationship Id="rId17" Type="http://schemas.openxmlformats.org/officeDocument/2006/relationships/hyperlink" Target="https://drive.google.com/drive/folders/1MyeTFjRltQXn-209YyPnzdGzzS8Vr-bx?usp=drive_link"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charts/_rels/chart1.xml.rels><?xml version="1.0" encoding="UTF-8" standalone="yes"?><Relationships xmlns="http://schemas.openxmlformats.org/package/2006/relationships"><Relationship Id="rId1" Type="http://schemas.openxmlformats.org/officeDocument/2006/relationships/oleObject" Target="file:/C:/Users/Usuario/Downloads/KOR_Audit_Data_Desarrollo_Economico_Deeber.xlsx" TargetMode="External"/></Relationships>
</file>

<file path=word/charts/_rels/chart2.xml.rels><?xml version="1.0" encoding="UTF-8" standalone="yes"?><Relationships xmlns="http://schemas.openxmlformats.org/package/2006/relationships"><Relationship Id="rId1" Type="http://schemas.openxmlformats.org/officeDocument/2006/relationships/oleObject" Target="file:/C:/Users/Usuario/Downloads/KOR_Audit_Data_Desarrollo_Economico_Deeber.xlsx" TargetMode="External"/></Relationships>
</file>

<file path=word/charts/_rels/chart3.xml.rels><?xml version="1.0" encoding="UTF-8" standalone="yes"?><Relationships xmlns="http://schemas.openxmlformats.org/package/2006/relationships"><Relationship Id="rId1" Type="http://schemas.openxmlformats.org/officeDocument/2006/relationships/oleObject" Target="file:/C:/Users/Usuario/Downloads/KOR_Audit_Data_Desarrollo_Economico_Deeber.xlsx" TargetMode="External"/></Relationships>
</file>

<file path=word/charts/_rels/chart4.xml.rels><?xml version="1.0" encoding="UTF-8" standalone="yes"?><Relationships xmlns="http://schemas.openxmlformats.org/package/2006/relationships"><Relationship Id="rId1" Type="http://schemas.openxmlformats.org/officeDocument/2006/relationships/oleObject" Target="file:/C:/Users/Usuario/Downloads/KOR_Audit_Data_Desarrollo_Economico_Deeber.xlsx" TargetMode="External"/></Relationships>
</file>

<file path=word/charts/_rels/chart5.xml.rels><?xml version="1.0" encoding="UTF-8" standalone="yes"?><Relationships xmlns="http://schemas.openxmlformats.org/package/2006/relationships"><Relationship Id="rId1" Type="http://schemas.openxmlformats.org/officeDocument/2006/relationships/oleObject" Target="file:/C:/Users/Usuario/Downloads/KOR_Audit_Data_Desarrollo_Economico_Deeber.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es-ES"/>
  <c:roundedCorners val="1"/>
  <mc:AlternateContent>
    <mc:Choice Requires="c14">
      <c14:style val="102"/>
    </mc:Choice>
    <mc:Fallback>
      <c:style val="2"/>
    </mc:Fallback>
  </mc:AlternateContent>
  <c:chart>
    <c:autoTitleDeleted val="1"/>
    <c:plotArea>
      <c:layout/>
      <c:lineChart>
        <c:grouping val="standard"/>
        <c:varyColors val="1"/>
        <c:ser>
          <c:idx val="0"/>
          <c:order val="0"/>
          <c:tx>
            <c:strRef>
              <c:f>MainData!$I$1</c:f>
              <c:strCache>
                <c:ptCount val="1"/>
                <c:pt idx="0">
                  <c:v>gdp_pc_norm</c:v>
                </c:pt>
              </c:strCache>
            </c:strRef>
          </c:tx>
          <c:spPr bwMode="auto">
            <a:prstGeom prst="rect">
              <a:avLst/>
            </a:prstGeom>
            <a:ln cmpd="sng">
              <a:solidFill>
                <a:srgbClr val="4F81BD"/>
              </a:solidFill>
            </a:ln>
          </c:spPr>
          <c:marker>
            <c:symbol val="none"/>
          </c:marker>
          <c:cat>
            <c:numRef>
              <c:f>MainData!$A$2:$A$42</c:f>
              <c:numCache>
                <c:formatCode>General</c:formatCode>
                <c:ptCount val="41"/>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numCache>
            </c:numRef>
          </c:cat>
          <c:val>
            <c:numRef>
              <c:f>MainData!$I$2:$I$42</c:f>
              <c:numCache>
                <c:formatCode>General</c:formatCode>
                <c:ptCount val="41"/>
                <c:pt idx="0">
                  <c:v>0</c:v>
                </c:pt>
                <c:pt idx="1">
                  <c:v>0.00829174452726836</c:v>
                </c:pt>
                <c:pt idx="2">
                  <c:v>0.01818728155066056</c:v>
                </c:pt>
                <c:pt idx="3">
                  <c:v>0.03670859785928792</c:v>
                </c:pt>
                <c:pt idx="4">
                  <c:v>0.05271429508592516</c:v>
                </c:pt>
                <c:pt idx="5">
                  <c:v>0.06529221210822483</c:v>
                </c:pt>
                <c:pt idx="6">
                  <c:v>0.0858777799137374</c:v>
                </c:pt>
                <c:pt idx="7">
                  <c:v>0.1114700854780177</c:v>
                </c:pt>
                <c:pt idx="8">
                  <c:v>0.1381354345997017</c:v>
                </c:pt>
                <c:pt idx="9">
                  <c:v>0.1539972960955979</c:v>
                </c:pt>
                <c:pt idx="10">
                  <c:v>0.1794683985193688</c:v>
                </c:pt>
                <c:pt idx="11">
                  <c:v>0.2114551160378787</c:v>
                </c:pt>
                <c:pt idx="12">
                  <c:v>0.2320383605359309</c:v>
                </c:pt>
                <c:pt idx="13">
                  <c:v>0.2560478558249593</c:v>
                </c:pt>
                <c:pt idx="14">
                  <c:v>0.2909157434636507</c:v>
                </c:pt>
                <c:pt idx="15">
                  <c:v>0.3304809481262262</c:v>
                </c:pt>
                <c:pt idx="16">
                  <c:v>0.3651362082959573</c:v>
                </c:pt>
                <c:pt idx="17">
                  <c:v>0.3933844847025135</c:v>
                </c:pt>
                <c:pt idx="18">
                  <c:v>0.3638145019319656</c:v>
                </c:pt>
                <c:pt idx="19">
                  <c:v>0.4191901102411367</c:v>
                </c:pt>
                <c:pt idx="20">
                  <c:v>0.4672516032729413</c:v>
                </c:pt>
                <c:pt idx="21">
                  <c:v>0.4922473340393003</c:v>
                </c:pt>
                <c:pt idx="22">
                  <c:v>0.5375954371052878</c:v>
                </c:pt>
                <c:pt idx="23">
                  <c:v>0.5552937934886849</c:v>
                </c:pt>
                <c:pt idx="24">
                  <c:v>0.588576581118646</c:v>
                </c:pt>
                <c:pt idx="25">
                  <c:v>0.6179123341709698</c:v>
                </c:pt>
                <c:pt idx="26">
                  <c:v>0.6551386432272</c:v>
                </c:pt>
                <c:pt idx="27">
                  <c:v>0.6986452543107391</c:v>
                </c:pt>
                <c:pt idx="28">
                  <c:v>0.7206802401355445</c:v>
                </c:pt>
                <c:pt idx="29">
                  <c:v>0.7243411483904056</c:v>
                </c:pt>
                <c:pt idx="30">
                  <c:v>0.7805275076825281</c:v>
                </c:pt>
                <c:pt idx="31">
                  <c:v>0.8075435210740269</c:v>
                </c:pt>
                <c:pt idx="32">
                  <c:v>0.8224533670259048</c:v>
                </c:pt>
                <c:pt idx="33">
                  <c:v>0.8447908204667601</c:v>
                </c:pt>
                <c:pt idx="34">
                  <c:v>0.8670600355178992</c:v>
                </c:pt>
                <c:pt idx="35">
                  <c:v>0.8874450337216224</c:v>
                </c:pt>
                <c:pt idx="36">
                  <c:v>0.9135680493925878</c:v>
                </c:pt>
                <c:pt idx="37">
                  <c:v>0.9457801223799382</c:v>
                </c:pt>
                <c:pt idx="38">
                  <c:v>0.9769390176589818</c:v>
                </c:pt>
                <c:pt idx="39">
                  <c:v>1</c:v>
                </c:pt>
                <c:pt idx="40">
                  <c:v>0.9900305096677781</c:v>
                </c:pt>
              </c:numCache>
            </c:numRef>
          </c:val>
          <c:smooth val="0"/>
        </c:ser>
        <c:dLbls>
          <c:showBubbleSize val="0"/>
          <c:showCatName val="0"/>
          <c:showLeaderLines val="0"/>
          <c:showLegendKey val="0"/>
          <c:showPercent val="0"/>
          <c:showSerName val="0"/>
          <c:showVal val="0"/>
        </c:dLbls>
        <c:smooth val="0"/>
        <c:axId val="1267648658"/>
        <c:axId val="1513334238"/>
      </c:lineChart>
      <c:catAx>
        <c:axId val="1267648658"/>
        <c:scaling>
          <c:orientation val="minMax"/>
        </c:scaling>
        <c:delete val="0"/>
        <c:axPos val="b"/>
        <c:title>
          <c:tx>
            <c:rich>
              <a:bodyPr/>
              <a:lstStyle/>
              <a:p>
                <a:pPr lvl="0">
                  <a:defRPr b="1" i="0">
                    <a:solidFill>
                      <a:srgbClr val="000000"/>
                    </a:solidFill>
                    <a:latin typeface="+mn-lt"/>
                  </a:defRPr>
                </a:pPr>
                <a:r>
                  <a:rPr lang="es-EC" b="1" i="0">
                    <a:solidFill>
                      <a:srgbClr val="000000"/>
                    </a:solidFill>
                    <a:latin typeface="+mn-lt"/>
                  </a:rPr>
                  <a:t>Año</a:t>
                </a:r>
                <a:endParaRPr/>
              </a:p>
            </c:rich>
          </c:tx>
          <c:layout/>
          <c:overlay val="0"/>
        </c:title>
        <c:numFmt formatCode="General" sourceLinked="1"/>
        <c:majorTickMark val="none"/>
        <c:minorTickMark val="none"/>
        <c:tickLblPos val="nextTo"/>
        <c:txPr>
          <a:bodyPr/>
          <a:lstStyle/>
          <a:p>
            <a:pPr lvl="0">
              <a:defRPr b="0">
                <a:solidFill>
                  <a:srgbClr val="000000"/>
                </a:solidFill>
                <a:latin typeface="+mn-lt"/>
              </a:defRPr>
            </a:pPr>
            <a:endParaRPr lang="es-EC"/>
          </a:p>
        </c:txPr>
        <c:crossAx val="1513334238"/>
        <c:crosses val="autoZero"/>
        <c:auto val="1"/>
        <c:lblAlgn val="ctr"/>
        <c:lblOffset val="100"/>
        <c:noMultiLvlLbl val="1"/>
      </c:catAx>
      <c:valAx>
        <c:axId val="1513334238"/>
        <c:scaling>
          <c:orientation val="minMax"/>
        </c:scaling>
        <c:delete val="0"/>
        <c:axPos val="l"/>
        <c:majorGridlines>
          <c:spPr bwMode="auto">
            <a:prstGeom prst="rect">
              <a:avLst/>
            </a:prstGeom>
            <a:ln>
              <a:solidFill>
                <a:srgbClr val="B7B7B7"/>
              </a:solidFill>
            </a:ln>
          </c:spPr>
        </c:majorGridlines>
        <c:title>
          <c:tx>
            <c:rich>
              <a:bodyPr/>
              <a:lstStyle/>
              <a:p>
                <a:pPr lvl="0">
                  <a:defRPr b="1" i="0">
                    <a:solidFill>
                      <a:srgbClr val="000000"/>
                    </a:solidFill>
                    <a:latin typeface="+mn-lt"/>
                  </a:defRPr>
                </a:pPr>
                <a:r>
                  <a:rPr lang="es-EC" b="1" i="0">
                    <a:solidFill>
                      <a:srgbClr val="000000"/>
                    </a:solidFill>
                    <a:latin typeface="+mn-lt"/>
                  </a:rPr>
                  <a:t>Índice (0-1)</a:t>
                </a:r>
                <a:endParaRPr/>
              </a:p>
            </c:rich>
          </c:tx>
          <c:layout/>
          <c:overlay val="0"/>
        </c:title>
        <c:numFmt formatCode="General" sourceLinked="1"/>
        <c:majorTickMark val="none"/>
        <c:minorTickMark val="none"/>
        <c:tickLblPos val="nextTo"/>
        <c:spPr bwMode="auto">
          <a:ln/>
        </c:spPr>
        <c:txPr>
          <a:bodyPr/>
          <a:lstStyle/>
          <a:p>
            <a:pPr lvl="0">
              <a:defRPr b="0">
                <a:solidFill>
                  <a:srgbClr val="000000"/>
                </a:solidFill>
                <a:latin typeface="+mn-lt"/>
              </a:defRPr>
            </a:pPr>
            <a:endParaRPr lang="es-EC"/>
          </a:p>
        </c:txPr>
        <c:crossAx val="1267648658"/>
        <c:crosses val="autoZero"/>
        <c:crossBetween val="between"/>
      </c:valAx>
      <c:spPr bwMode="auto">
        <a:prstGeom prst="rect">
          <a:avLst/>
        </a:prstGeom>
        <a:ln>
          <a:noFill/>
        </a:ln>
      </c:spPr>
    </c:plotArea>
    <c:plotVisOnly val="1"/>
    <c:dispBlanksAs val="zero"/>
    <c:showDLblsOverMax val="1"/>
  </c:chart>
  <c:spPr bwMode="auto">
    <a:xfrm>
      <a:off x="0" y="0"/>
      <a:ext cx="4597740" cy="2203333"/>
    </a:xfrm>
    <a:prstGeom prst="rect">
      <a:avLst/>
    </a:prstGeom>
    <a:ln>
      <a:noFill/>
    </a:ln>
  </c:spPr>
  <c:externalData r:id="rId1">
    <c:autoUpdate val="1"/>
  </c:externalData>
</c:chartSpace>
</file>

<file path=word/charts/chart2.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es-ES"/>
  <c:roundedCorners val="1"/>
  <mc:AlternateContent>
    <mc:Choice Requires="c14">
      <c14:style val="102"/>
    </mc:Choice>
    <mc:Fallback>
      <c:style val="2"/>
    </mc:Fallback>
  </mc:AlternateContent>
  <c:chart>
    <c:autoTitleDeleted val="1"/>
    <c:plotArea>
      <c:layout/>
      <c:lineChart>
        <c:grouping val="standard"/>
        <c:varyColors val="1"/>
        <c:ser>
          <c:idx val="0"/>
          <c:order val="0"/>
          <c:tx>
            <c:strRef>
              <c:f>MainData!$Q$1</c:f>
              <c:strCache>
                <c:ptCount val="1"/>
                <c:pt idx="0">
                  <c:v>csh_i_norm</c:v>
                </c:pt>
              </c:strCache>
            </c:strRef>
          </c:tx>
          <c:marker>
            <c:symbol val="none"/>
          </c:marker>
          <c:cat>
            <c:numRef>
              <c:f>MainData!$A$2:$A$42</c:f>
              <c:numCache>
                <c:formatCode>General</c:formatCode>
                <c:ptCount val="41"/>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numCache>
            </c:numRef>
          </c:cat>
          <c:val>
            <c:numRef>
              <c:f>MainData!$Q$2:$Q$42</c:f>
              <c:numCache>
                <c:formatCode>General</c:formatCode>
                <c:ptCount val="41"/>
                <c:pt idx="0">
                  <c:v>0.28391728292442</c:v>
                </c:pt>
                <c:pt idx="1">
                  <c:v>0.1798935364248983</c:v>
                </c:pt>
                <c:pt idx="2">
                  <c:v>0.1617468798596417</c:v>
                </c:pt>
                <c:pt idx="3">
                  <c:v>0.123978535520061</c:v>
                </c:pt>
                <c:pt idx="4">
                  <c:v>0.06509276839034599</c:v>
                </c:pt>
                <c:pt idx="5">
                  <c:v>0.04380925506169702</c:v>
                </c:pt>
                <c:pt idx="6">
                  <c:v>0.06589101516131922</c:v>
                </c:pt>
                <c:pt idx="7">
                  <c:v>0.1208634560941234</c:v>
                </c:pt>
                <c:pt idx="8">
                  <c:v>0.2644728810804017</c:v>
                </c:pt>
                <c:pt idx="9">
                  <c:v>0.4205602603465348</c:v>
                </c:pt>
                <c:pt idx="10">
                  <c:v>0.5273379198655312</c:v>
                </c:pt>
                <c:pt idx="11">
                  <c:v>0.7282226625402167</c:v>
                </c:pt>
                <c:pt idx="12">
                  <c:v>0.6859551509537556</c:v>
                </c:pt>
                <c:pt idx="13">
                  <c:v>0.6981059850871246</c:v>
                </c:pt>
                <c:pt idx="14">
                  <c:v>0.8328181408288267</c:v>
                </c:pt>
                <c:pt idx="15">
                  <c:v>0.8801228119143482</c:v>
                </c:pt>
                <c:pt idx="16">
                  <c:v>1</c:v>
                </c:pt>
                <c:pt idx="17">
                  <c:v>0.6273912896784597</c:v>
                </c:pt>
                <c:pt idx="18">
                  <c:v>0</c:v>
                </c:pt>
                <c:pt idx="19">
                  <c:v>0.01204992224570357</c:v>
                </c:pt>
                <c:pt idx="20">
                  <c:v>0.1305488502485978</c:v>
                </c:pt>
                <c:pt idx="21">
                  <c:v>0.1248531563336746</c:v>
                </c:pt>
                <c:pt idx="22">
                  <c:v>0.1435540614734353</c:v>
                </c:pt>
                <c:pt idx="23">
                  <c:v>0.2526632763544102</c:v>
                </c:pt>
                <c:pt idx="24">
                  <c:v>0.3187783527131177</c:v>
                </c:pt>
                <c:pt idx="25">
                  <c:v>0.3624064878062226</c:v>
                </c:pt>
                <c:pt idx="26">
                  <c:v>0.3750555935551344</c:v>
                </c:pt>
                <c:pt idx="27">
                  <c:v>0.3754144595386254</c:v>
                </c:pt>
                <c:pt idx="28">
                  <c:v>0.4300094777426377</c:v>
                </c:pt>
                <c:pt idx="29">
                  <c:v>0.175548190794015</c:v>
                </c:pt>
                <c:pt idx="30">
                  <c:v>0.2471287654089982</c:v>
                </c:pt>
                <c:pt idx="31">
                  <c:v>0.227353102657138</c:v>
                </c:pt>
                <c:pt idx="32">
                  <c:v>0.1703027663353011</c:v>
                </c:pt>
                <c:pt idx="33">
                  <c:v>0.1757107540173063</c:v>
                </c:pt>
                <c:pt idx="34">
                  <c:v>0.1586184579804702</c:v>
                </c:pt>
                <c:pt idx="35">
                  <c:v>0.06814098218859053</c:v>
                </c:pt>
                <c:pt idx="36">
                  <c:v>0.0945880249181821</c:v>
                </c:pt>
                <c:pt idx="37">
                  <c:v>0.2264964251427024</c:v>
                </c:pt>
                <c:pt idx="38">
                  <c:v>0.2069066365669079</c:v>
                </c:pt>
                <c:pt idx="39">
                  <c:v>0.1853257552288596</c:v>
                </c:pt>
                <c:pt idx="40">
                  <c:v>0.1918055866538648</c:v>
                </c:pt>
              </c:numCache>
            </c:numRef>
          </c:val>
          <c:smooth val="0"/>
        </c:ser>
        <c:ser>
          <c:idx val="1"/>
          <c:order val="1"/>
          <c:tx>
            <c:strRef>
              <c:f>MainData!$R$1</c:f>
              <c:strCache>
                <c:ptCount val="1"/>
                <c:pt idx="0">
                  <c:v>fdi_norm</c:v>
                </c:pt>
              </c:strCache>
            </c:strRef>
          </c:tx>
          <c:marker>
            <c:symbol val="none"/>
          </c:marker>
          <c:cat>
            <c:numRef>
              <c:f>MainData!$A$2:$A$42</c:f>
              <c:numCache>
                <c:formatCode>General</c:formatCode>
                <c:ptCount val="41"/>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numCache>
            </c:numRef>
          </c:cat>
          <c:val>
            <c:numRef>
              <c:f>MainData!$R$2:$R$42</c:f>
              <c:numCache>
                <c:formatCode>General</c:formatCode>
                <c:ptCount val="41"/>
                <c:pt idx="0">
                  <c:v>0</c:v>
                </c:pt>
                <c:pt idx="1">
                  <c:v>0.06869089099054257</c:v>
                </c:pt>
                <c:pt idx="2">
                  <c:v>0.03982080637132902</c:v>
                </c:pt>
                <c:pt idx="3">
                  <c:v>0.06719761075161773</c:v>
                </c:pt>
                <c:pt idx="4">
                  <c:v>0.07615729218516677</c:v>
                </c:pt>
                <c:pt idx="5">
                  <c:v>0.1348929815828771</c:v>
                </c:pt>
                <c:pt idx="6">
                  <c:v>0.2478845196615231</c:v>
                </c:pt>
                <c:pt idx="7">
                  <c:v>0.2389248382279741</c:v>
                </c:pt>
                <c:pt idx="8">
                  <c:v>0.27775012444002</c:v>
                </c:pt>
                <c:pt idx="9">
                  <c:v>0.2369337979094077</c:v>
                </c:pt>
                <c:pt idx="10">
                  <c:v>0.1428571428571428</c:v>
                </c:pt>
                <c:pt idx="11">
                  <c:v>0.1772025883524141</c:v>
                </c:pt>
                <c:pt idx="12">
                  <c:v>0.1005475360876058</c:v>
                </c:pt>
                <c:pt idx="13">
                  <c:v>0.06669985067197612</c:v>
                </c:pt>
                <c:pt idx="14">
                  <c:v>0.08262817322050771</c:v>
                </c:pt>
                <c:pt idx="15">
                  <c:v>0.1757093081134893</c:v>
                </c:pt>
                <c:pt idx="16">
                  <c:v>0.1841712294673967</c:v>
                </c:pt>
                <c:pt idx="17">
                  <c:v>0.2434046789447487</c:v>
                </c:pt>
                <c:pt idx="18">
                  <c:v>0.7147834743653559</c:v>
                </c:pt>
                <c:pt idx="19">
                  <c:v>1</c:v>
                </c:pt>
                <c:pt idx="20">
                  <c:v>0.9233449477351917</c:v>
                </c:pt>
                <c:pt idx="21">
                  <c:v>0.5365853658536586</c:v>
                </c:pt>
                <c:pt idx="22">
                  <c:v>0.3837730214036835</c:v>
                </c:pt>
                <c:pt idx="23">
                  <c:v>0.443504230960677</c:v>
                </c:pt>
                <c:pt idx="24">
                  <c:v>0.7685415629666501</c:v>
                </c:pt>
                <c:pt idx="25">
                  <c:v>0.6635141861622698</c:v>
                </c:pt>
                <c:pt idx="26">
                  <c:v>0.3812842210054754</c:v>
                </c:pt>
                <c:pt idx="27">
                  <c:v>0.3245395719263315</c:v>
                </c:pt>
                <c:pt idx="28">
                  <c:v>0.4748631159780985</c:v>
                </c:pt>
                <c:pt idx="29">
                  <c:v>0.4216027874564461</c:v>
                </c:pt>
                <c:pt idx="30">
                  <c:v>0.3608760577401693</c:v>
                </c:pt>
                <c:pt idx="31">
                  <c:v>0.3369835739173719</c:v>
                </c:pt>
                <c:pt idx="32">
                  <c:v>0.3185664509706322</c:v>
                </c:pt>
                <c:pt idx="33">
                  <c:v>0.4076655052264809</c:v>
                </c:pt>
                <c:pt idx="34">
                  <c:v>0.2613240418118467</c:v>
                </c:pt>
                <c:pt idx="35">
                  <c:v>0.0975609756097561</c:v>
                </c:pt>
                <c:pt idx="36">
                  <c:v>0.3464410154305625</c:v>
                </c:pt>
                <c:pt idx="37">
                  <c:v>0.485813837730214</c:v>
                </c:pt>
                <c:pt idx="38">
                  <c:v>0.2971627675460429</c:v>
                </c:pt>
                <c:pt idx="39">
                  <c:v>0.2384270781483325</c:v>
                </c:pt>
                <c:pt idx="40">
                  <c:v>0.2150323544051767</c:v>
                </c:pt>
              </c:numCache>
            </c:numRef>
          </c:val>
          <c:smooth val="0"/>
        </c:ser>
        <c:dLbls>
          <c:showBubbleSize val="0"/>
          <c:showCatName val="0"/>
          <c:showLeaderLines val="0"/>
          <c:showLegendKey val="0"/>
          <c:showPercent val="0"/>
          <c:showSerName val="0"/>
          <c:showVal val="0"/>
        </c:dLbls>
        <c:smooth val="0"/>
        <c:axId val="206948060"/>
        <c:axId val="1614280561"/>
      </c:lineChart>
      <c:catAx>
        <c:axId val="206948060"/>
        <c:scaling>
          <c:orientation val="minMax"/>
        </c:scaling>
        <c:delete val="0"/>
        <c:axPos val="b"/>
        <c:title>
          <c:tx>
            <c:rich>
              <a:bodyPr/>
              <a:lstStyle/>
              <a:p>
                <a:pPr lvl="0">
                  <a:defRPr b="1" i="0">
                    <a:solidFill>
                      <a:srgbClr val="000000"/>
                    </a:solidFill>
                    <a:latin typeface="+mn-lt"/>
                  </a:defRPr>
                </a:pPr>
                <a:r>
                  <a:rPr lang="es-EC" b="1" i="0">
                    <a:solidFill>
                      <a:srgbClr val="000000"/>
                    </a:solidFill>
                    <a:latin typeface="+mn-lt"/>
                  </a:rPr>
                  <a:t>Año</a:t>
                </a:r>
                <a:endParaRPr/>
              </a:p>
            </c:rich>
          </c:tx>
          <c:layout/>
          <c:overlay val="0"/>
        </c:title>
        <c:numFmt formatCode="General" sourceLinked="1"/>
        <c:majorTickMark val="none"/>
        <c:minorTickMark val="none"/>
        <c:tickLblPos val="nextTo"/>
        <c:txPr>
          <a:bodyPr/>
          <a:lstStyle/>
          <a:p>
            <a:pPr lvl="0">
              <a:defRPr b="0">
                <a:solidFill>
                  <a:srgbClr val="000000"/>
                </a:solidFill>
                <a:latin typeface="+mn-lt"/>
              </a:defRPr>
            </a:pPr>
            <a:endParaRPr lang="es-EC"/>
          </a:p>
        </c:txPr>
        <c:crossAx val="1614280561"/>
        <c:crosses val="autoZero"/>
        <c:auto val="1"/>
        <c:lblAlgn val="ctr"/>
        <c:lblOffset val="100"/>
        <c:noMultiLvlLbl val="1"/>
      </c:catAx>
      <c:valAx>
        <c:axId val="1614280561"/>
        <c:scaling>
          <c:orientation val="minMax"/>
        </c:scaling>
        <c:delete val="0"/>
        <c:axPos val="l"/>
        <c:majorGridlines>
          <c:spPr bwMode="auto">
            <a:prstGeom prst="rect">
              <a:avLst/>
            </a:prstGeom>
            <a:ln>
              <a:solidFill>
                <a:srgbClr val="B7B7B7"/>
              </a:solidFill>
            </a:ln>
          </c:spPr>
        </c:majorGridlines>
        <c:title>
          <c:tx>
            <c:rich>
              <a:bodyPr/>
              <a:lstStyle/>
              <a:p>
                <a:pPr lvl="0">
                  <a:defRPr b="1" i="0">
                    <a:solidFill>
                      <a:srgbClr val="000000"/>
                    </a:solidFill>
                    <a:latin typeface="+mn-lt"/>
                  </a:defRPr>
                </a:pPr>
                <a:r>
                  <a:rPr lang="es-EC" b="1" i="0">
                    <a:solidFill>
                      <a:srgbClr val="000000"/>
                    </a:solidFill>
                    <a:latin typeface="+mn-lt"/>
                  </a:rPr>
                  <a:t>Índice (0-1)</a:t>
                </a:r>
                <a:endParaRPr/>
              </a:p>
            </c:rich>
          </c:tx>
          <c:layout/>
          <c:overlay val="0"/>
        </c:title>
        <c:numFmt formatCode="General" sourceLinked="1"/>
        <c:majorTickMark val="none"/>
        <c:minorTickMark val="none"/>
        <c:tickLblPos val="nextTo"/>
        <c:spPr bwMode="auto">
          <a:ln/>
        </c:spPr>
        <c:txPr>
          <a:bodyPr/>
          <a:lstStyle/>
          <a:p>
            <a:pPr lvl="0">
              <a:defRPr b="0">
                <a:solidFill>
                  <a:srgbClr val="000000"/>
                </a:solidFill>
                <a:latin typeface="+mn-lt"/>
              </a:defRPr>
            </a:pPr>
            <a:endParaRPr lang="es-EC"/>
          </a:p>
        </c:txPr>
        <c:crossAx val="206948060"/>
        <c:crosses val="autoZero"/>
        <c:crossBetween val="between"/>
      </c:valAx>
    </c:plotArea>
    <c:legend>
      <c:legendPos val="r"/>
      <c:layout/>
      <c:overlay val="0"/>
      <c:txPr>
        <a:bodyPr/>
        <a:lstStyle/>
        <a:p>
          <a:pPr lvl="0" rtl="0">
            <a:defRPr b="0">
              <a:solidFill>
                <a:srgbClr val="1A1A1A"/>
              </a:solidFill>
              <a:latin typeface="+mn-lt"/>
            </a:defRPr>
          </a:pPr>
          <a:endParaRPr lang="es-EC"/>
        </a:p>
      </c:txPr>
    </c:legend>
    <c:plotVisOnly val="1"/>
    <c:dispBlanksAs val="zero"/>
    <c:showDLblsOverMax val="1"/>
  </c:chart>
  <c:spPr bwMode="auto">
    <a:xfrm>
      <a:off x="0" y="0"/>
      <a:ext cx="4974782" cy="2353650"/>
    </a:xfrm>
    <a:prstGeom prst="rect">
      <a:avLst/>
    </a:prstGeom>
    <a:ln>
      <a:noFill/>
    </a:ln>
  </c:spPr>
  <c:externalData r:id="rId1">
    <c:autoUpdate val="1"/>
  </c:externalData>
</c:chartSpace>
</file>

<file path=word/charts/chart3.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es-ES"/>
  <c:roundedCorners val="1"/>
  <mc:AlternateContent>
    <mc:Choice Requires="c14">
      <c14:style val="102"/>
    </mc:Choice>
    <mc:Fallback>
      <c:style val="2"/>
    </mc:Fallback>
  </mc:AlternateContent>
  <c:chart>
    <c:autoTitleDeleted val="1"/>
    <c:plotArea>
      <c:layout/>
      <c:lineChart>
        <c:grouping val="standard"/>
        <c:varyColors val="1"/>
        <c:ser>
          <c:idx val="1"/>
          <c:order val="0"/>
          <c:tx>
            <c:strRef>
              <c:f>MainData!$J$1</c:f>
              <c:strCache>
                <c:ptCount val="1"/>
                <c:pt idx="0">
                  <c:v>hc_norm</c:v>
                </c:pt>
              </c:strCache>
            </c:strRef>
          </c:tx>
          <c:spPr bwMode="auto">
            <a:prstGeom prst="rect">
              <a:avLst/>
            </a:prstGeom>
            <a:ln cmpd="sng">
              <a:solidFill>
                <a:srgbClr val="C0504D"/>
              </a:solidFill>
            </a:ln>
          </c:spPr>
          <c:marker>
            <c:symbol val="none"/>
          </c:marker>
          <c:cat>
            <c:numRef>
              <c:f>MainData!$A$2:$A$42</c:f>
              <c:numCache>
                <c:formatCode>General</c:formatCode>
                <c:ptCount val="41"/>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numCache>
            </c:numRef>
          </c:cat>
          <c:val>
            <c:numRef>
              <c:f>MainData!$J$2:$J$42</c:f>
              <c:numCache>
                <c:formatCode>General</c:formatCode>
                <c:ptCount val="41"/>
                <c:pt idx="0">
                  <c:v>0</c:v>
                </c:pt>
                <c:pt idx="1">
                  <c:v>0.03971357946682404</c:v>
                </c:pt>
                <c:pt idx="2">
                  <c:v>0.08032754100321154</c:v>
                </c:pt>
                <c:pt idx="3">
                  <c:v>0.1214384213812452</c:v>
                </c:pt>
                <c:pt idx="4">
                  <c:v>0.1499251221766451</c:v>
                </c:pt>
                <c:pt idx="5">
                  <c:v>0.1788451013304639</c:v>
                </c:pt>
                <c:pt idx="6">
                  <c:v>0.2082049844272604</c:v>
                </c:pt>
                <c:pt idx="7">
                  <c:v>0.2380112226940889</c:v>
                </c:pt>
                <c:pt idx="8">
                  <c:v>0.2682709647879823</c:v>
                </c:pt>
                <c:pt idx="9">
                  <c:v>0.2989908362934839</c:v>
                </c:pt>
                <c:pt idx="10">
                  <c:v>0.3301779858676265</c:v>
                </c:pt>
                <c:pt idx="11">
                  <c:v>0.3541662634649718</c:v>
                </c:pt>
                <c:pt idx="12">
                  <c:v>0.3784310720387595</c:v>
                </c:pt>
                <c:pt idx="13">
                  <c:v>0.4029753756662868</c:v>
                </c:pt>
                <c:pt idx="14">
                  <c:v>0.4278024871398219</c:v>
                </c:pt>
                <c:pt idx="15">
                  <c:v>0.4529155448941733</c:v>
                </c:pt>
                <c:pt idx="16">
                  <c:v>0.47831821043658</c:v>
                </c:pt>
                <c:pt idx="17">
                  <c:v>0.5040136222018434</c:v>
                </c:pt>
                <c:pt idx="18">
                  <c:v>0.530004918624742</c:v>
                </c:pt>
                <c:pt idx="19">
                  <c:v>0.5562957612125369</c:v>
                </c:pt>
                <c:pt idx="20">
                  <c:v>0.5828896371149853</c:v>
                </c:pt>
                <c:pt idx="21">
                  <c:v>0.6023128869537518</c:v>
                </c:pt>
                <c:pt idx="22">
                  <c:v>0.6218977661841641</c:v>
                </c:pt>
                <c:pt idx="23">
                  <c:v>0.6416454953086453</c:v>
                </c:pt>
                <c:pt idx="24">
                  <c:v>0.6615576435445951</c:v>
                </c:pt>
                <c:pt idx="25">
                  <c:v>0.6816354313944222</c:v>
                </c:pt>
                <c:pt idx="26">
                  <c:v>0.7018802537180382</c:v>
                </c:pt>
                <c:pt idx="27">
                  <c:v>0.7222935053753543</c:v>
                </c:pt>
                <c:pt idx="28">
                  <c:v>0.7428765812262678</c:v>
                </c:pt>
                <c:pt idx="29">
                  <c:v>0.7636308761306831</c:v>
                </c:pt>
                <c:pt idx="30">
                  <c:v>0.7845579593060079</c:v>
                </c:pt>
                <c:pt idx="31">
                  <c:v>0.8023480025518955</c:v>
                </c:pt>
                <c:pt idx="32">
                  <c:v>0.8202628857594058</c:v>
                </c:pt>
                <c:pt idx="33">
                  <c:v>0.8383034807159763</c:v>
                </c:pt>
                <c:pt idx="34">
                  <c:v>0.8564704848515554</c:v>
                </c:pt>
                <c:pt idx="35">
                  <c:v>0.8747649443110921</c:v>
                </c:pt>
                <c:pt idx="36">
                  <c:v>0.8988421442274673</c:v>
                </c:pt>
                <c:pt idx="37">
                  <c:v>0.9233922016521081</c:v>
                </c:pt>
                <c:pt idx="38">
                  <c:v>0.948427147251701</c:v>
                </c:pt>
                <c:pt idx="39">
                  <c:v>0.9739588373354433</c:v>
                </c:pt>
                <c:pt idx="40">
                  <c:v>1</c:v>
                </c:pt>
              </c:numCache>
            </c:numRef>
          </c:val>
          <c:smooth val="0"/>
        </c:ser>
        <c:ser>
          <c:idx val="0"/>
          <c:order val="1"/>
          <c:tx>
            <c:strRef>
              <c:f>MainData!$T$1</c:f>
              <c:strCache>
                <c:ptCount val="1"/>
                <c:pt idx="0">
                  <c:v>emp_norm</c:v>
                </c:pt>
              </c:strCache>
            </c:strRef>
          </c:tx>
          <c:marker>
            <c:symbol val="none"/>
          </c:marker>
          <c:cat>
            <c:numRef>
              <c:f>MainData!$A$2:$A$42</c:f>
              <c:numCache>
                <c:formatCode>General</c:formatCode>
                <c:ptCount val="41"/>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numCache>
            </c:numRef>
          </c:cat>
          <c:val>
            <c:numRef>
              <c:f>MainData!$T$2:$T$42</c:f>
              <c:numCache>
                <c:formatCode>General</c:formatCode>
                <c:ptCount val="41"/>
                <c:pt idx="0">
                  <c:v>0</c:v>
                </c:pt>
                <c:pt idx="1">
                  <c:v>0.02433025919508658</c:v>
                </c:pt>
                <c:pt idx="2">
                  <c:v>0.05056061895408831</c:v>
                </c:pt>
                <c:pt idx="3">
                  <c:v>0.05876212927048846</c:v>
                </c:pt>
                <c:pt idx="4">
                  <c:v>0.05206065286901999</c:v>
                </c:pt>
                <c:pt idx="5">
                  <c:v>0.09221449851328772</c:v>
                </c:pt>
                <c:pt idx="6">
                  <c:v>0.1323313329520839</c:v>
                </c:pt>
                <c:pt idx="7">
                  <c:v>0.1963591342719004</c:v>
                </c:pt>
                <c:pt idx="8">
                  <c:v>0.2357211993416289</c:v>
                </c:pt>
                <c:pt idx="9">
                  <c:v>0.2851187735667389</c:v>
                </c:pt>
                <c:pt idx="10">
                  <c:v>0.3249700490060015</c:v>
                </c:pt>
                <c:pt idx="11">
                  <c:v>0.3657464605694549</c:v>
                </c:pt>
                <c:pt idx="12">
                  <c:v>0.3920370895482507</c:v>
                </c:pt>
                <c:pt idx="13">
                  <c:v>0.4096731449717402</c:v>
                </c:pt>
                <c:pt idx="14">
                  <c:v>0.4562667963546975</c:v>
                </c:pt>
                <c:pt idx="15">
                  <c:v>0.4994604572712857</c:v>
                </c:pt>
                <c:pt idx="16">
                  <c:v>0.5334751952197114</c:v>
                </c:pt>
                <c:pt idx="17">
                  <c:v>0.5616954473193024</c:v>
                </c:pt>
                <c:pt idx="18">
                  <c:v>0.4656590017948289</c:v>
                </c:pt>
                <c:pt idx="19">
                  <c:v>0.4924270321204027</c:v>
                </c:pt>
                <c:pt idx="20">
                  <c:v>0.5568164487589916</c:v>
                </c:pt>
                <c:pt idx="21">
                  <c:v>0.5886023056684913</c:v>
                </c:pt>
                <c:pt idx="22">
                  <c:v>0.6336892985627691</c:v>
                </c:pt>
                <c:pt idx="23">
                  <c:v>0.6330766695041905</c:v>
                </c:pt>
                <c:pt idx="24">
                  <c:v>0.6643273760653909</c:v>
                </c:pt>
                <c:pt idx="25">
                  <c:v>0.6756152176827721</c:v>
                </c:pt>
                <c:pt idx="26">
                  <c:v>0.7025550548881926</c:v>
                </c:pt>
                <c:pt idx="27">
                  <c:v>0.730710357362634</c:v>
                </c:pt>
                <c:pt idx="28">
                  <c:v>0.7468383141727196</c:v>
                </c:pt>
                <c:pt idx="29">
                  <c:v>0.7402618405974898</c:v>
                </c:pt>
                <c:pt idx="30">
                  <c:v>0.7663409152539891</c:v>
                </c:pt>
                <c:pt idx="31">
                  <c:v>0.8036171036701163</c:v>
                </c:pt>
                <c:pt idx="32">
                  <c:v>0.8359628810732045</c:v>
                </c:pt>
                <c:pt idx="33">
                  <c:v>0.861951515896891</c:v>
                </c:pt>
                <c:pt idx="34">
                  <c:v>0.9070953937178614</c:v>
                </c:pt>
                <c:pt idx="35">
                  <c:v>0.9335595577261764</c:v>
                </c:pt>
                <c:pt idx="36">
                  <c:v>0.9500495618924599</c:v>
                </c:pt>
                <c:pt idx="37">
                  <c:v>0.9742787963379966</c:v>
                </c:pt>
                <c:pt idx="38">
                  <c:v>0.9769444672064221</c:v>
                </c:pt>
                <c:pt idx="39">
                  <c:v>1</c:v>
                </c:pt>
                <c:pt idx="40">
                  <c:v>0.9844207307106496</c:v>
                </c:pt>
              </c:numCache>
            </c:numRef>
          </c:val>
          <c:smooth val="0"/>
        </c:ser>
        <c:dLbls>
          <c:showBubbleSize val="0"/>
          <c:showCatName val="0"/>
          <c:showLeaderLines val="0"/>
          <c:showLegendKey val="0"/>
          <c:showPercent val="0"/>
          <c:showSerName val="0"/>
          <c:showVal val="0"/>
        </c:dLbls>
        <c:smooth val="0"/>
        <c:axId val="1267648658"/>
        <c:axId val="1513334238"/>
      </c:lineChart>
      <c:catAx>
        <c:axId val="1267648658"/>
        <c:scaling>
          <c:orientation val="minMax"/>
        </c:scaling>
        <c:delete val="0"/>
        <c:axPos val="b"/>
        <c:title>
          <c:tx>
            <c:rich>
              <a:bodyPr/>
              <a:lstStyle/>
              <a:p>
                <a:pPr lvl="0">
                  <a:defRPr b="1" i="0">
                    <a:solidFill>
                      <a:srgbClr val="000000"/>
                    </a:solidFill>
                    <a:latin typeface="+mn-lt"/>
                  </a:defRPr>
                </a:pPr>
                <a:r>
                  <a:rPr lang="es-EC" b="1" i="0">
                    <a:solidFill>
                      <a:srgbClr val="000000"/>
                    </a:solidFill>
                    <a:latin typeface="+mn-lt"/>
                  </a:rPr>
                  <a:t>Año</a:t>
                </a:r>
                <a:endParaRPr/>
              </a:p>
            </c:rich>
          </c:tx>
          <c:layout/>
          <c:overlay val="0"/>
        </c:title>
        <c:numFmt formatCode="General" sourceLinked="1"/>
        <c:majorTickMark val="none"/>
        <c:minorTickMark val="none"/>
        <c:tickLblPos val="nextTo"/>
        <c:txPr>
          <a:bodyPr/>
          <a:lstStyle/>
          <a:p>
            <a:pPr lvl="0">
              <a:defRPr b="0">
                <a:solidFill>
                  <a:srgbClr val="000000"/>
                </a:solidFill>
                <a:latin typeface="+mn-lt"/>
              </a:defRPr>
            </a:pPr>
            <a:endParaRPr lang="es-EC"/>
          </a:p>
        </c:txPr>
        <c:crossAx val="1513334238"/>
        <c:crosses val="autoZero"/>
        <c:auto val="1"/>
        <c:lblAlgn val="ctr"/>
        <c:lblOffset val="100"/>
        <c:noMultiLvlLbl val="1"/>
      </c:catAx>
      <c:valAx>
        <c:axId val="1513334238"/>
        <c:scaling>
          <c:orientation val="minMax"/>
        </c:scaling>
        <c:delete val="0"/>
        <c:axPos val="l"/>
        <c:majorGridlines>
          <c:spPr bwMode="auto">
            <a:prstGeom prst="rect">
              <a:avLst/>
            </a:prstGeom>
            <a:ln>
              <a:solidFill>
                <a:srgbClr val="B7B7B7"/>
              </a:solidFill>
            </a:ln>
          </c:spPr>
        </c:majorGridlines>
        <c:title>
          <c:tx>
            <c:rich>
              <a:bodyPr/>
              <a:lstStyle/>
              <a:p>
                <a:pPr lvl="0">
                  <a:defRPr b="1" i="0">
                    <a:solidFill>
                      <a:srgbClr val="000000"/>
                    </a:solidFill>
                    <a:latin typeface="+mn-lt"/>
                  </a:defRPr>
                </a:pPr>
                <a:r>
                  <a:rPr lang="es-EC" b="1" i="0">
                    <a:solidFill>
                      <a:srgbClr val="000000"/>
                    </a:solidFill>
                    <a:latin typeface="+mn-lt"/>
                  </a:rPr>
                  <a:t>Índice (0-1)</a:t>
                </a:r>
                <a:endParaRPr/>
              </a:p>
            </c:rich>
          </c:tx>
          <c:layout/>
          <c:overlay val="0"/>
        </c:title>
        <c:numFmt formatCode="General" sourceLinked="1"/>
        <c:majorTickMark val="none"/>
        <c:minorTickMark val="none"/>
        <c:tickLblPos val="nextTo"/>
        <c:spPr bwMode="auto">
          <a:ln/>
        </c:spPr>
        <c:txPr>
          <a:bodyPr/>
          <a:lstStyle/>
          <a:p>
            <a:pPr lvl="0">
              <a:defRPr b="0">
                <a:solidFill>
                  <a:srgbClr val="000000"/>
                </a:solidFill>
                <a:latin typeface="+mn-lt"/>
              </a:defRPr>
            </a:pPr>
            <a:endParaRPr lang="es-EC"/>
          </a:p>
        </c:txPr>
        <c:crossAx val="1267648658"/>
        <c:crosses val="autoZero"/>
        <c:crossBetween val="between"/>
      </c:valAx>
    </c:plotArea>
    <c:legend>
      <c:legendPos val="r"/>
      <c:layout/>
      <c:overlay val="0"/>
      <c:txPr>
        <a:bodyPr/>
        <a:lstStyle/>
        <a:p>
          <a:pPr lvl="0">
            <a:defRPr b="0">
              <a:solidFill>
                <a:srgbClr val="1A1A1A"/>
              </a:solidFill>
              <a:latin typeface="+mn-lt"/>
            </a:defRPr>
          </a:pPr>
          <a:endParaRPr lang="es-EC"/>
        </a:p>
      </c:txPr>
    </c:legend>
    <c:plotVisOnly val="1"/>
    <c:dispBlanksAs val="zero"/>
    <c:showDLblsOverMax val="1"/>
  </c:chart>
  <c:spPr bwMode="auto">
    <a:xfrm>
      <a:off x="0" y="0"/>
      <a:ext cx="4931114" cy="2427766"/>
    </a:xfrm>
    <a:prstGeom prst="rect">
      <a:avLst/>
    </a:prstGeom>
    <a:ln>
      <a:noFill/>
    </a:ln>
  </c:spPr>
  <c:externalData r:id="rId1">
    <c:autoUpdate val="1"/>
  </c:externalData>
</c:chartSpace>
</file>

<file path=word/charts/chart4.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es-ES"/>
  <c:roundedCorners val="1"/>
  <mc:AlternateContent>
    <mc:Choice Requires="c14">
      <c14:style val="102"/>
    </mc:Choice>
    <mc:Fallback>
      <c:style val="2"/>
    </mc:Fallback>
  </mc:AlternateContent>
  <c:chart>
    <c:autoTitleDeleted val="1"/>
    <c:plotArea>
      <c:layout/>
      <c:lineChart>
        <c:grouping val="standard"/>
        <c:varyColors val="1"/>
        <c:ser>
          <c:idx val="0"/>
          <c:order val="0"/>
          <c:tx>
            <c:strRef>
              <c:f>MainData!$K$1</c:f>
              <c:strCache>
                <c:ptCount val="1"/>
                <c:pt idx="0">
                  <c:v>manuf_exports_norm</c:v>
                </c:pt>
              </c:strCache>
            </c:strRef>
          </c:tx>
          <c:spPr bwMode="auto">
            <a:prstGeom prst="rect">
              <a:avLst/>
            </a:prstGeom>
            <a:ln cmpd="sng">
              <a:solidFill>
                <a:srgbClr val="4F81BD"/>
              </a:solidFill>
            </a:ln>
          </c:spPr>
          <c:marker>
            <c:symbol val="none"/>
          </c:marker>
          <c:cat>
            <c:numRef>
              <c:f>MainData!$A$2:$A$42</c:f>
              <c:numCache>
                <c:formatCode>General</c:formatCode>
                <c:ptCount val="41"/>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numCache>
            </c:numRef>
          </c:cat>
          <c:val>
            <c:numRef>
              <c:f>MainData!$K$2:$K$42</c:f>
              <c:numCache>
                <c:formatCode>General</c:formatCode>
                <c:ptCount val="41"/>
                <c:pt idx="0">
                  <c:v>0.5775298862175778</c:v>
                </c:pt>
                <c:pt idx="1">
                  <c:v>0.6293774588404684</c:v>
                </c:pt>
                <c:pt idx="2">
                  <c:v>0.7620673637302836</c:v>
                </c:pt>
                <c:pt idx="3">
                  <c:v>0.732849708995823</c:v>
                </c:pt>
                <c:pt idx="4">
                  <c:v>0.7698082115540021</c:v>
                </c:pt>
                <c:pt idx="5">
                  <c:v>0.7799888574954259</c:v>
                </c:pt>
                <c:pt idx="6">
                  <c:v>0.8494210374748847</c:v>
                </c:pt>
                <c:pt idx="7">
                  <c:v>0.8992878526323175</c:v>
                </c:pt>
                <c:pt idx="8">
                  <c:v>0.9694500519062819</c:v>
                </c:pt>
                <c:pt idx="9">
                  <c:v>0.9459838712587125</c:v>
                </c:pt>
                <c:pt idx="10">
                  <c:v>1</c:v>
                </c:pt>
                <c:pt idx="11">
                  <c:v>0.9261527217605289</c:v>
                </c:pt>
                <c:pt idx="12">
                  <c:v>0.9176663663290525</c:v>
                </c:pt>
                <c:pt idx="13">
                  <c:v>0.951468486324319</c:v>
                </c:pt>
                <c:pt idx="14">
                  <c:v>0.9525508912370831</c:v>
                </c:pt>
                <c:pt idx="15">
                  <c:v>0.8028697578834226</c:v>
                </c:pt>
                <c:pt idx="16">
                  <c:v>0.4719821659999772</c:v>
                </c:pt>
                <c:pt idx="17">
                  <c:v>0.2728237057745268</c:v>
                </c:pt>
                <c:pt idx="18">
                  <c:v>0.2140672196169192</c:v>
                </c:pt>
                <c:pt idx="19">
                  <c:v>0.583576956758922</c:v>
                </c:pt>
                <c:pt idx="20">
                  <c:v>0.6224166408618674</c:v>
                </c:pt>
                <c:pt idx="21">
                  <c:v>0.6398402521080195</c:v>
                </c:pt>
                <c:pt idx="22">
                  <c:v>0.8174266277775376</c:v>
                </c:pt>
                <c:pt idx="23">
                  <c:v>0.8283683031483832</c:v>
                </c:pt>
                <c:pt idx="24">
                  <c:v>0.7507005385944536</c:v>
                </c:pt>
                <c:pt idx="25">
                  <c:v>0.723303996679176</c:v>
                </c:pt>
                <c:pt idx="26">
                  <c:v>0.5356141995457763</c:v>
                </c:pt>
                <c:pt idx="27">
                  <c:v>0.5134410126822859</c:v>
                </c:pt>
                <c:pt idx="28">
                  <c:v>0.2336444427142925</c:v>
                </c:pt>
                <c:pt idx="29">
                  <c:v>0.4903602644759132</c:v>
                </c:pt>
                <c:pt idx="30">
                  <c:v>0.4334396733483853</c:v>
                </c:pt>
                <c:pt idx="31">
                  <c:v>0.09000843844832666</c:v>
                </c:pt>
                <c:pt idx="32">
                  <c:v>0</c:v>
                </c:pt>
                <c:pt idx="33">
                  <c:v>0.1688221643262297</c:v>
                </c:pt>
                <c:pt idx="34">
                  <c:v>0.2308734500545471</c:v>
                </c:pt>
                <c:pt idx="35">
                  <c:v>0.5650746976895572</c:v>
                </c:pt>
                <c:pt idx="36">
                  <c:v>0.6144605064376907</c:v>
                </c:pt>
                <c:pt idx="37">
                  <c:v>0.5453007364987084</c:v>
                </c:pt>
                <c:pt idx="38">
                  <c:v>0.353114618290215</c:v>
                </c:pt>
                <c:pt idx="39">
                  <c:v>0.3307208397446292</c:v>
                </c:pt>
                <c:pt idx="40">
                  <c:v>0.5592836821638527</c:v>
                </c:pt>
              </c:numCache>
            </c:numRef>
          </c:val>
          <c:smooth val="0"/>
        </c:ser>
        <c:ser>
          <c:idx val="1"/>
          <c:order val="1"/>
          <c:tx>
            <c:strRef>
              <c:f>MainData!$Q$1</c:f>
              <c:strCache>
                <c:ptCount val="1"/>
                <c:pt idx="0">
                  <c:v>csh_i_norm</c:v>
                </c:pt>
              </c:strCache>
            </c:strRef>
          </c:tx>
          <c:spPr bwMode="auto">
            <a:prstGeom prst="rect">
              <a:avLst/>
            </a:prstGeom>
            <a:ln cmpd="sng">
              <a:solidFill>
                <a:srgbClr val="C0504D"/>
              </a:solidFill>
            </a:ln>
          </c:spPr>
          <c:marker>
            <c:symbol val="none"/>
          </c:marker>
          <c:cat>
            <c:numRef>
              <c:f>MainData!$A$2:$A$42</c:f>
              <c:numCache>
                <c:formatCode>General</c:formatCode>
                <c:ptCount val="41"/>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numCache>
            </c:numRef>
          </c:cat>
          <c:val>
            <c:numRef>
              <c:f>MainData!$Q$2:$Q$42</c:f>
              <c:numCache>
                <c:formatCode>General</c:formatCode>
                <c:ptCount val="41"/>
                <c:pt idx="0">
                  <c:v>0.28391728292442</c:v>
                </c:pt>
                <c:pt idx="1">
                  <c:v>0.1798935364248983</c:v>
                </c:pt>
                <c:pt idx="2">
                  <c:v>0.1617468798596417</c:v>
                </c:pt>
                <c:pt idx="3">
                  <c:v>0.123978535520061</c:v>
                </c:pt>
                <c:pt idx="4">
                  <c:v>0.06509276839034599</c:v>
                </c:pt>
                <c:pt idx="5">
                  <c:v>0.04380925506169702</c:v>
                </c:pt>
                <c:pt idx="6">
                  <c:v>0.06589101516131922</c:v>
                </c:pt>
                <c:pt idx="7">
                  <c:v>0.1208634560941234</c:v>
                </c:pt>
                <c:pt idx="8">
                  <c:v>0.2644728810804017</c:v>
                </c:pt>
                <c:pt idx="9">
                  <c:v>0.4205602603465348</c:v>
                </c:pt>
                <c:pt idx="10">
                  <c:v>0.5273379198655312</c:v>
                </c:pt>
                <c:pt idx="11">
                  <c:v>0.7282226625402167</c:v>
                </c:pt>
                <c:pt idx="12">
                  <c:v>0.6859551509537556</c:v>
                </c:pt>
                <c:pt idx="13">
                  <c:v>0.6981059850871246</c:v>
                </c:pt>
                <c:pt idx="14">
                  <c:v>0.8328181408288267</c:v>
                </c:pt>
                <c:pt idx="15">
                  <c:v>0.8801228119143482</c:v>
                </c:pt>
                <c:pt idx="16">
                  <c:v>1</c:v>
                </c:pt>
                <c:pt idx="17">
                  <c:v>0.6273912896784597</c:v>
                </c:pt>
                <c:pt idx="18">
                  <c:v>0</c:v>
                </c:pt>
                <c:pt idx="19">
                  <c:v>0.01204992224570357</c:v>
                </c:pt>
                <c:pt idx="20">
                  <c:v>0.1305488502485978</c:v>
                </c:pt>
                <c:pt idx="21">
                  <c:v>0.1248531563336746</c:v>
                </c:pt>
                <c:pt idx="22">
                  <c:v>0.1435540614734353</c:v>
                </c:pt>
                <c:pt idx="23">
                  <c:v>0.2526632763544102</c:v>
                </c:pt>
                <c:pt idx="24">
                  <c:v>0.3187783527131177</c:v>
                </c:pt>
                <c:pt idx="25">
                  <c:v>0.3624064878062226</c:v>
                </c:pt>
                <c:pt idx="26">
                  <c:v>0.3750555935551344</c:v>
                </c:pt>
                <c:pt idx="27">
                  <c:v>0.3754144595386254</c:v>
                </c:pt>
                <c:pt idx="28">
                  <c:v>0.4300094777426377</c:v>
                </c:pt>
                <c:pt idx="29">
                  <c:v>0.175548190794015</c:v>
                </c:pt>
                <c:pt idx="30">
                  <c:v>0.2471287654089982</c:v>
                </c:pt>
                <c:pt idx="31">
                  <c:v>0.227353102657138</c:v>
                </c:pt>
                <c:pt idx="32">
                  <c:v>0.1703027663353011</c:v>
                </c:pt>
                <c:pt idx="33">
                  <c:v>0.1757107540173063</c:v>
                </c:pt>
                <c:pt idx="34">
                  <c:v>0.1586184579804702</c:v>
                </c:pt>
                <c:pt idx="35">
                  <c:v>0.06814098218859053</c:v>
                </c:pt>
                <c:pt idx="36">
                  <c:v>0.0945880249181821</c:v>
                </c:pt>
                <c:pt idx="37">
                  <c:v>0.2264964251427024</c:v>
                </c:pt>
                <c:pt idx="38">
                  <c:v>0.2069066365669079</c:v>
                </c:pt>
                <c:pt idx="39">
                  <c:v>0.1853257552288596</c:v>
                </c:pt>
                <c:pt idx="40">
                  <c:v>0.1918055866538648</c:v>
                </c:pt>
              </c:numCache>
            </c:numRef>
          </c:val>
          <c:smooth val="0"/>
        </c:ser>
        <c:dLbls>
          <c:showBubbleSize val="0"/>
          <c:showCatName val="0"/>
          <c:showLeaderLines val="0"/>
          <c:showLegendKey val="0"/>
          <c:showPercent val="0"/>
          <c:showSerName val="0"/>
          <c:showVal val="0"/>
        </c:dLbls>
        <c:smooth val="0"/>
        <c:axId val="1750955063"/>
        <c:axId val="76319430"/>
      </c:lineChart>
      <c:catAx>
        <c:axId val="1750955063"/>
        <c:scaling>
          <c:orientation val="minMax"/>
        </c:scaling>
        <c:delete val="0"/>
        <c:axPos val="b"/>
        <c:title>
          <c:tx>
            <c:rich>
              <a:bodyPr/>
              <a:lstStyle/>
              <a:p>
                <a:pPr lvl="0">
                  <a:defRPr b="1" i="0">
                    <a:solidFill>
                      <a:srgbClr val="000000"/>
                    </a:solidFill>
                    <a:latin typeface="+mn-lt"/>
                  </a:defRPr>
                </a:pPr>
                <a:r>
                  <a:rPr lang="es-EC" b="1" i="0">
                    <a:solidFill>
                      <a:srgbClr val="000000"/>
                    </a:solidFill>
                    <a:latin typeface="+mn-lt"/>
                  </a:rPr>
                  <a:t>Año</a:t>
                </a:r>
                <a:endParaRPr/>
              </a:p>
            </c:rich>
          </c:tx>
          <c:layout/>
          <c:overlay val="0"/>
        </c:title>
        <c:numFmt formatCode="General" sourceLinked="1"/>
        <c:majorTickMark val="none"/>
        <c:minorTickMark val="none"/>
        <c:tickLblPos val="nextTo"/>
        <c:txPr>
          <a:bodyPr/>
          <a:lstStyle/>
          <a:p>
            <a:pPr lvl="0">
              <a:defRPr b="0">
                <a:solidFill>
                  <a:srgbClr val="000000"/>
                </a:solidFill>
                <a:latin typeface="+mn-lt"/>
              </a:defRPr>
            </a:pPr>
            <a:endParaRPr lang="es-EC"/>
          </a:p>
        </c:txPr>
        <c:crossAx val="76319430"/>
        <c:crosses val="autoZero"/>
        <c:auto val="1"/>
        <c:lblAlgn val="ctr"/>
        <c:lblOffset val="100"/>
        <c:noMultiLvlLbl val="1"/>
      </c:catAx>
      <c:valAx>
        <c:axId val="76319430"/>
        <c:scaling>
          <c:orientation val="minMax"/>
        </c:scaling>
        <c:delete val="0"/>
        <c:axPos val="l"/>
        <c:majorGridlines>
          <c:spPr bwMode="auto">
            <a:prstGeom prst="rect">
              <a:avLst/>
            </a:prstGeom>
            <a:ln>
              <a:solidFill>
                <a:srgbClr val="B7B7B7"/>
              </a:solidFill>
            </a:ln>
          </c:spPr>
        </c:majorGridlines>
        <c:title>
          <c:tx>
            <c:rich>
              <a:bodyPr/>
              <a:lstStyle/>
              <a:p>
                <a:pPr lvl="0">
                  <a:defRPr b="1" i="0">
                    <a:solidFill>
                      <a:srgbClr val="000000"/>
                    </a:solidFill>
                    <a:latin typeface="+mn-lt"/>
                  </a:defRPr>
                </a:pPr>
                <a:r>
                  <a:rPr lang="es-EC" b="1" i="0">
                    <a:solidFill>
                      <a:srgbClr val="000000"/>
                    </a:solidFill>
                    <a:latin typeface="+mn-lt"/>
                  </a:rPr>
                  <a:t>Índice (0-1)</a:t>
                </a:r>
                <a:endParaRPr/>
              </a:p>
            </c:rich>
          </c:tx>
          <c:layout/>
          <c:overlay val="0"/>
        </c:title>
        <c:numFmt formatCode="General" sourceLinked="1"/>
        <c:majorTickMark val="none"/>
        <c:minorTickMark val="none"/>
        <c:tickLblPos val="nextTo"/>
        <c:spPr bwMode="auto">
          <a:ln/>
        </c:spPr>
        <c:txPr>
          <a:bodyPr/>
          <a:lstStyle/>
          <a:p>
            <a:pPr lvl="0">
              <a:defRPr b="0">
                <a:solidFill>
                  <a:srgbClr val="000000"/>
                </a:solidFill>
                <a:latin typeface="+mn-lt"/>
              </a:defRPr>
            </a:pPr>
            <a:endParaRPr lang="es-EC"/>
          </a:p>
        </c:txPr>
        <c:crossAx val="1750955063"/>
        <c:crosses val="autoZero"/>
        <c:crossBetween val="between"/>
      </c:valAx>
    </c:plotArea>
    <c:legend>
      <c:legendPos val="r"/>
      <c:layout/>
      <c:overlay val="0"/>
      <c:txPr>
        <a:bodyPr/>
        <a:lstStyle/>
        <a:p>
          <a:pPr lvl="0">
            <a:defRPr b="0">
              <a:solidFill>
                <a:srgbClr val="1A1A1A"/>
              </a:solidFill>
              <a:latin typeface="+mn-lt"/>
            </a:defRPr>
          </a:pPr>
          <a:endParaRPr lang="es-EC"/>
        </a:p>
      </c:txPr>
    </c:legend>
    <c:plotVisOnly val="1"/>
    <c:dispBlanksAs val="zero"/>
    <c:showDLblsOverMax val="1"/>
  </c:chart>
  <c:spPr bwMode="auto">
    <a:prstGeom prst="rect">
      <a:avLst/>
    </a:prstGeom>
    <a:ln>
      <a:noFill/>
    </a:ln>
  </c:spPr>
  <c:externalData r:id="rId1">
    <c:autoUpdate val="1"/>
  </c:externalData>
</c:chartSpace>
</file>

<file path=word/charts/chart5.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es-ES"/>
  <c:roundedCorners val="1"/>
  <mc:AlternateContent>
    <mc:Choice Requires="c14">
      <c14:style val="102"/>
    </mc:Choice>
    <mc:Fallback>
      <c:style val="2"/>
    </mc:Fallback>
  </mc:AlternateContent>
  <c:chart>
    <c:autoTitleDeleted val="1"/>
    <c:plotArea>
      <c:layout/>
      <c:lineChart>
        <c:grouping val="standard"/>
        <c:varyColors val="1"/>
        <c:ser>
          <c:idx val="0"/>
          <c:order val="0"/>
          <c:tx>
            <c:strRef>
              <c:f>MainData!$L$1</c:f>
              <c:strCache>
                <c:ptCount val="1"/>
                <c:pt idx="0">
                  <c:v>terms_of_trade_norm</c:v>
                </c:pt>
              </c:strCache>
            </c:strRef>
          </c:tx>
          <c:spPr bwMode="auto">
            <a:prstGeom prst="rect">
              <a:avLst/>
            </a:prstGeom>
            <a:ln cmpd="sng">
              <a:solidFill>
                <a:srgbClr val="4F81BD"/>
              </a:solidFill>
            </a:ln>
          </c:spPr>
          <c:marker>
            <c:symbol val="none"/>
          </c:marker>
          <c:cat>
            <c:numRef>
              <c:f>MainData!$A$2:$A$42</c:f>
              <c:numCache>
                <c:formatCode>General</c:formatCode>
                <c:ptCount val="41"/>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numCache>
            </c:numRef>
          </c:cat>
          <c:val>
            <c:numRef>
              <c:f>MainData!$L$2:$L$42</c:f>
              <c:numCache>
                <c:formatCode>General</c:formatCode>
                <c:ptCount val="41"/>
                <c:pt idx="0">
                  <c:v>0.7261733503051347</c:v>
                </c:pt>
                <c:pt idx="1">
                  <c:v>0.6987484933440731</c:v>
                </c:pt>
                <c:pt idx="2">
                  <c:v>0.7618005043100917</c:v>
                </c:pt>
                <c:pt idx="3">
                  <c:v>0.7712925143170472</c:v>
                </c:pt>
                <c:pt idx="4">
                  <c:v>0.788758944199385</c:v>
                </c:pt>
                <c:pt idx="5">
                  <c:v>0.7998674708247747</c:v>
                </c:pt>
                <c:pt idx="6">
                  <c:v>0.922044566235229</c:v>
                </c:pt>
                <c:pt idx="7">
                  <c:v>0.9530199372748972</c:v>
                </c:pt>
                <c:pt idx="8">
                  <c:v>0.9953738046542697</c:v>
                </c:pt>
                <c:pt idx="9">
                  <c:v>0.9977271305361168</c:v>
                </c:pt>
                <c:pt idx="10">
                  <c:v>0.9419155584008253</c:v>
                </c:pt>
                <c:pt idx="11">
                  <c:v>0.9515962990449819</c:v>
                </c:pt>
                <c:pt idx="12">
                  <c:v>0.9518510550498974</c:v>
                </c:pt>
                <c:pt idx="13">
                  <c:v>0.9317115350291418</c:v>
                </c:pt>
                <c:pt idx="14">
                  <c:v>0.9865349704183394</c:v>
                </c:pt>
                <c:pt idx="15">
                  <c:v>1</c:v>
                </c:pt>
                <c:pt idx="16">
                  <c:v>0.857641258045199</c:v>
                </c:pt>
                <c:pt idx="17">
                  <c:v>0.8124702335435446</c:v>
                </c:pt>
                <c:pt idx="18">
                  <c:v>0.7596505892970724</c:v>
                </c:pt>
                <c:pt idx="19">
                  <c:v>0.7336127362449527</c:v>
                </c:pt>
                <c:pt idx="20">
                  <c:v>0.5643666936679284</c:v>
                </c:pt>
                <c:pt idx="21">
                  <c:v>0.484042112193583</c:v>
                </c:pt>
                <c:pt idx="22">
                  <c:v>0.4745733790938608</c:v>
                </c:pt>
                <c:pt idx="23">
                  <c:v>0.4343340991394255</c:v>
                </c:pt>
                <c:pt idx="24">
                  <c:v>0.3979845339624083</c:v>
                </c:pt>
                <c:pt idx="25">
                  <c:v>0.3088768406691273</c:v>
                </c:pt>
                <c:pt idx="26">
                  <c:v>0.2293176544361703</c:v>
                </c:pt>
                <c:pt idx="27">
                  <c:v>0.1785067455815087</c:v>
                </c:pt>
                <c:pt idx="28">
                  <c:v>0.09761043016816576</c:v>
                </c:pt>
                <c:pt idx="29">
                  <c:v>0.1263587075464612</c:v>
                </c:pt>
                <c:pt idx="30">
                  <c:v>0.07554779869179953</c:v>
                </c:pt>
                <c:pt idx="31">
                  <c:v>0.01002846885289375</c:v>
                </c:pt>
                <c:pt idx="32">
                  <c:v>0</c:v>
                </c:pt>
                <c:pt idx="33">
                  <c:v>0.01871980852540164</c:v>
                </c:pt>
                <c:pt idx="34">
                  <c:v>0.02874827737829539</c:v>
                </c:pt>
                <c:pt idx="35">
                  <c:v>0.1002846885289375</c:v>
                </c:pt>
                <c:pt idx="36">
                  <c:v>0.1069703344308666</c:v>
                </c:pt>
                <c:pt idx="37">
                  <c:v>0.1042960760700949</c:v>
                </c:pt>
                <c:pt idx="38">
                  <c:v>0.06953071738006335</c:v>
                </c:pt>
                <c:pt idx="39">
                  <c:v>0.04345669836253956</c:v>
                </c:pt>
                <c:pt idx="40">
                  <c:v>0.06618789442909877</c:v>
                </c:pt>
              </c:numCache>
            </c:numRef>
          </c:val>
          <c:smooth val="0"/>
        </c:ser>
        <c:ser>
          <c:idx val="1"/>
          <c:order val="1"/>
          <c:tx>
            <c:strRef>
              <c:f>MainData!$S$1</c:f>
              <c:strCache>
                <c:ptCount val="1"/>
                <c:pt idx="0">
                  <c:v>ind_va_norm</c:v>
                </c:pt>
              </c:strCache>
            </c:strRef>
          </c:tx>
          <c:marker>
            <c:symbol val="none"/>
          </c:marker>
          <c:cat>
            <c:numRef>
              <c:f>MainData!$A$2:$A$42</c:f>
              <c:numCache>
                <c:formatCode>General</c:formatCode>
                <c:ptCount val="41"/>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numCache>
            </c:numRef>
          </c:cat>
          <c:val>
            <c:numRef>
              <c:f>MainData!$S$2:$S$42</c:f>
              <c:numCache>
                <c:formatCode>General</c:formatCode>
                <c:ptCount val="41"/>
                <c:pt idx="0">
                  <c:v>0.902589395807645</c:v>
                </c:pt>
                <c:pt idx="1">
                  <c:v>0.8249075215782982</c:v>
                </c:pt>
                <c:pt idx="2">
                  <c:v>0.6954377311960543</c:v>
                </c:pt>
                <c:pt idx="3">
                  <c:v>0.6843403205918616</c:v>
                </c:pt>
                <c:pt idx="4">
                  <c:v>0.7546239210850799</c:v>
                </c:pt>
                <c:pt idx="5">
                  <c:v>0.686806411837238</c:v>
                </c:pt>
                <c:pt idx="6">
                  <c:v>0.866831072749692</c:v>
                </c:pt>
                <c:pt idx="7">
                  <c:v>1</c:v>
                </c:pt>
                <c:pt idx="8">
                  <c:v>0.9963008631319358</c:v>
                </c:pt>
                <c:pt idx="9">
                  <c:v>0.856966707768187</c:v>
                </c:pt>
                <c:pt idx="10">
                  <c:v>0.779284833538841</c:v>
                </c:pt>
                <c:pt idx="11">
                  <c:v>0.7829839704069053</c:v>
                </c:pt>
                <c:pt idx="12">
                  <c:v>0.6350184956843402</c:v>
                </c:pt>
                <c:pt idx="13">
                  <c:v>0.5067817509247842</c:v>
                </c:pt>
                <c:pt idx="14">
                  <c:v>0.3440197287299629</c:v>
                </c:pt>
                <c:pt idx="15">
                  <c:v>0.3514180024660915</c:v>
                </c:pt>
                <c:pt idx="16">
                  <c:v>0.2305795314426631</c:v>
                </c:pt>
                <c:pt idx="17">
                  <c:v>0.1861898890258937</c:v>
                </c:pt>
                <c:pt idx="18">
                  <c:v>0.1972872996300865</c:v>
                </c:pt>
                <c:pt idx="19">
                  <c:v>0.2170160295930947</c:v>
                </c:pt>
                <c:pt idx="20">
                  <c:v>0.19482120838471</c:v>
                </c:pt>
                <c:pt idx="21">
                  <c:v>0.07644882860665814</c:v>
                </c:pt>
                <c:pt idx="22">
                  <c:v>0</c:v>
                </c:pt>
                <c:pt idx="23">
                  <c:v>0.004932182490752053</c:v>
                </c:pt>
                <c:pt idx="24">
                  <c:v>0.1787916152897652</c:v>
                </c:pt>
                <c:pt idx="25">
                  <c:v>0.1578298397040692</c:v>
                </c:pt>
                <c:pt idx="26">
                  <c:v>0.1960542540073978</c:v>
                </c:pt>
                <c:pt idx="27">
                  <c:v>0.2540073982737355</c:v>
                </c:pt>
                <c:pt idx="28">
                  <c:v>0.3834771886559802</c:v>
                </c:pt>
                <c:pt idx="29">
                  <c:v>0.3452527743526507</c:v>
                </c:pt>
                <c:pt idx="30">
                  <c:v>0.533908754623921</c:v>
                </c:pt>
                <c:pt idx="31">
                  <c:v>0.6855733662145493</c:v>
                </c:pt>
                <c:pt idx="32">
                  <c:v>0.5967940813810106</c:v>
                </c:pt>
                <c:pt idx="33">
                  <c:v>0.482120838471023</c:v>
                </c:pt>
                <c:pt idx="34">
                  <c:v>0.3514180024660915</c:v>
                </c:pt>
                <c:pt idx="35">
                  <c:v>0.2379778051787916</c:v>
                </c:pt>
                <c:pt idx="36">
                  <c:v>0.2946979038224415</c:v>
                </c:pt>
                <c:pt idx="37">
                  <c:v>0.3859432799013558</c:v>
                </c:pt>
                <c:pt idx="38">
                  <c:v>0.25154130702836</c:v>
                </c:pt>
                <c:pt idx="39">
                  <c:v>0.07151664611590608</c:v>
                </c:pt>
                <c:pt idx="40">
                  <c:v>0.0505548705302092</c:v>
                </c:pt>
              </c:numCache>
            </c:numRef>
          </c:val>
          <c:smooth val="0"/>
        </c:ser>
        <c:dLbls>
          <c:showBubbleSize val="0"/>
          <c:showCatName val="0"/>
          <c:showLeaderLines val="0"/>
          <c:showLegendKey val="0"/>
          <c:showPercent val="0"/>
          <c:showSerName val="0"/>
          <c:showVal val="0"/>
        </c:dLbls>
        <c:smooth val="0"/>
        <c:axId val="44054758"/>
        <c:axId val="1598146751"/>
      </c:lineChart>
      <c:catAx>
        <c:axId val="44054758"/>
        <c:scaling>
          <c:orientation val="minMax"/>
        </c:scaling>
        <c:delete val="0"/>
        <c:axPos val="b"/>
        <c:title>
          <c:tx>
            <c:rich>
              <a:bodyPr/>
              <a:lstStyle/>
              <a:p>
                <a:pPr lvl="0">
                  <a:defRPr b="1" i="0">
                    <a:solidFill>
                      <a:srgbClr val="000000"/>
                    </a:solidFill>
                    <a:latin typeface="+mn-lt"/>
                  </a:defRPr>
                </a:pPr>
                <a:r>
                  <a:rPr lang="es-EC" b="1" i="0">
                    <a:solidFill>
                      <a:srgbClr val="000000"/>
                    </a:solidFill>
                    <a:latin typeface="+mn-lt"/>
                  </a:rPr>
                  <a:t>Año</a:t>
                </a:r>
                <a:endParaRPr/>
              </a:p>
            </c:rich>
          </c:tx>
          <c:layout/>
          <c:overlay val="0"/>
        </c:title>
        <c:numFmt formatCode="General" sourceLinked="1"/>
        <c:majorTickMark val="none"/>
        <c:minorTickMark val="none"/>
        <c:tickLblPos val="nextTo"/>
        <c:txPr>
          <a:bodyPr/>
          <a:lstStyle/>
          <a:p>
            <a:pPr lvl="0">
              <a:defRPr b="0">
                <a:solidFill>
                  <a:srgbClr val="000000"/>
                </a:solidFill>
                <a:latin typeface="+mn-lt"/>
              </a:defRPr>
            </a:pPr>
            <a:endParaRPr lang="es-EC"/>
          </a:p>
        </c:txPr>
        <c:crossAx val="1598146751"/>
        <c:crosses val="autoZero"/>
        <c:auto val="1"/>
        <c:lblAlgn val="ctr"/>
        <c:lblOffset val="100"/>
        <c:noMultiLvlLbl val="1"/>
      </c:catAx>
      <c:valAx>
        <c:axId val="1598146751"/>
        <c:scaling>
          <c:orientation val="minMax"/>
        </c:scaling>
        <c:delete val="0"/>
        <c:axPos val="l"/>
        <c:majorGridlines>
          <c:spPr bwMode="auto">
            <a:prstGeom prst="rect">
              <a:avLst/>
            </a:prstGeom>
            <a:ln>
              <a:solidFill>
                <a:srgbClr val="B7B7B7"/>
              </a:solidFill>
            </a:ln>
          </c:spPr>
        </c:majorGridlines>
        <c:title>
          <c:tx>
            <c:rich>
              <a:bodyPr/>
              <a:lstStyle/>
              <a:p>
                <a:pPr lvl="0">
                  <a:defRPr b="1" i="0">
                    <a:solidFill>
                      <a:srgbClr val="000000"/>
                    </a:solidFill>
                    <a:latin typeface="+mn-lt"/>
                  </a:defRPr>
                </a:pPr>
                <a:r>
                  <a:rPr lang="es-EC" b="1" i="0">
                    <a:solidFill>
                      <a:srgbClr val="000000"/>
                    </a:solidFill>
                    <a:latin typeface="+mn-lt"/>
                  </a:rPr>
                  <a:t>Índice (0-1)</a:t>
                </a:r>
                <a:endParaRPr/>
              </a:p>
            </c:rich>
          </c:tx>
          <c:layout/>
          <c:overlay val="0"/>
        </c:title>
        <c:numFmt formatCode="General" sourceLinked="1"/>
        <c:majorTickMark val="none"/>
        <c:minorTickMark val="none"/>
        <c:tickLblPos val="nextTo"/>
        <c:spPr bwMode="auto">
          <a:ln/>
        </c:spPr>
        <c:txPr>
          <a:bodyPr/>
          <a:lstStyle/>
          <a:p>
            <a:pPr lvl="0">
              <a:defRPr b="0">
                <a:solidFill>
                  <a:srgbClr val="000000"/>
                </a:solidFill>
                <a:latin typeface="+mn-lt"/>
              </a:defRPr>
            </a:pPr>
            <a:endParaRPr lang="es-EC"/>
          </a:p>
        </c:txPr>
        <c:crossAx val="44054758"/>
        <c:crosses val="autoZero"/>
        <c:crossBetween val="between"/>
      </c:valAx>
    </c:plotArea>
    <c:legend>
      <c:legendPos val="r"/>
      <c:layout/>
      <c:overlay val="0"/>
      <c:txPr>
        <a:bodyPr/>
        <a:lstStyle/>
        <a:p>
          <a:pPr lvl="0">
            <a:defRPr b="0">
              <a:solidFill>
                <a:srgbClr val="1A1A1A"/>
              </a:solidFill>
              <a:latin typeface="+mn-lt"/>
            </a:defRPr>
          </a:pPr>
          <a:endParaRPr lang="es-EC"/>
        </a:p>
      </c:txPr>
    </c:legend>
    <c:plotVisOnly val="1"/>
    <c:dispBlanksAs val="zero"/>
    <c:showDLblsOverMax val="1"/>
  </c:chart>
  <c:spPr bwMode="auto">
    <a:xfrm>
      <a:off x="0" y="0"/>
      <a:ext cx="4807289" cy="2366784"/>
    </a:xfrm>
    <a:prstGeom prst="rect">
      <a:avLst/>
    </a:prstGeom>
    <a:ln>
      <a:noFill/>
    </a:ln>
  </c:spPr>
  <c:externalData r:id="rId1">
    <c:autoUpdate val="1"/>
  </c:externalData>
</c:chartSpace>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revision>48</cp:revision>
  <dcterms:created xsi:type="dcterms:W3CDTF">2020-05-12T16:31:00Z</dcterms:created>
  <dcterms:modified xsi:type="dcterms:W3CDTF">2026-04-28T03:35:42Z</dcterms:modified>
</cp:coreProperties>
</file>