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rId26.png" ContentType="image/png"/>
  <Override PartName="/word/media/rId18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Auditoría Económica Aplicada: Corea del Sur</w:t>
      </w:r>
    </w:p>
    <w:p>
      <w:pPr>
        <w:pStyle w:val="Subtitle"/>
      </w:pPr>
      <w:r>
        <w:t xml:space="preserve">Evaluación desde la Teoría de la Modernización y el Enfoque Estructuralista (Periodo: 1980-2020)</w:t>
      </w:r>
    </w:p>
    <w:p>
      <w:pPr>
        <w:pStyle w:val="Author"/>
      </w:pPr>
      <w:r>
        <w:t xml:space="preserve">Condoy Seraquive Erick Fabricio</w:t>
      </w:r>
    </w:p>
    <w:p>
      <w:pPr>
        <w:pStyle w:val="Author"/>
      </w:pPr>
      <w:r>
        <w:t xml:space="preserve">David Peréz</w:t>
      </w:r>
    </w:p>
    <w:p>
      <w:pPr>
        <w:pStyle w:val="Author"/>
      </w:pPr>
      <w:r>
        <w:t xml:space="preserve">Gustavo Hurtado</w:t>
      </w:r>
    </w:p>
    <w:p>
      <w:pPr>
        <w:pStyle w:val="Date"/>
      </w:pPr>
      <w:r>
        <w:t xml:space="preserve">2026-04-24</w:t>
      </w:r>
    </w:p>
    <w:bookmarkStart w:id="16" w:name="resumen-ejecutivo"/>
    <w:p>
      <w:pPr>
        <w:pStyle w:val="Heading1"/>
      </w:pPr>
      <w:r>
        <w:t xml:space="preserve">Resumen Ejecutivo</w:t>
      </w:r>
    </w:p>
    <w:p>
      <w:pPr>
        <w:pStyle w:val="FirstParagraph"/>
      </w:pPr>
      <w:r>
        <w:t xml:space="preserve">Esta auditoría analiza el desarrollo de Corea del Sur contrastando las visiones de modernización y estructuralismo. El documento se divide en capítulos temáticos para una mejor trazabilidad de la evidencia.</w:t>
      </w:r>
    </w:p>
    <w:bookmarkEnd w:id="16"/>
    <w:bookmarkStart w:id="17" w:name="introducción"/>
    <w:p>
      <w:pPr>
        <w:pStyle w:val="Heading1"/>
      </w:pPr>
      <w:r>
        <w:t xml:space="preserve">Introducción</w:t>
      </w:r>
    </w:p>
    <w:p>
      <w:pPr>
        <w:pStyle w:val="FirstParagraph"/>
      </w:pPr>
      <w:r>
        <w:t xml:space="preserve">Esta auditoría económica examina la trayectoria de desarrollo de</w:t>
      </w:r>
      <w:r>
        <w:t xml:space="preserve"> </w:t>
      </w:r>
      <w:r>
        <w:rPr>
          <w:b/>
          <w:bCs/>
        </w:rPr>
        <w:t xml:space="preserve">Corea del Sur</w:t>
      </w:r>
      <w:r>
        <w:t xml:space="preserve"> </w:t>
      </w:r>
      <w:r>
        <w:t xml:space="preserve">durante el periodo</w:t>
      </w:r>
      <w:r>
        <w:t xml:space="preserve"> </w:t>
      </w:r>
      <w:r>
        <w:rPr>
          <w:b/>
          <w:bCs/>
        </w:rPr>
        <w:t xml:space="preserve">1980-2020</w:t>
      </w:r>
      <w:r>
        <w:t xml:space="preserve">, un lapso que captura la consolidación del</w:t>
      </w:r>
      <w:r>
        <w:t xml:space="preserve"> </w:t>
      </w:r>
      <w:r>
        <w:t xml:space="preserve">“Milagro del Río Han”</w:t>
      </w:r>
      <w:r>
        <w:t xml:space="preserve">. El objetivo es contrastar la evidencia empírica con las predicciones de la</w:t>
      </w:r>
      <w:r>
        <w:t xml:space="preserve"> </w:t>
      </w:r>
      <w:r>
        <w:rPr>
          <w:b/>
          <w:bCs/>
        </w:rPr>
        <w:t xml:space="preserve">Teoría de la Modernización</w:t>
      </w:r>
      <w:r>
        <w:t xml:space="preserve">, que enfatiza la acumulación de capital y el cambio cultural</w:t>
      </w:r>
      <w:r>
        <w:t xml:space="preserve"> </w:t>
      </w:r>
      <w:r>
        <w:t xml:space="preserve">Ray (1998)</w:t>
      </w:r>
      <w:r>
        <w:t xml:space="preserve">, y el</w:t>
      </w:r>
      <w:r>
        <w:t xml:space="preserve"> </w:t>
      </w:r>
      <w:r>
        <w:rPr>
          <w:b/>
          <w:bCs/>
        </w:rPr>
        <w:t xml:space="preserve">Enfoque Estructuralista</w:t>
      </w:r>
      <w:r>
        <w:t xml:space="preserve">, que centra su análisis en la transformación de la estructura productiva y la superación de la dependencia mediante la industrialización con aprendizaje</w:t>
      </w:r>
      <w:r>
        <w:t xml:space="preserve"> </w:t>
      </w:r>
      <w:r>
        <w:t xml:space="preserve">Fajnzylber (1990)</w:t>
      </w:r>
      <w:r>
        <w:t xml:space="preserve">.</w:t>
      </w:r>
    </w:p>
    <w:bookmarkEnd w:id="17"/>
    <w:bookmarkStart w:id="25" w:name="X52cf2f92699f632c7cb94faa9a9da1b949d82f3"/>
    <w:p>
      <w:pPr>
        <w:pStyle w:val="Heading1"/>
      </w:pPr>
      <w:r>
        <w:t xml:space="preserve">Evaluación desde la Teoría de la Modernización</w:t>
      </w:r>
    </w:p>
    <w:p>
      <w:pPr>
        <w:pStyle w:val="FirstParagraph"/>
      </w:pPr>
      <w:r>
        <w:t xml:space="preserve">Corea del Sur representa el caso paradigmático de una transición exitosa a través de las etapas del crecimiento de Rostow. Durante el periodo auditado, el país mostró una disciplina excepcional en la acumulación de factores productivos.</w:t>
      </w:r>
    </w:p>
    <w:bookmarkStart w:id="21" w:name="crecimiento-económico-y-acumulación"/>
    <w:p>
      <w:pPr>
        <w:pStyle w:val="Heading2"/>
      </w:pPr>
      <w:r>
        <w:t xml:space="preserve">Crecimiento Económico y Acumulación</w:t>
      </w:r>
    </w:p>
    <w:p>
      <w:pPr>
        <w:pStyle w:val="FirstParagraph"/>
      </w:pPr>
      <w:r>
        <w:t xml:space="preserve">Como se observa en la evidencia recolectada de la Penn World Table 11.0</w:t>
      </w:r>
      <w:r>
        <w:t xml:space="preserve"> </w:t>
      </w:r>
      <w:r>
        <w:t xml:space="preserve">Feenstra et al. (2015)</w:t>
      </w:r>
      <w:r>
        <w:t xml:space="preserve">, el PIB per cápita real mantuvo una pendiente positiva constante, resistiendo crisis externas significativas (1997 y 2008). Según</w:t>
      </w:r>
      <w:r>
        <w:t xml:space="preserve"> </w:t>
      </w:r>
      <w:r>
        <w:t xml:space="preserve">Ray (1998)</w:t>
      </w:r>
      <w:r>
        <w:t xml:space="preserve">, esta acumulación es virtuosa cuando el capital humano y físico crecen en tándem, permitiendo saltos en la productividad total de los factores.</w:t>
      </w:r>
    </w:p>
    <w:p>
      <w:pPr>
        <w:pStyle w:val="CaptionedFigure"/>
      </w:pPr>
      <w:r>
        <w:drawing>
          <wp:inline>
            <wp:extent cx="5384800" cy="3230880"/>
            <wp:effectExtent b="0" l="0" r="0" t="0"/>
            <wp:docPr descr="Figura 1: Trayectoria de Modernización - PIB pc y Capital Humano (Fuente: Elaboración propia en Stata con datos de PWT 11.0)" title="" id="19" name="Picture"/>
            <a:graphic>
              <a:graphicData uri="http://schemas.openxmlformats.org/drawingml/2006/picture">
                <pic:pic>
                  <pic:nvPicPr>
                    <pic:cNvPr descr="assets/grafico_modernizacio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3230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Trayectoria de Modernización - PIB pc y Capital Humano (Fuente: Elaboración propia en Stata con datos de PWT 11.0)</w:t>
      </w:r>
    </w:p>
    <w:bookmarkEnd w:id="21"/>
    <w:bookmarkStart w:id="22" w:name="dinámica-sectorial-e-inversión-externa"/>
    <w:p>
      <w:pPr>
        <w:pStyle w:val="Heading2"/>
      </w:pPr>
      <w:r>
        <w:t xml:space="preserve">Dinámica Sectorial e Inversión Externa</w:t>
      </w:r>
    </w:p>
    <w:p>
      <w:pPr>
        <w:pStyle w:val="FirstParagraph"/>
      </w:pPr>
      <w:r>
        <w:t xml:space="preserve">La inversión extranjera directa (IED) jugó un papel catalizador, no solo como flujo de capital, sino como vehículo de transferencia tecnológica. Sin embargo, a diferencia de otros países en desarrollo, Corea utilizó la IED para fortalecer capacidades locales, alineándose con la visión de desarrollo sostenible de</w:t>
      </w:r>
      <w:r>
        <w:t xml:space="preserve"> </w:t>
      </w:r>
      <w:r>
        <w:t xml:space="preserve">Sachs (2015)</w:t>
      </w:r>
      <w:r>
        <w:t xml:space="preserve">.</w:t>
      </w:r>
    </w:p>
    <w:bookmarkEnd w:id="22"/>
    <w:bookmarkStart w:id="23" w:name="capital-humano-y-empleo"/>
    <w:p>
      <w:pPr>
        <w:pStyle w:val="Heading2"/>
      </w:pPr>
      <w:r>
        <w:t xml:space="preserve">Capital Humano y Empleo</w:t>
      </w:r>
    </w:p>
    <w:p>
      <w:pPr>
        <w:pStyle w:val="FirstParagraph"/>
      </w:pPr>
      <w:r>
        <w:t xml:space="preserve">El índice de Capital Humano muestra un crecimiento lineal sostenido. Esta inversión pública masiva en educación permitió al país transitar de una economía de mano de obra intensiva a una basada en el conocimiento, validando la tesis de que la modernización requiere un cambio profundo en la</w:t>
      </w:r>
      <w:r>
        <w:t xml:space="preserve"> </w:t>
      </w:r>
      <w:r>
        <w:t xml:space="preserve">“calidad”</w:t>
      </w:r>
      <w:r>
        <w:t xml:space="preserve"> </w:t>
      </w:r>
      <w:r>
        <w:t xml:space="preserve">de la población.</w:t>
      </w:r>
    </w:p>
    <w:bookmarkEnd w:id="23"/>
    <w:bookmarkStart w:id="24" w:name="Xaae7b8771457863aa6b47b877d2092a4e0a9a3f"/>
    <w:p>
      <w:pPr>
        <w:pStyle w:val="Heading2"/>
      </w:pPr>
      <w:r>
        <w:t xml:space="preserve">Conclusión Parcial: Trayectoria de Desarrollo</w:t>
      </w:r>
    </w:p>
    <w:p>
      <w:pPr>
        <w:pStyle w:val="FirstParagraph"/>
      </w:pPr>
      <w:r>
        <w:t xml:space="preserve">La trayectoria de Corea del Sur valida la tesis de la modernización: una secuencia progresiva de acumulación que resultó en una convergencia real con las economías avanzadas. No obstante, el éxito no fue puramente inercial, sino el resultado de una estrategia deliberada.</w:t>
      </w:r>
    </w:p>
    <w:bookmarkEnd w:id="24"/>
    <w:bookmarkEnd w:id="25"/>
    <w:bookmarkStart w:id="33" w:name="Xef69b06f4aa2c5885057493c34e44ada8707932"/>
    <w:p>
      <w:pPr>
        <w:pStyle w:val="Heading1"/>
      </w:pPr>
      <w:r>
        <w:t xml:space="preserve">Evaluación desde la Teoría Estructuralista</w:t>
      </w:r>
    </w:p>
    <w:p>
      <w:pPr>
        <w:pStyle w:val="FirstParagraph"/>
      </w:pPr>
      <w:r>
        <w:t xml:space="preserve">Desde el lente estructuralista, el éxito coreano se explica por una transformación deliberada de su matriz productiva para romper la asimetría centro-periferia planteada por</w:t>
      </w:r>
      <w:r>
        <w:t xml:space="preserve"> </w:t>
      </w:r>
      <w:r>
        <w:t xml:space="preserve">Prebisch (1950)</w:t>
      </w:r>
      <w:r>
        <w:t xml:space="preserve">.</w:t>
      </w:r>
    </w:p>
    <w:bookmarkStart w:id="29" w:name="estructura-productiva-y-especialización"/>
    <w:p>
      <w:pPr>
        <w:pStyle w:val="Heading2"/>
      </w:pPr>
      <w:r>
        <w:t xml:space="preserve">Estructura Productiva y Especialización</w:t>
      </w:r>
    </w:p>
    <w:p>
      <w:pPr>
        <w:pStyle w:val="FirstParagraph"/>
      </w:pPr>
      <w:r>
        <w:t xml:space="preserve">Corea del Sur logró una diversificación sin precedentes. La participación de las manufacturas en las exportaciones alcanzó niveles superiores al 80%. Este proceso es lo que</w:t>
      </w:r>
      <w:r>
        <w:t xml:space="preserve"> </w:t>
      </w:r>
      <w:r>
        <w:t xml:space="preserve">Fajnzylber (1990)</w:t>
      </w:r>
      <w:r>
        <w:t xml:space="preserve"> </w:t>
      </w:r>
      <w:r>
        <w:t xml:space="preserve">denomina</w:t>
      </w:r>
      <w:r>
        <w:t xml:space="preserve"> </w:t>
      </w:r>
      <w:r>
        <w:t xml:space="preserve">“casillero vacío”</w:t>
      </w:r>
      <w:r>
        <w:t xml:space="preserve"> </w:t>
      </w:r>
      <w:r>
        <w:t xml:space="preserve">o industrialización con aprendizaje, donde el progreso técnico se difunde a toda la estructura económica.</w:t>
      </w:r>
    </w:p>
    <w:p>
      <w:pPr>
        <w:pStyle w:val="CaptionedFigure"/>
      </w:pPr>
      <w:r>
        <w:drawing>
          <wp:inline>
            <wp:extent cx="5384800" cy="3274861"/>
            <wp:effectExtent b="0" l="0" r="0" t="0"/>
            <wp:docPr descr="Figura 2: Transformación Estructural - Manufacturas y RRI (Fuente: Elaboración propia en Stata con datos del Banco Mundial)" title="" id="27" name="Picture"/>
            <a:graphic>
              <a:graphicData uri="http://schemas.openxmlformats.org/drawingml/2006/picture">
                <pic:pic>
                  <pic:nvPicPr>
                    <pic:cNvPr descr="assets/grafico_estructuralista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3274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2: Transformación Estructural - Manufacturas y RRI (Fuente: Elaboración propia en Stata con datos del Banco Mundial)</w:t>
      </w:r>
    </w:p>
    <w:bookmarkEnd w:id="29"/>
    <w:bookmarkStart w:id="30" w:name="términos-de-intercambio-y-productividad"/>
    <w:p>
      <w:pPr>
        <w:pStyle w:val="Heading2"/>
      </w:pPr>
      <w:r>
        <w:t xml:space="preserve">Términos de Intercambio y Productividad</w:t>
      </w:r>
    </w:p>
    <w:p>
      <w:pPr>
        <w:pStyle w:val="FirstParagraph"/>
      </w:pPr>
      <w:r>
        <w:t xml:space="preserve">A diferencia de otras economías periféricas, Corea del Sur mitigó el deterioro de los términos de intercambio mediante la mejora constante de la productividad industrial. Como advirtió</w:t>
      </w:r>
      <w:r>
        <w:t xml:space="preserve"> </w:t>
      </w:r>
      <w:r>
        <w:t xml:space="preserve">Prebisch (1950)</w:t>
      </w:r>
      <w:r>
        <w:t xml:space="preserve">, sin cambio técnico, los países exportadores de bienes primarios están condenados al empobrecimiento relativo; Corea rompió esta regla mediante la sofisticación tecnológica.</w:t>
      </w:r>
    </w:p>
    <w:bookmarkEnd w:id="30"/>
    <w:bookmarkStart w:id="31" w:name="dependencia-y-tecnología-en-el-siglo-xxi"/>
    <w:p>
      <w:pPr>
        <w:pStyle w:val="Heading2"/>
      </w:pPr>
      <w:r>
        <w:t xml:space="preserve">Dependencia y Tecnología en el Siglo XXI</w:t>
      </w:r>
    </w:p>
    <w:p>
      <w:pPr>
        <w:pStyle w:val="FirstParagraph"/>
      </w:pPr>
      <w:r>
        <w:t xml:space="preserve">En la actualidad, Corea enfrenta nuevos desafíos estructurales. Aunque logró soberanía tecnológica en semiconductores, la</w:t>
      </w:r>
      <w:r>
        <w:t xml:space="preserve"> </w:t>
      </w:r>
      <w:r>
        <w:t xml:space="preserve">“guerra de chips”</w:t>
      </w:r>
      <w:r>
        <w:t xml:space="preserve"> </w:t>
      </w:r>
      <w:r>
        <w:t xml:space="preserve">entre EE. UU. y China coloca al país en una posición vulnerable debido a su dependencia de mercados externos</w:t>
      </w:r>
      <w:r>
        <w:t xml:space="preserve"> </w:t>
      </w:r>
      <w:r>
        <w:t xml:space="preserve">International Monetary Fund (2024)</w:t>
      </w:r>
      <w:r>
        <w:t xml:space="preserve">. Además, la pérdida de competitividad frente a China en sectores como baterías y robótica sugiere que la transformación estructural debe ser un proceso permanente.</w:t>
      </w:r>
    </w:p>
    <w:bookmarkEnd w:id="31"/>
    <w:bookmarkStart w:id="32" w:name="Xfd14e90a7ea3e9e512bf62777c1cd23894adef4"/>
    <w:p>
      <w:pPr>
        <w:pStyle w:val="Heading2"/>
      </w:pPr>
      <w:r>
        <w:t xml:space="preserve">Conclusión Parcial: Transformación Estructural</w:t>
      </w:r>
    </w:p>
    <w:p>
      <w:pPr>
        <w:pStyle w:val="FirstParagraph"/>
      </w:pPr>
      <w:r>
        <w:t xml:space="preserve">La evidencia confirma una transformación estructural profunda. Corea superó la trampa de la especialización primaria, pero hoy enfrenta una</w:t>
      </w:r>
      <w:r>
        <w:t xml:space="preserve"> </w:t>
      </w:r>
      <w:r>
        <w:t xml:space="preserve">“trampa de madurez”</w:t>
      </w:r>
      <w:r>
        <w:t xml:space="preserve"> </w:t>
      </w:r>
      <w:r>
        <w:t xml:space="preserve">caracterizada por un envejecimiento poblacional extremo (con la tasa de fertilidad más baja del mundo) que amenaza la sostenibilidad de su modelo productivo</w:t>
      </w:r>
      <w:r>
        <w:t xml:space="preserve"> </w:t>
      </w:r>
      <w:r>
        <w:t xml:space="preserve">OCDE (2025)</w:t>
      </w:r>
      <w:r>
        <w:t xml:space="preserve">.</w:t>
      </w:r>
    </w:p>
    <w:bookmarkEnd w:id="32"/>
    <w:bookmarkEnd w:id="33"/>
    <w:bookmarkStart w:id="34" w:name="conclusión-general"/>
    <w:p>
      <w:pPr>
        <w:pStyle w:val="Heading1"/>
      </w:pPr>
      <w:r>
        <w:t xml:space="preserve">Conclusión General</w:t>
      </w:r>
    </w:p>
    <w:p>
      <w:pPr>
        <w:pStyle w:val="FirstParagraph"/>
      </w:pPr>
      <w:r>
        <w:t xml:space="preserve">La auditoría concluye que el desarrollo de Corea del Sur es un caso híbrido exitoso: utilizó los mecanismos de acumulación de la</w:t>
      </w:r>
      <w:r>
        <w:t xml:space="preserve"> </w:t>
      </w:r>
      <w:r>
        <w:rPr>
          <w:b/>
          <w:bCs/>
        </w:rPr>
        <w:t xml:space="preserve">Modernización</w:t>
      </w:r>
      <w:r>
        <w:t xml:space="preserve"> </w:t>
      </w:r>
      <w:r>
        <w:t xml:space="preserve">pero bajo una dirección de política</w:t>
      </w:r>
      <w:r>
        <w:t xml:space="preserve"> </w:t>
      </w:r>
      <w:r>
        <w:rPr>
          <w:b/>
          <w:bCs/>
        </w:rPr>
        <w:t xml:space="preserve">Estructuralista</w:t>
      </w:r>
      <w:r>
        <w:t xml:space="preserve">. El país logró lo que pocos han conseguido: saltar del subdesarrollo al estatus de potencia tecnológica. Sin embargo, su futuro depende de su capacidad para resolver crisis demográficas y tensiones geopolíticas que las teorías clásicas no previeron totalmente.</w:t>
      </w:r>
    </w:p>
    <w:bookmarkEnd w:id="34"/>
    <w:bookmarkStart w:id="43" w:name="bibliografía"/>
    <w:p>
      <w:pPr>
        <w:pStyle w:val="Heading1"/>
      </w:pPr>
      <w:r>
        <w:t xml:space="preserve">Bibliografía</w:t>
      </w:r>
    </w:p>
    <w:bookmarkStart w:id="42" w:name="refs"/>
    <w:bookmarkStart w:id="35" w:name="ref-fajnzylber1990industrialization"/>
    <w:p>
      <w:pPr>
        <w:pStyle w:val="Bibliography"/>
      </w:pPr>
      <w:r>
        <w:t xml:space="preserve">Fajnzylber, F. (1990).</w:t>
      </w:r>
      <w:r>
        <w:t xml:space="preserve"> </w:t>
      </w:r>
      <w:r>
        <w:rPr>
          <w:i/>
          <w:iCs/>
        </w:rPr>
        <w:t xml:space="preserve">Industrialization in South Korea and Taiwan</w:t>
      </w:r>
      <w:r>
        <w:t xml:space="preserve">. UN ECLAC.</w:t>
      </w:r>
    </w:p>
    <w:bookmarkEnd w:id="35"/>
    <w:bookmarkStart w:id="36" w:name="ref-feenstra2015next"/>
    <w:p>
      <w:pPr>
        <w:pStyle w:val="Bibliography"/>
      </w:pPr>
      <w:r>
        <w:t xml:space="preserve">Feenstra, R. C., Inklaar, R., &amp; Timmer, M. P. (2015). The next generation of the Penn World Table.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,</w:t>
      </w:r>
      <w:r>
        <w:t xml:space="preserve"> </w:t>
      </w:r>
      <w:r>
        <w:rPr>
          <w:i/>
          <w:iCs/>
        </w:rPr>
        <w:t xml:space="preserve">105</w:t>
      </w:r>
      <w:r>
        <w:t xml:space="preserve">(10), 3150-3182.</w:t>
      </w:r>
    </w:p>
    <w:bookmarkEnd w:id="36"/>
    <w:bookmarkStart w:id="37" w:name="ref-imf2024korea"/>
    <w:p>
      <w:pPr>
        <w:pStyle w:val="Bibliography"/>
      </w:pPr>
      <w:r>
        <w:t xml:space="preserve">International Monetary Fund. (2024).</w:t>
      </w:r>
      <w:r>
        <w:t xml:space="preserve"> </w:t>
      </w:r>
      <w:r>
        <w:rPr>
          <w:i/>
          <w:iCs/>
        </w:rPr>
        <w:t xml:space="preserve">Republic of Korea: 2024 Article IV Consultation</w:t>
      </w:r>
      <w:r>
        <w:t xml:space="preserve">. IMF.</w:t>
      </w:r>
    </w:p>
    <w:bookmarkEnd w:id="37"/>
    <w:bookmarkStart w:id="38" w:name="ref-ocde2025perspectivas"/>
    <w:p>
      <w:pPr>
        <w:pStyle w:val="Bibliography"/>
      </w:pPr>
      <w:r>
        <w:t xml:space="preserve">OCDE. (2025).</w:t>
      </w:r>
      <w:r>
        <w:t xml:space="preserve"> </w:t>
      </w:r>
      <w:r>
        <w:rPr>
          <w:i/>
          <w:iCs/>
        </w:rPr>
        <w:t xml:space="preserve">Perspectivas Económicas de la OCDE, Junio 2025</w:t>
      </w:r>
      <w:r>
        <w:t xml:space="preserve">. OECD Publishing.</w:t>
      </w:r>
    </w:p>
    <w:bookmarkEnd w:id="38"/>
    <w:bookmarkStart w:id="39" w:name="ref-prebisch1950economic"/>
    <w:p>
      <w:pPr>
        <w:pStyle w:val="Bibliography"/>
      </w:pPr>
      <w:r>
        <w:t xml:space="preserve">Prebisch, R. (1950). The economic development of Latin America and its principal problems.</w:t>
      </w:r>
      <w:r>
        <w:t xml:space="preserve"> </w:t>
      </w:r>
      <w:r>
        <w:rPr>
          <w:i/>
          <w:iCs/>
        </w:rPr>
        <w:t xml:space="preserve">Economic Bulletin for Latin America</w:t>
      </w:r>
      <w:r>
        <w:t xml:space="preserve">.</w:t>
      </w:r>
    </w:p>
    <w:bookmarkEnd w:id="39"/>
    <w:bookmarkStart w:id="40" w:name="ref-ray1998development"/>
    <w:p>
      <w:pPr>
        <w:pStyle w:val="Bibliography"/>
      </w:pPr>
      <w:r>
        <w:t xml:space="preserve">Ray, D. (1998).</w:t>
      </w:r>
      <w:r>
        <w:t xml:space="preserve"> </w:t>
      </w:r>
      <w:r>
        <w:rPr>
          <w:i/>
          <w:iCs/>
        </w:rPr>
        <w:t xml:space="preserve">Development Economics</w:t>
      </w:r>
      <w:r>
        <w:t xml:space="preserve">. Princeton University Press.</w:t>
      </w:r>
    </w:p>
    <w:bookmarkEnd w:id="40"/>
    <w:bookmarkStart w:id="41" w:name="ref-sachs2015era"/>
    <w:p>
      <w:pPr>
        <w:pStyle w:val="Bibliography"/>
      </w:pPr>
      <w:r>
        <w:t xml:space="preserve">Sachs, J. D. (2015).</w:t>
      </w:r>
      <w:r>
        <w:t xml:space="preserve"> </w:t>
      </w:r>
      <w:r>
        <w:rPr>
          <w:i/>
          <w:iCs/>
        </w:rPr>
        <w:t xml:space="preserve">The Age of Sustainable Development</w:t>
      </w:r>
      <w:r>
        <w:t xml:space="preserve">. Columbia University Press.</w:t>
      </w:r>
    </w:p>
    <w:bookmarkEnd w:id="41"/>
    <w:bookmarkEnd w:id="42"/>
    <w:bookmarkEnd w:id="43"/>
    <w:bookmarkStart w:id="53" w:name="anexos"/>
    <w:p>
      <w:pPr>
        <w:pStyle w:val="Heading1"/>
      </w:pPr>
      <w:r>
        <w:t xml:space="preserve">Anexos</w:t>
      </w:r>
    </w:p>
    <w:bookmarkStart w:id="47" w:name="X9fc2980169415a6806d430ce6d6c1fa89f304bb"/>
    <w:p>
      <w:pPr>
        <w:pStyle w:val="Heading2"/>
      </w:pPr>
      <w:r>
        <w:t xml:space="preserve">Anexo 1: Datos y Réplica (Acceso Obligatorio)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Repositorio de Datos (Nube)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CLICK AQUÍ PARA ACCEDER A LA CARPETA DE DATOS</w:t>
        </w:r>
      </w:hyperlink>
      <w:r>
        <w:br/>
      </w:r>
      <w:r>
        <w:rPr>
          <w:i/>
          <w:iCs/>
        </w:rPr>
        <w:t xml:space="preserve">(Incluye: Excel final, Scripts de Stata y Metadatos de validación)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 Excel Local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KOR_Audit_Data.xlsx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Metadatos de Auditoría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process_metadata.json</w:t>
        </w:r>
      </w:hyperlink>
    </w:p>
    <w:bookmarkEnd w:id="47"/>
    <w:bookmarkStart w:id="52" w:name="X344108fa3a8c3cabd7ab48ea651eaeb0a113350"/>
    <w:p>
      <w:pPr>
        <w:pStyle w:val="Heading2"/>
      </w:pPr>
      <w:r>
        <w:t xml:space="preserve">Anexo 2: Bibliografía y Evidencia (Acceso Obligatorio)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Carpeta de Fuentes (Nube)</w:t>
      </w:r>
      <w:r>
        <w:t xml:space="preserve">:</w:t>
      </w:r>
      <w:r>
        <w:t xml:space="preserve"> </w:t>
      </w:r>
      <w:hyperlink r:id="rId48">
        <w:r>
          <w:rPr>
            <w:rStyle w:val="Hyperlink"/>
          </w:rPr>
          <w:t xml:space="preserve">CLICK AQUÍ PARA ACCEDER A LA BIBLIOGRAFÍA</w:t>
        </w:r>
      </w:hyperlink>
      <w:r>
        <w:br/>
      </w:r>
      <w:r>
        <w:rPr>
          <w:i/>
          <w:iCs/>
        </w:rPr>
        <w:t xml:space="preserve">(Incluye: PDFs de fuentes académicas con partes relevantes resaltadas: Ray, Fajnzylber, Prebisch, etc.)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Fuentes Verificables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hyperlink r:id="rId49">
        <w:r>
          <w:rPr>
            <w:rStyle w:val="Hyperlink"/>
          </w:rPr>
          <w:t xml:space="preserve">World Bank Open Data</w:t>
        </w:r>
      </w:hyperlink>
    </w:p>
    <w:p>
      <w:pPr>
        <w:pStyle w:val="Compact"/>
        <w:numPr>
          <w:ilvl w:val="1"/>
          <w:numId w:val="1003"/>
        </w:numPr>
      </w:pPr>
      <w:hyperlink r:id="rId50">
        <w:r>
          <w:rPr>
            <w:rStyle w:val="Hyperlink"/>
          </w:rPr>
          <w:t xml:space="preserve">Penn World Table 11.0</w:t>
        </w:r>
      </w:hyperlink>
    </w:p>
    <w:p>
      <w:pPr>
        <w:pStyle w:val="Compact"/>
        <w:numPr>
          <w:ilvl w:val="1"/>
          <w:numId w:val="1003"/>
        </w:numPr>
      </w:pPr>
      <w:hyperlink r:id="rId51">
        <w:r>
          <w:rPr>
            <w:rStyle w:val="Hyperlink"/>
          </w:rPr>
          <w:t xml:space="preserve">OECD Economic Outlook 2025</w:t>
        </w:r>
      </w:hyperlink>
    </w:p>
    <w:bookmarkEnd w:id="52"/>
    <w:bookmarkEnd w:id="53"/>
    <w:sectPr w:rsidR="00B07774" w:rsidSect="002D3238">
      <w:headerReference r:id="rId6" w:type="first"/>
      <w:pgSz w:h="16840" w:w="11900"/>
      <w:pgMar w:bottom="1418" w:footer="709" w:gutter="0" w:header="709" w:left="1701" w:right="1701" w:top="1418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3238" w:rsidRPr="00044845" w:rsidRDefault="002D3238" w:rsidP="002D3238">
    <w:pPr>
      <w:jc w:val="center"/>
      <w:rPr>
        <w:rFonts w:ascii="Arial" w:hAnsi="Arial" w:cs="Arial"/>
        <w:b/>
        <w:bCs/>
        <w:sz w:val="18"/>
        <w:szCs w:val="18"/>
      </w:rPr>
    </w:pPr>
    <w:r w:rsidRPr="00044845">
      <w:rPr>
        <w:rFonts w:ascii="Arial" w:hAnsi="Arial" w:cs="Arial"/>
        <w:b/>
        <w:bCs/>
        <w:i/>
        <w:noProof/>
        <w:sz w:val="18"/>
        <w:szCs w:val="18"/>
      </w:rPr>
      <w:drawing>
        <wp:anchor distT="0" distB="0" distL="114300" distR="114300" simplePos="0" relativeHeight="251659264" behindDoc="0" locked="0" layoutInCell="1" allowOverlap="1" wp14:anchorId="714AA9A1" wp14:editId="585A6BEA">
          <wp:simplePos x="0" y="0"/>
          <wp:positionH relativeFrom="column">
            <wp:posOffset>342900</wp:posOffset>
          </wp:positionH>
          <wp:positionV relativeFrom="paragraph">
            <wp:posOffset>-114300</wp:posOffset>
          </wp:positionV>
          <wp:extent cx="800100" cy="800100"/>
          <wp:effectExtent l="0" t="0" r="12700" b="12700"/>
          <wp:wrapTight wrapText="bothSides">
            <wp:wrapPolygon edited="0">
              <wp:start x="0" y="0"/>
              <wp:lineTo x="0" y="21257"/>
              <wp:lineTo x="21257" y="21257"/>
              <wp:lineTo x="21257" y="0"/>
              <wp:lineTo x="0" y="0"/>
            </wp:wrapPolygon>
          </wp:wrapTight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44845">
      <w:rPr>
        <w:rFonts w:ascii="Arial" w:hAnsi="Arial" w:cs="Arial"/>
        <w:b/>
        <w:bCs/>
        <w:sz w:val="18"/>
        <w:szCs w:val="18"/>
      </w:rPr>
      <w:t>UNIVERSIDAD NACIONAL DE LOJA</w:t>
    </w:r>
  </w:p>
  <w:p w:rsidR="002D3238" w:rsidRPr="00044845" w:rsidRDefault="002D3238" w:rsidP="002D3238">
    <w:pPr>
      <w:jc w:val="center"/>
      <w:rPr>
        <w:rFonts w:ascii="Arial" w:hAnsi="Arial" w:cs="Arial"/>
        <w:b/>
        <w:bCs/>
        <w:i/>
        <w:sz w:val="18"/>
        <w:szCs w:val="18"/>
      </w:rPr>
    </w:pPr>
    <w:r w:rsidRPr="00044845">
      <w:rPr>
        <w:rFonts w:ascii="Arial" w:hAnsi="Arial" w:cs="Arial"/>
        <w:b/>
        <w:bCs/>
        <w:i/>
        <w:sz w:val="18"/>
        <w:szCs w:val="18"/>
      </w:rPr>
      <w:t>Carrera de Economía</w:t>
    </w:r>
  </w:p>
  <w:p w:rsidR="002D3238" w:rsidRPr="00FB17B9" w:rsidRDefault="00044845" w:rsidP="002D3238">
    <w:pPr>
      <w:jc w:val="center"/>
      <w:rPr>
        <w:rFonts w:ascii="Arial" w:hAnsi="Arial" w:cs="Arial"/>
        <w:b/>
        <w:sz w:val="18"/>
        <w:szCs w:val="18"/>
      </w:rPr>
    </w:pPr>
    <w:r w:rsidRPr="00044845">
      <w:rPr>
        <w:rFonts w:ascii="Arial" w:hAnsi="Arial" w:cs="Arial"/>
        <w:b/>
        <w:sz w:val="18"/>
        <w:szCs w:val="18"/>
      </w:rPr>
      <w:t>Economía Ambiental</w:t>
    </w:r>
  </w:p>
  <w:p w:rsidR="002D3238" w:rsidRPr="00FB17B9" w:rsidRDefault="002D3238" w:rsidP="002D3238">
    <w:pPr>
      <w:jc w:val="center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sz w:val="18"/>
        <w:szCs w:val="18"/>
      </w:rPr>
      <w:t xml:space="preserve">UNIDAD 1 </w:t>
    </w:r>
    <w:r w:rsidRPr="00DD73FE">
      <w:rPr>
        <w:rFonts w:ascii="Arial" w:hAnsi="Arial" w:cs="Arial"/>
        <w:b/>
        <w:sz w:val="18"/>
        <w:szCs w:val="18"/>
        <w:highlight w:val="yellow"/>
      </w:rPr>
      <w:t>(cambiar según el número de unidad)</w:t>
    </w:r>
  </w:p>
  <w:p w:rsidR="002D3238" w:rsidRPr="00FB17B9" w:rsidRDefault="00044845" w:rsidP="002D3238">
    <w:pPr>
      <w:jc w:val="center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sz w:val="18"/>
        <w:szCs w:val="18"/>
      </w:rPr>
      <w:t>Septiembre 2024-Febrero 2025</w:t>
    </w:r>
  </w:p>
  <w:p w:rsidR="002D3238" w:rsidRPr="00FB17B9" w:rsidRDefault="00044845" w:rsidP="002D3238">
    <w:pPr>
      <w:jc w:val="center"/>
      <w:rPr>
        <w:rFonts w:ascii="Arial" w:hAnsi="Arial" w:cs="Arial"/>
        <w:b/>
        <w:sz w:val="18"/>
        <w:szCs w:val="18"/>
      </w:rPr>
    </w:pPr>
    <w:proofErr w:type="gramStart"/>
    <w:r>
      <w:rPr>
        <w:rFonts w:ascii="Arial" w:hAnsi="Arial" w:cs="Arial"/>
        <w:b/>
        <w:sz w:val="18"/>
        <w:szCs w:val="18"/>
      </w:rPr>
      <w:t xml:space="preserve">Quinto </w:t>
    </w:r>
    <w:r w:rsidR="002D3238">
      <w:rPr>
        <w:rFonts w:ascii="Arial" w:hAnsi="Arial" w:cs="Arial"/>
        <w:b/>
        <w:sz w:val="18"/>
        <w:szCs w:val="18"/>
      </w:rPr>
      <w:t xml:space="preserve"> A</w:t>
    </w:r>
    <w:proofErr w:type="gramEnd"/>
  </w:p>
  <w:p w:rsidR="002D3238" w:rsidRDefault="002D3238" w:rsidP="002D3238">
    <w:pPr>
      <w:pStyle w:val="Encabezado"/>
    </w:pPr>
    <w:r w:rsidRPr="0094096B">
      <w:rPr>
        <w:b/>
      </w:rPr>
      <w:t xml:space="preserve">Nombre: </w:t>
    </w:r>
    <w:r w:rsidRPr="002D3238">
      <w:rPr>
        <w:sz w:val="15"/>
      </w:rPr>
      <w:t xml:space="preserve">(colocar su nombre completo en caso de trabajo individual, o los nombres de los integrantes, en orden alfabético, separados con coma (,)                   </w:t>
    </w:r>
  </w:p>
  <w:p w:rsidR="002D3238" w:rsidRDefault="002D3238">
    <w:pPr>
      <w:pStyle w:val="Encabezado"/>
    </w:pPr>
    <w:r>
      <w:t xml:space="preserve">  </w:t>
    </w:r>
    <w:r w:rsidRPr="00AE1221">
      <w:rPr>
        <w:b/>
      </w:rPr>
      <w:t>Fecha:</w:t>
    </w:r>
    <w:r>
      <w:t xml:space="preserve"> (fecha de entrega)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7774" w:rsidRDefault="00B07774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96B"/>
    <w:rsid w:val="00044845"/>
    <w:rsid w:val="000A385E"/>
    <w:rsid w:val="000E4501"/>
    <w:rsid w:val="0011167E"/>
    <w:rsid w:val="001117A6"/>
    <w:rsid w:val="002D3238"/>
    <w:rsid w:val="00313F72"/>
    <w:rsid w:val="003236C7"/>
    <w:rsid w:val="00527032"/>
    <w:rsid w:val="00550F08"/>
    <w:rsid w:val="005F3AD6"/>
    <w:rsid w:val="005F5565"/>
    <w:rsid w:val="00623C21"/>
    <w:rsid w:val="00750213"/>
    <w:rsid w:val="007A474C"/>
    <w:rsid w:val="007D3FC4"/>
    <w:rsid w:val="00836B71"/>
    <w:rsid w:val="00844F69"/>
    <w:rsid w:val="008A3EF5"/>
    <w:rsid w:val="00905846"/>
    <w:rsid w:val="00906C6A"/>
    <w:rsid w:val="0094096B"/>
    <w:rsid w:val="009A2A12"/>
    <w:rsid w:val="00AE1221"/>
    <w:rsid w:val="00B07774"/>
    <w:rsid w:val="00BC397F"/>
    <w:rsid w:val="00DA5935"/>
    <w:rsid w:val="00DD6281"/>
    <w:rsid w:val="00DD73FE"/>
    <w:rsid w:val="00E75C63"/>
    <w:rsid w:val="00FB35AB"/>
  </w:rsids>
  <w:themeFontLang w:val="es-ES_tradnl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/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default="1" w:styleId="Normal" w:type="paragraph">
    <w:name w:val="Normal"/>
    <w:qFormat/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styleId="Encabezado" w:type="paragraph">
    <w:name w:val="header"/>
    <w:basedOn w:val="Normal"/>
    <w:link w:val="EncabezadoCar"/>
    <w:uiPriority w:val="99"/>
    <w:unhideWhenUsed/>
    <w:rsid w:val="0094096B"/>
    <w:pPr>
      <w:tabs>
        <w:tab w:pos="4419" w:val="center"/>
        <w:tab w:pos="8838" w:val="right"/>
      </w:tabs>
    </w:pPr>
  </w:style>
  <w:style w:customStyle="1" w:styleId="EncabezadoCar" w:type="character">
    <w:name w:val="Encabezado Car"/>
    <w:basedOn w:val="Fuentedeprrafopredeter"/>
    <w:link w:val="Encabezado"/>
    <w:uiPriority w:val="99"/>
    <w:rsid w:val="0094096B"/>
  </w:style>
  <w:style w:styleId="Piedepgina" w:type="paragraph">
    <w:name w:val="footer"/>
    <w:basedOn w:val="Normal"/>
    <w:link w:val="PiedepginaCar"/>
    <w:uiPriority w:val="99"/>
    <w:unhideWhenUsed/>
    <w:rsid w:val="0094096B"/>
    <w:pPr>
      <w:tabs>
        <w:tab w:pos="4419" w:val="center"/>
        <w:tab w:pos="8838" w:val="right"/>
      </w:tabs>
    </w:pPr>
  </w:style>
  <w:style w:customStyle="1" w:styleId="PiedepginaCar" w:type="character">
    <w:name w:val="Pie de página Car"/>
    <w:basedOn w:val="Fuentedeprrafopredeter"/>
    <w:link w:val="Piedepgina"/>
    <w:uiPriority w:val="99"/>
    <w:rsid w:val="0094096B"/>
  </w:style>
  <w:style w:styleId="Nmerodelnea" w:type="character">
    <w:name w:val="line number"/>
    <w:basedOn w:val="Fuentedeprrafopredeter"/>
    <w:uiPriority w:val="99"/>
    <w:semiHidden/>
    <w:unhideWhenUsed/>
    <w:rsid w:val="002D3238"/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header2.xml" Type="http://schemas.openxmlformats.org/officeDocument/2006/relationships/header" /><Relationship Id="rId6" Target="header1.xml" Type="http://schemas.openxmlformats.org/officeDocument/2006/relationships/header" /><Relationship Type="http://schemas.openxmlformats.org/officeDocument/2006/relationships/image" Id="rId26" Target="media/rId26.png" /><Relationship Type="http://schemas.openxmlformats.org/officeDocument/2006/relationships/image" Id="rId18" Target="media/rId18.png" /><Relationship Type="http://schemas.openxmlformats.org/officeDocument/2006/relationships/hyperlink" Id="rId48" Target="COLOCAR_AQUI_LINK_A_DRIVE_O_NUBE" TargetMode="External" /><Relationship Type="http://schemas.openxmlformats.org/officeDocument/2006/relationships/hyperlink" Id="rId45" Target="data/raw/KOR_Audit_Data.xlsx" TargetMode="External" /><Relationship Type="http://schemas.openxmlformats.org/officeDocument/2006/relationships/hyperlink" Id="rId46" Target="data/raw/process_metadata.json" TargetMode="External" /><Relationship Type="http://schemas.openxmlformats.org/officeDocument/2006/relationships/hyperlink" Id="rId49" Target="https://data.worldbank.org" TargetMode="External" /><Relationship Type="http://schemas.openxmlformats.org/officeDocument/2006/relationships/hyperlink" Id="rId44" Target="https://drive.google.com/drive/folders/1AbV-5soT07P6wyLTwkeLnUUwrVEgtunL?usp=sharing" TargetMode="External" /><Relationship Type="http://schemas.openxmlformats.org/officeDocument/2006/relationships/hyperlink" Id="rId51" Target="https://www.oecd.org" TargetMode="External" /><Relationship Type="http://schemas.openxmlformats.org/officeDocument/2006/relationships/hyperlink" Id="rId50" Target="https://www.rug.nl/ggdc/productivity/pw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COLOCAR_AQUI_LINK_A_DRIVE_O_NUBE" TargetMode="External" /><Relationship Type="http://schemas.openxmlformats.org/officeDocument/2006/relationships/hyperlink" Id="rId45" Target="data/raw/KOR_Audit_Data.xlsx" TargetMode="External" /><Relationship Type="http://schemas.openxmlformats.org/officeDocument/2006/relationships/hyperlink" Id="rId46" Target="data/raw/process_metadata.json" TargetMode="External" /><Relationship Type="http://schemas.openxmlformats.org/officeDocument/2006/relationships/hyperlink" Id="rId49" Target="https://data.worldbank.org" TargetMode="External" /><Relationship Type="http://schemas.openxmlformats.org/officeDocument/2006/relationships/hyperlink" Id="rId44" Target="https://drive.google.com/drive/folders/1AbV-5soT07P6wyLTwkeLnUUwrVEgtunL?usp=sharing" TargetMode="External" /><Relationship Type="http://schemas.openxmlformats.org/officeDocument/2006/relationships/hyperlink" Id="rId51" Target="https://www.oecd.org" TargetMode="External" /><Relationship Type="http://schemas.openxmlformats.org/officeDocument/2006/relationships/hyperlink" Id="rId50" Target="https://www.rug.nl/ggdc/productivity/pwt/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35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Auditoría Económica Aplicada: Corea del Sur</dc:title>
  <dc:creator>Condoy Seraquive Erick Fabricio; David Peréz; Gustavo Hurtado</dc:creator>
  <dc:language>es</dc:language>
  <cp:keywords/>
  <dcterms:created xsi:type="dcterms:W3CDTF">2026-04-28T01:14:39Z</dcterms:created>
  <dcterms:modified xsi:type="dcterms:W3CDTF">2026-04-28T01:14:39Z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sl">
    <vt:lpwstr>https://raw.githubusercontent.com/citation-style-language/styles/master/apa.csl</vt:lpwstr>
  </property>
  <property fmtid="{D5CDD505-2E9C-101B-9397-08002B2CF9AE}" pid="7" name="date">
    <vt:lpwstr>2026-04-24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Evaluación desde la Teoría de la Modernización y el Enfoque Estructuralista (Periodo: 1980-2020)</vt:lpwstr>
  </property>
  <property fmtid="{D5CDD505-2E9C-101B-9397-08002B2CF9AE}" pid="14" name="toc-title">
    <vt:lpwstr>Tabla de contenidos</vt:lpwstr>
  </property>
</Properties>
</file>