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51"/>
        <w:pBdr/>
        <w:spacing/>
        <w:ind/>
        <w:jc w:val="center"/>
        <w:rPr>
          <w:rFonts w:ascii="Arial" w:hAnsi="Arial" w:cs="Arial"/>
          <w:b/>
          <w:color w:val="000000" w:themeColor="text1"/>
          <w:sz w:val="20"/>
          <w:szCs w:val="20"/>
        </w:rPr>
      </w:pPr>
      <w:r>
        <w:rPr>
          <w:rFonts w:ascii="Arial" w:hAnsi="Arial" w:cs="Arial"/>
          <w:b/>
          <w:color w:val="000000" w:themeColor="text1"/>
          <w:sz w:val="20"/>
          <w:szCs w:val="20"/>
        </w:rPr>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1423416</wp:posOffset>
                </wp:positionH>
                <wp:positionV relativeFrom="paragraph">
                  <wp:posOffset>-117962</wp:posOffset>
                </wp:positionV>
                <wp:extent cx="548640" cy="551687"/>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548640" cy="5516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5728640;o:allowoverlap:true;o:allowincell:true;mso-position-horizontal-relative:page;margin-left:112.08pt;mso-position-horizontal:absolute;mso-position-vertical-relative:text;margin-top:-9.29pt;mso-position-vertical:absolute;width:43.20pt;height:43.44pt;mso-wrap-distance-left:0.00pt;mso-wrap-distance-top:0.00pt;mso-wrap-distance-right:0.00pt;mso-wrap-distance-bottom:0.00pt;z-index:1;" stroked="false">
                <v:imagedata r:id="rId9" o:title=""/>
                <o:lock v:ext="edit" rotation="t"/>
              </v:shape>
            </w:pict>
          </mc:Fallback>
        </mc:AlternateContent>
      </w:r>
      <w:r>
        <w:rPr>
          <w:rFonts w:ascii="Arial" w:hAnsi="Arial" w:cs="Arial"/>
          <w:b/>
          <w:color w:val="000000" w:themeColor="text1"/>
          <w:sz w:val="20"/>
          <w:szCs w:val="20"/>
        </w:rPr>
        <w:t xml:space="preserve">UNIVERSIDAD</w:t>
      </w:r>
      <w:r>
        <w:rPr>
          <w:rFonts w:ascii="Arial" w:hAnsi="Arial" w:cs="Arial"/>
          <w:b/>
          <w:color w:val="000000" w:themeColor="text1"/>
          <w:spacing w:val="-4"/>
          <w:sz w:val="20"/>
          <w:szCs w:val="20"/>
        </w:rPr>
        <w:t xml:space="preserve"> </w:t>
      </w:r>
      <w:r>
        <w:rPr>
          <w:rFonts w:ascii="Arial" w:hAnsi="Arial" w:cs="Arial"/>
          <w:b/>
          <w:color w:val="000000" w:themeColor="text1"/>
          <w:sz w:val="20"/>
          <w:szCs w:val="20"/>
        </w:rPr>
        <w:t xml:space="preserve">NACIONAL</w:t>
      </w:r>
      <w:r>
        <w:rPr>
          <w:rFonts w:ascii="Arial" w:hAnsi="Arial" w:cs="Arial"/>
          <w:b/>
          <w:color w:val="000000" w:themeColor="text1"/>
          <w:spacing w:val="-3"/>
          <w:sz w:val="20"/>
          <w:szCs w:val="20"/>
        </w:rPr>
        <w:t xml:space="preserve"> </w:t>
      </w:r>
      <w:r>
        <w:rPr>
          <w:rFonts w:ascii="Arial" w:hAnsi="Arial" w:cs="Arial"/>
          <w:b/>
          <w:color w:val="000000" w:themeColor="text1"/>
          <w:sz w:val="20"/>
          <w:szCs w:val="20"/>
        </w:rPr>
        <w:t xml:space="preserve">DE</w:t>
      </w:r>
      <w:r>
        <w:rPr>
          <w:rFonts w:ascii="Arial" w:hAnsi="Arial" w:cs="Arial"/>
          <w:b/>
          <w:color w:val="000000" w:themeColor="text1"/>
          <w:spacing w:val="-1"/>
          <w:sz w:val="20"/>
          <w:szCs w:val="20"/>
        </w:rPr>
        <w:t xml:space="preserve"> </w:t>
      </w:r>
      <w:r>
        <w:rPr>
          <w:rFonts w:ascii="Arial" w:hAnsi="Arial" w:cs="Arial"/>
          <w:b/>
          <w:color w:val="000000" w:themeColor="text1"/>
          <w:spacing w:val="-4"/>
          <w:sz w:val="20"/>
          <w:szCs w:val="20"/>
        </w:rPr>
        <w:t xml:space="preserve">LOJA</w:t>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i/>
          <w:color w:val="000000" w:themeColor="text1"/>
          <w:sz w:val="20"/>
          <w:szCs w:val="20"/>
        </w:rPr>
        <w:t xml:space="preserve">Carrera</w:t>
      </w:r>
      <w:r>
        <w:rPr>
          <w:rFonts w:ascii="Arial" w:hAnsi="Arial" w:cs="Arial"/>
          <w:b/>
          <w:color w:val="000000" w:themeColor="text1"/>
          <w:spacing w:val="-10"/>
          <w:sz w:val="20"/>
          <w:szCs w:val="20"/>
        </w:rPr>
        <w:t xml:space="preserve"> </w:t>
      </w:r>
      <w:r>
        <w:rPr>
          <w:rFonts w:ascii="Arial" w:hAnsi="Arial" w:cs="Arial"/>
          <w:b/>
          <w:i/>
          <w:color w:val="000000" w:themeColor="text1"/>
          <w:sz w:val="20"/>
          <w:szCs w:val="20"/>
        </w:rPr>
        <w:t xml:space="preserve">de</w:t>
      </w:r>
      <w:r>
        <w:rPr>
          <w:rFonts w:ascii="Arial" w:hAnsi="Arial" w:cs="Arial"/>
          <w:b/>
          <w:color w:val="000000" w:themeColor="text1"/>
          <w:spacing w:val="-10"/>
          <w:sz w:val="20"/>
          <w:szCs w:val="20"/>
        </w:rPr>
        <w:t xml:space="preserve"> </w:t>
      </w:r>
      <w:r>
        <w:rPr>
          <w:rFonts w:ascii="Arial" w:hAnsi="Arial" w:cs="Arial"/>
          <w:b/>
          <w:i/>
          <w:color w:val="000000" w:themeColor="text1"/>
          <w:sz w:val="20"/>
          <w:szCs w:val="20"/>
        </w:rPr>
        <w:t xml:space="preserve">Economía</w:t>
      </w:r>
      <w:r>
        <w:rPr>
          <w:rFonts w:ascii="Arial" w:hAnsi="Arial" w:cs="Arial"/>
          <w:b/>
          <w:color w:val="000000" w:themeColor="text1"/>
          <w:sz w:val="20"/>
          <w:szCs w:val="20"/>
        </w:rPr>
      </w:r>
    </w:p>
    <w:p>
      <w:pPr>
        <w:pBdr/>
        <w:spacing/>
        <w:ind/>
        <w:jc w:val="center"/>
        <w:rPr>
          <w:rFonts w:ascii="Arial" w:hAnsi="Arial" w:cs="Arial"/>
          <w:b/>
          <w:color w:val="000000" w:themeColor="text1"/>
          <w:spacing w:val="40"/>
          <w:sz w:val="20"/>
          <w:szCs w:val="20"/>
        </w:rPr>
      </w:pPr>
      <w:r>
        <w:rPr>
          <w:rFonts w:ascii="Arial" w:hAnsi="Arial" w:cs="Arial"/>
          <w:b/>
          <w:color w:val="000000" w:themeColor="text1"/>
          <w:sz w:val="20"/>
          <w:szCs w:val="20"/>
        </w:rPr>
        <w:t xml:space="preserve">Desarrollo Económico</w:t>
      </w:r>
      <w:r>
        <w:rPr>
          <w:rFonts w:ascii="Arial" w:hAnsi="Arial" w:cs="Arial"/>
          <w:b/>
          <w:color w:val="000000" w:themeColor="text1"/>
          <w:spacing w:val="40"/>
          <w:sz w:val="20"/>
          <w:szCs w:val="20"/>
        </w:rPr>
      </w:r>
    </w:p>
    <w:p>
      <w:pPr>
        <w:pBdr/>
        <w:spacing/>
        <w:ind/>
        <w:jc w:val="center"/>
        <w:rPr>
          <w:rFonts w:ascii="Arial" w:hAnsi="Arial" w:cs="Arial"/>
          <w:b/>
          <w:i/>
          <w:color w:val="000000" w:themeColor="text1"/>
          <w:sz w:val="20"/>
          <w:szCs w:val="20"/>
        </w:rPr>
      </w:pPr>
      <w:r>
        <w:rPr>
          <w:rFonts w:ascii="Arial" w:hAnsi="Arial" w:cs="Arial"/>
          <w:b/>
          <w:i/>
          <w:color w:val="000000" w:themeColor="text1"/>
          <w:sz w:val="20"/>
          <w:szCs w:val="20"/>
        </w:rPr>
        <w:t xml:space="preserve">Séptimo A</w:t>
      </w:r>
      <w:r>
        <w:rPr>
          <w:rFonts w:ascii="Arial" w:hAnsi="Arial" w:cs="Arial"/>
          <w:b/>
          <w:i/>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w:t xml:space="preserve">Unidad </w:t>
      </w:r>
      <w:r>
        <w:rPr>
          <w:rFonts w:ascii="Arial" w:hAnsi="Arial" w:cs="Arial"/>
          <w:b/>
          <w:color w:val="000000" w:themeColor="text1"/>
          <w:sz w:val="20"/>
          <w:szCs w:val="20"/>
        </w:rPr>
        <w:t xml:space="preserve">1</w:t>
      </w:r>
      <w:r>
        <w:rPr>
          <w:rFonts w:ascii="Arial" w:hAnsi="Arial" w:cs="Arial"/>
          <w:b/>
          <w:color w:val="000000" w:themeColor="text1"/>
          <w:sz w:val="20"/>
          <w:szCs w:val="20"/>
        </w:rPr>
      </w:r>
    </w:p>
    <w:p>
      <w:pPr>
        <w:pBdr/>
        <w:spacing/>
        <w:ind/>
        <w:jc w:val="center"/>
        <w:rPr>
          <w:rFonts w:ascii="Arial" w:hAnsi="Arial" w:cs="Arial"/>
          <w:b/>
          <w:color w:val="000000" w:themeColor="text1"/>
          <w:sz w:val="20"/>
          <w:szCs w:val="20"/>
        </w:rPr>
      </w:pPr>
      <w:r>
        <w:rPr>
          <w:rFonts w:ascii="Arial" w:hAnsi="Arial" w:cs="Arial"/>
          <w:b/>
          <w:color w:val="000000" w:themeColor="text1"/>
          <w:sz w:val="20"/>
          <w:szCs w:val="20"/>
        </w:rPr>
        <w:t xml:space="preserve">Septiembre 2025/</w:t>
      </w:r>
      <w:r>
        <w:rPr>
          <w:rFonts w:ascii="Arial" w:hAnsi="Arial" w:cs="Arial"/>
          <w:b/>
          <w:color w:val="000000" w:themeColor="text1"/>
          <w:sz w:val="20"/>
          <w:szCs w:val="20"/>
        </w:rPr>
        <w:t xml:space="preserve">Febrero</w:t>
      </w:r>
      <w:r>
        <w:rPr>
          <w:rFonts w:ascii="Arial" w:hAnsi="Arial" w:cs="Arial"/>
          <w:b/>
          <w:color w:val="000000" w:themeColor="text1"/>
          <w:sz w:val="20"/>
          <w:szCs w:val="20"/>
        </w:rPr>
        <w:t xml:space="preserve"> 2026</w:t>
      </w:r>
      <w:r>
        <w:rPr>
          <w:rFonts w:ascii="Arial" w:hAnsi="Arial" w:cs="Arial"/>
          <w:b/>
          <w:color w:val="000000" w:themeColor="text1"/>
          <w:sz w:val="20"/>
          <w:szCs w:val="20"/>
        </w:rPr>
      </w:r>
    </w:p>
    <w:p>
      <w:pPr>
        <w:pBdr/>
        <w:tabs>
          <w:tab w:val="left" w:leader="none" w:pos="7455"/>
        </w:tabs>
        <w:spacing/>
        <w:ind/>
        <w:jc w:val="both"/>
        <w:rPr>
          <w:rFonts w:ascii="Arial" w:hAnsi="Arial" w:cs="Arial"/>
          <w:color w:val="000000" w:themeColor="text1"/>
          <w:spacing w:val="-2"/>
          <w:sz w:val="20"/>
          <w:szCs w:val="20"/>
        </w:rPr>
      </w:pPr>
      <w:r>
        <w:rPr>
          <w:rFonts w:ascii="Arial" w:hAnsi="Arial" w:cs="Arial"/>
          <w:color w:val="000000" w:themeColor="text1"/>
          <w:spacing w:val="-2"/>
          <w:sz w:val="20"/>
          <w:szCs w:val="20"/>
        </w:rPr>
      </w:r>
      <w:r>
        <w:rPr>
          <w:rFonts w:ascii="Arial" w:hAnsi="Arial" w:cs="Arial"/>
          <w:color w:val="000000" w:themeColor="text1"/>
          <w:spacing w:val="-2"/>
          <w:sz w:val="20"/>
          <w:szCs w:val="20"/>
        </w:rPr>
      </w:r>
    </w:p>
    <w:p>
      <w:pPr>
        <w:pBdr/>
        <w:tabs>
          <w:tab w:val="left" w:leader="none" w:pos="7455"/>
        </w:tabs>
        <w:spacing/>
        <w:ind/>
        <w:jc w:val="both"/>
        <w:rPr>
          <w:rFonts w:ascii="Arial" w:hAnsi="Arial" w:cs="Arial"/>
          <w:color w:val="000000" w:themeColor="text1"/>
          <w:sz w:val="20"/>
          <w:szCs w:val="20"/>
        </w:rPr>
      </w:pPr>
      <w:r>
        <w:rPr>
          <w:rFonts w:ascii="Arial" w:hAnsi="Arial"/>
          <w:b/>
          <w:bCs/>
          <w:sz w:val="20"/>
        </w:rPr>
        <w:t xml:space="preserve">Nombre: </w:t>
      </w:r>
      <w:r>
        <w:rPr>
          <w:rFonts w:ascii="Arial" w:hAnsi="Arial"/>
          <w:sz w:val="20"/>
        </w:rPr>
        <w:t xml:space="preserve">Grupo 3 (Séptimo A)                                                                    </w:t>
      </w:r>
      <w:r>
        <w:rPr>
          <w:rFonts w:ascii="Arial" w:hAnsi="Arial"/>
          <w:b/>
          <w:bCs/>
          <w:sz w:val="20"/>
        </w:rPr>
        <w:t xml:space="preserve">Fecha: </w:t>
      </w:r>
      <w:r>
        <w:rPr>
          <w:rFonts w:ascii="Arial" w:hAnsi="Arial"/>
          <w:sz w:val="20"/>
        </w:rPr>
        <w:t xml:space="preserve">04 de mayo de 2026</w:t>
      </w:r>
      <w:r>
        <w:rPr>
          <w:rFonts w:ascii="Arial" w:hAnsi="Arial" w:cs="Arial"/>
          <w:color w:val="000000" w:themeColor="text1"/>
          <w:sz w:val="20"/>
          <w:szCs w:val="20"/>
        </w:rPr>
      </w:r>
    </w:p>
    <w:p>
      <w:pPr>
        <w:pStyle w:val="752"/>
        <w:pBdr/>
        <w:spacing w:line="240" w:lineRule="auto"/>
        <w:ind w:left="0"/>
        <w:jc w:val="both"/>
        <w:rPr>
          <w:rFonts w:ascii="Arial" w:hAnsi="Arial" w:cs="Arial"/>
          <w:color w:val="000000" w:themeColor="text1"/>
          <w:sz w:val="20"/>
          <w:szCs w:val="20"/>
        </w:rPr>
      </w:pPr>
      <w:r>
        <w:rPr>
          <w:rFonts w:ascii="Arial" w:hAnsi="Arial" w:cs="Arial"/>
          <w:color w:val="000000" w:themeColor="text1"/>
          <w:sz w:val="20"/>
          <w:szCs w:val="20"/>
        </w:rPr>
      </w:r>
      <w:r>
        <w:rPr>
          <w:rFonts w:ascii="Arial" w:hAnsi="Arial" w:cs="Arial"/>
          <w:color w:val="000000" w:themeColor="text1"/>
          <w:sz w:val="20"/>
          <w:szCs w:val="20"/>
        </w:rPr>
      </w:r>
    </w:p>
    <w:p>
      <w:pPr>
        <w:pStyle w:val="756"/>
        <w:pBdr/>
        <w:spacing/>
        <w:ind/>
        <w:jc w:val="both"/>
        <w:rPr>
          <w:rFonts w:ascii="Arial" w:hAnsi="Arial" w:cs="Arial"/>
          <w:b/>
          <w:bCs/>
          <w:color w:val="000000" w:themeColor="text1"/>
          <w:sz w:val="20"/>
          <w:szCs w:val="20"/>
        </w:rPr>
      </w:pPr>
      <w:r>
        <w:rPr>
          <w:rStyle w:val="757"/>
          <w:rFonts w:ascii="Arial" w:hAnsi="Arial" w:cs="Arial"/>
          <w:color w:val="000000" w:themeColor="text1"/>
          <w:sz w:val="20"/>
          <w:szCs w:val="20"/>
        </w:rPr>
        <w:t xml:space="preserve">Taller </w:t>
      </w:r>
      <w:r>
        <w:rPr>
          <w:rStyle w:val="757"/>
          <w:rFonts w:ascii="Arial" w:hAnsi="Arial" w:cs="Arial"/>
          <w:color w:val="000000" w:themeColor="text1"/>
          <w:sz w:val="20"/>
          <w:szCs w:val="20"/>
        </w:rPr>
        <w:t xml:space="preserve">2</w:t>
      </w:r>
      <w:bookmarkStart w:id="0" w:name="_GoBack"/>
      <w:r/>
      <w:bookmarkEnd w:id="0"/>
      <w:r>
        <w:rPr>
          <w:rStyle w:val="757"/>
          <w:rFonts w:ascii="Arial" w:hAnsi="Arial" w:cs="Arial"/>
          <w:color w:val="000000" w:themeColor="text1"/>
          <w:sz w:val="20"/>
          <w:szCs w:val="20"/>
        </w:rPr>
        <w:t xml:space="preserve">: </w:t>
      </w:r>
      <w:r>
        <w:rPr>
          <w:rStyle w:val="757"/>
          <w:rFonts w:ascii="Arial" w:hAnsi="Arial" w:cs="Arial"/>
          <w:color w:val="000000" w:themeColor="text1"/>
          <w:sz w:val="20"/>
          <w:szCs w:val="20"/>
        </w:rPr>
        <w:t xml:space="preserve">INFORME DEL TALLER TEATRAL: TEORÍAS DEL DESARROLLO ECONÓMICO</w:t>
      </w:r>
      <w:r>
        <w:rPr>
          <w:rFonts w:ascii="Arial" w:hAnsi="Arial" w:cs="Arial"/>
          <w:b/>
          <w:bCs/>
          <w:color w:val="000000" w:themeColor="text1"/>
          <w:sz w:val="20"/>
          <w:szCs w:val="20"/>
        </w:rPr>
      </w:r>
    </w:p>
    <w:p>
      <w:pPr>
        <w:pStyle w:val="756"/>
        <w:pBdr/>
        <w:spacing/>
        <w:ind/>
        <w:rPr>
          <w:rFonts w:ascii="Arial" w:hAnsi="Arial" w:cs="Arial"/>
          <w:color w:val="000000" w:themeColor="text1"/>
          <w:sz w:val="20"/>
          <w:szCs w:val="20"/>
        </w:rPr>
      </w:pPr>
      <w:r>
        <w:rPr>
          <w:rFonts w:ascii="Arial" w:hAnsi="Arial"/>
          <w:b/>
          <w:sz w:val="20"/>
        </w:rPr>
        <w:t xml:space="preserve">Tema: Teoría Neomarxista de la Dependencia</w:t>
      </w:r>
      <w:r>
        <w:rPr>
          <w:rFonts w:ascii="Arial" w:hAnsi="Arial" w:cs="Arial"/>
          <w:color w:val="000000" w:themeColor="text1"/>
          <w:sz w:val="20"/>
          <w:szCs w:val="20"/>
        </w:rPr>
      </w:r>
    </w:p>
    <w:p>
      <w:pPr>
        <w:pBdr/>
        <w:spacing/>
        <w:ind/>
        <w:rPr>
          <w:rFonts w:ascii="Arial" w:hAnsi="Arial" w:cs="Arial"/>
          <w:color w:val="000000" w:themeColor="text1"/>
          <w:sz w:val="20"/>
          <w:szCs w:val="20"/>
        </w:rPr>
      </w:pPr>
      <w:r>
        <w:rPr>
          <w:rFonts w:ascii="Arial" w:hAnsi="Arial" w:cs="Arial"/>
          <w:color w:val="000000" w:themeColor="text1"/>
          <w:sz w:val="20"/>
          <w:szCs w:val="20"/>
        </w:rPr>
      </w:r>
      <w:r>
        <w:rPr>
          <w:rFonts w:ascii="Arial" w:hAnsi="Arial" w:cs="Arial"/>
          <w:color w:val="000000" w:themeColor="text1"/>
          <w:sz w:val="20"/>
          <w:szCs w:val="20"/>
        </w:rPr>
      </w:r>
    </w:p>
    <w:p>
      <w:pPr>
        <w:pBdr/>
        <w:spacing w:after="240"/>
        <w:ind/>
        <w:jc w:val="both"/>
        <w:rPr/>
      </w:pPr>
      <w:r>
        <w:rPr>
          <w:rFonts w:ascii="Arial" w:hAnsi="Arial"/>
          <w:b/>
          <w:sz w:val="20"/>
        </w:rPr>
        <w:t xml:space="preserve">1. Definición</w:t>
      </w:r>
      <w:r/>
    </w:p>
    <w:p>
      <w:pPr>
        <w:pBdr/>
        <w:spacing w:after="240"/>
        <w:ind w:firstLine="720"/>
        <w:jc w:val="both"/>
        <w:rPr/>
      </w:pPr>
      <w:r>
        <w:rPr>
          <w:rFonts w:ascii="Arial" w:hAnsi="Arial"/>
          <w:sz w:val="20"/>
        </w:rPr>
        <w:t xml:space="preserve">La teoría neomarxista del desarrollo</w:t>
      </w:r>
      <w:r>
        <w:rPr>
          <w:rFonts w:ascii="Arial" w:hAnsi="Arial"/>
          <w:sz w:val="20"/>
        </w:rPr>
        <w:t xml:space="preserve"> sostiene que el subdesarrollo no es un estado transitorio o una etapa previa, sino un proceso activo generado por la expansión del capitalismo industrial. Esta perspectiva argumenta que el sistema mundial opera como un mecanismo de succión donde la acumul</w:t>
      </w:r>
      <w:r>
        <w:rPr>
          <w:rFonts w:ascii="Arial" w:hAnsi="Arial"/>
          <w:sz w:val="20"/>
        </w:rPr>
        <w:t xml:space="preserve">ación de los países centrales se sustenta en la explotación de la periferia. Por consiguiente, el crecimiento periférico es de carácter 'reflejo' y subordinado, condicionado por las necesidades de las grandes metrópolis y las corporaciones transnacionales.</w:t>
      </w:r>
      <w:r/>
    </w:p>
    <w:p>
      <w:pPr>
        <w:pBdr/>
        <w:spacing w:after="240"/>
        <w:ind/>
        <w:jc w:val="both"/>
        <w:rPr/>
      </w:pPr>
      <w:r>
        <w:rPr>
          <w:rFonts w:ascii="Arial" w:hAnsi="Arial"/>
          <w:b/>
          <w:sz w:val="20"/>
        </w:rPr>
        <w:t xml:space="preserve">2. Principales Características Explicadas</w:t>
      </w:r>
      <w:r/>
    </w:p>
    <w:p>
      <w:pPr>
        <w:pBdr/>
        <w:spacing/>
        <w:ind/>
        <w:jc w:val="both"/>
        <w:rPr/>
      </w:pPr>
      <w:r>
        <w:rPr>
          <w:rFonts w:ascii="Arial" w:hAnsi="Arial"/>
          <w:b/>
          <w:sz w:val="20"/>
        </w:rPr>
        <w:t xml:space="preserve">Característica 1: El Desarrollo del Subdesarrollo</w:t>
      </w:r>
      <w:r/>
    </w:p>
    <w:p>
      <w:pPr>
        <w:pBdr/>
        <w:spacing/>
        <w:ind w:firstLine="720"/>
        <w:jc w:val="both"/>
        <w:rPr/>
      </w:pPr>
      <w:r>
        <w:rPr>
          <w:rFonts w:ascii="Arial" w:hAnsi="Arial"/>
          <w:sz w:val="20"/>
        </w:rPr>
        <w:t xml:space="preserve">André Gunder Frank postula que el subdesarrollo fue '</w:t>
      </w:r>
      <w:r>
        <w:rPr>
          <w:rFonts w:ascii="Arial" w:hAnsi="Arial"/>
          <w:sz w:val="20"/>
        </w:rPr>
        <w:t xml:space="preserve">creado' por el mismo proceso histórico que generó el desarrollo del centro. Las regiones que hoy son periféricas fueron integradas al mercado mundial como satélites, perdiendo su capacidad de desarrollo autónomo para servir como fuentes de materias primas.</w:t>
      </w:r>
      <w:r/>
    </w:p>
    <w:p>
      <w:pPr>
        <w:pBdr/>
        <w:spacing/>
        <w:ind/>
        <w:jc w:val="both"/>
        <w:rPr/>
      </w:pPr>
      <w:r>
        <w:rPr>
          <w:rFonts w:ascii="Arial" w:hAnsi="Arial"/>
          <w:b/>
          <w:sz w:val="20"/>
        </w:rPr>
        <w:t xml:space="preserve">Característica 2: El Intercambio Desigual y el Excedente</w:t>
      </w:r>
      <w:r/>
    </w:p>
    <w:p>
      <w:pPr>
        <w:pBdr/>
        <w:spacing/>
        <w:ind w:firstLine="720"/>
        <w:jc w:val="both"/>
        <w:rPr/>
      </w:pPr>
      <w:r>
        <w:rPr>
          <w:rFonts w:ascii="Arial" w:hAnsi="Arial"/>
          <w:sz w:val="20"/>
        </w:rPr>
        <w:t xml:space="preserve">Samir Amin explica que existe una transferencia neta d</w:t>
      </w:r>
      <w:r>
        <w:rPr>
          <w:rFonts w:ascii="Arial" w:hAnsi="Arial"/>
          <w:sz w:val="20"/>
        </w:rPr>
        <w:t xml:space="preserve">e valor desde la periferia hacia el centro. Esto ocurre porque la periferia exporta bienes con bajo valor agregado mientras importa tecnología cara, lo que permite que el centro se apropie del excedente económico que debería servir para la inversión local.</w:t>
      </w:r>
      <w:r/>
    </w:p>
    <w:p>
      <w:pPr>
        <w:pBdr/>
        <w:spacing/>
        <w:ind/>
        <w:jc w:val="both"/>
        <w:rPr/>
      </w:pPr>
      <w:r>
        <w:rPr>
          <w:rFonts w:ascii="Arial" w:hAnsi="Arial"/>
          <w:b/>
          <w:sz w:val="20"/>
        </w:rPr>
        <w:t xml:space="preserve">Característica 3: Alianzas de Clase e Infraestructura de Dependencia</w:t>
      </w:r>
      <w:r/>
    </w:p>
    <w:p>
      <w:pPr>
        <w:pBdr/>
        <w:spacing/>
        <w:ind w:firstLine="720"/>
        <w:jc w:val="both"/>
        <w:rPr/>
      </w:pPr>
      <w:r>
        <w:rPr>
          <w:rFonts w:ascii="Arial" w:hAnsi="Arial"/>
          <w:sz w:val="20"/>
        </w:rPr>
        <w:t xml:space="preserve">La dependencia no es solo una presión externa, sino que se reproduce internamen</w:t>
      </w:r>
      <w:r>
        <w:rPr>
          <w:rFonts w:ascii="Arial" w:hAnsi="Arial"/>
          <w:sz w:val="20"/>
        </w:rPr>
        <w:t xml:space="preserve">te mediante alianzas entre el capital transnacional y las élites locales (lumpenburguesía). Estas élites prefieren mantener el modelo agroexportador o extractivo porque obtienen beneficios inmediatos, bloqueando cualquier intento de industrialización real.</w:t>
      </w:r>
      <w:r/>
    </w:p>
    <w:p>
      <w:pPr>
        <w:pBdr/>
        <w:spacing w:after="240" w:before="240"/>
        <w:ind/>
        <w:jc w:val="both"/>
        <w:rPr/>
      </w:pPr>
      <w:r>
        <w:rPr>
          <w:rFonts w:ascii="Arial" w:hAnsi="Arial"/>
          <w:b/>
          <w:sz w:val="20"/>
        </w:rPr>
        <w:t xml:space="preserve">3. Políticas sugeridas</w:t>
      </w:r>
      <w:r/>
    </w:p>
    <w:p>
      <w:pPr>
        <w:pBdr/>
        <w:spacing/>
        <w:ind/>
        <w:jc w:val="both"/>
        <w:rPr/>
      </w:pPr>
      <w:r>
        <w:rPr>
          <w:rFonts w:ascii="Arial" w:hAnsi="Arial"/>
          <w:b/>
          <w:sz w:val="20"/>
        </w:rPr>
        <w:t xml:space="preserve">Política 1: La Desconexión (Delinking)</w:t>
      </w:r>
      <w:r/>
    </w:p>
    <w:p>
      <w:pPr>
        <w:pBdr/>
        <w:spacing/>
        <w:ind w:firstLine="720"/>
        <w:jc w:val="both"/>
        <w:rPr/>
      </w:pPr>
      <w:r>
        <w:rPr>
          <w:rFonts w:ascii="Arial" w:hAnsi="Arial"/>
          <w:sz w:val="20"/>
        </w:rPr>
        <w:t xml:space="preserve">Propuesta por Samir Amin, esta políti</w:t>
      </w:r>
      <w:r>
        <w:rPr>
          <w:rFonts w:ascii="Arial" w:hAnsi="Arial"/>
          <w:sz w:val="20"/>
        </w:rPr>
        <w:t xml:space="preserve">ca sugiere que los países subdesarrollados deben 'desconectarse' de la lógica de acumulación global dominada por el centro. Esto no implica autarquía, sino subordinar las relaciones externas a las necesidades del desarrollo interno y la soberanía nacional.</w:t>
      </w:r>
      <w:r/>
    </w:p>
    <w:p>
      <w:pPr>
        <w:pBdr/>
        <w:spacing/>
        <w:ind/>
        <w:jc w:val="both"/>
        <w:rPr/>
      </w:pPr>
      <w:r>
        <w:rPr>
          <w:rFonts w:ascii="Arial" w:hAnsi="Arial"/>
          <w:b/>
          <w:sz w:val="20"/>
        </w:rPr>
        <w:t xml:space="preserve">Política 2: Nacionalización y Control del Excedente</w:t>
      </w:r>
      <w:r/>
    </w:p>
    <w:p>
      <w:pPr>
        <w:pBdr/>
        <w:spacing/>
        <w:ind w:firstLine="720"/>
        <w:jc w:val="both"/>
        <w:rPr/>
      </w:pPr>
      <w:r>
        <w:rPr>
          <w:rFonts w:ascii="Arial" w:hAnsi="Arial"/>
          <w:sz w:val="20"/>
        </w:rPr>
        <w:t xml:space="preserve">El Estado debe actuar como un instr</w:t>
      </w:r>
      <w:r>
        <w:rPr>
          <w:rFonts w:ascii="Arial" w:hAnsi="Arial"/>
          <w:sz w:val="20"/>
        </w:rPr>
        <w:t xml:space="preserve">umento de ruptura, nacionalizando los sectores estratégicos (especialmente minería e hidrocarburos). El objetivo es retener el excedente económico dentro del territorio nacional para financiar servicios básicos y la diversificación de la matriz productiva.</w:t>
      </w:r>
      <w:r/>
    </w:p>
    <w:p>
      <w:pPr>
        <w:pBdr/>
        <w:spacing/>
        <w:ind/>
        <w:jc w:val="both"/>
        <w:rPr/>
      </w:pPr>
      <w:r>
        <w:rPr>
          <w:rFonts w:ascii="Arial" w:hAnsi="Arial"/>
          <w:b/>
          <w:sz w:val="20"/>
        </w:rPr>
        <w:t xml:space="preserve">Política 3: Fortalecimiento del Mercado Interno y Cooperación Sur-Sur</w:t>
      </w:r>
      <w:r/>
    </w:p>
    <w:p>
      <w:pPr>
        <w:pBdr/>
        <w:spacing/>
        <w:ind w:firstLine="720"/>
        <w:jc w:val="both"/>
        <w:rPr/>
      </w:pPr>
      <w:r>
        <w:rPr>
          <w:rFonts w:ascii="Arial" w:hAnsi="Arial"/>
          <w:sz w:val="20"/>
        </w:rPr>
        <w:t xml:space="preserve">Priorizar la producción p</w:t>
      </w:r>
      <w:r>
        <w:rPr>
          <w:rFonts w:ascii="Arial" w:hAnsi="Arial"/>
          <w:sz w:val="20"/>
        </w:rPr>
        <w:t xml:space="preserve">ara el consumo nacional y establecer alianzas con otros países periféricos para romper el monopolio tecnológico del centro. Se busca una industrialización soberana que reduzca la vulnerabilidad ante choques externos y sanciones financieras internacionales.</w:t>
      </w:r>
      <w:r/>
    </w:p>
    <w:p>
      <w:pPr>
        <w:pBdr/>
        <w:spacing w:after="240" w:before="240"/>
        <w:ind/>
        <w:jc w:val="both"/>
        <w:rPr/>
      </w:pPr>
      <w:r>
        <w:rPr>
          <w:rFonts w:ascii="Arial" w:hAnsi="Arial"/>
          <w:b/>
          <w:sz w:val="20"/>
        </w:rPr>
        <w:t xml:space="preserve">4. Guion: "Crudo Castigo: La Anatomía Política del Valor"</w:t>
      </w:r>
      <w:r/>
    </w:p>
    <w:p>
      <w:pPr>
        <w:pBdr/>
        <w:spacing/>
        <w:ind/>
        <w:jc w:val="both"/>
        <w:rPr/>
      </w:pPr>
      <w:r>
        <w:rPr>
          <w:rFonts w:ascii="Arial" w:hAnsi="Arial"/>
          <w:b/>
          <w:sz w:val="20"/>
        </w:rPr>
        <w:t xml:space="preserve">Ficha de Análisis Estructural</w:t>
      </w:r>
      <w:r/>
    </w:p>
    <w:p>
      <w:pPr>
        <w:pBdr/>
        <w:spacing w:after="240"/>
        <w:ind w:firstLine="720"/>
        <w:jc w:val="both"/>
        <w:rPr/>
      </w:pPr>
      <w:r>
        <w:rPr>
          <w:rFonts w:ascii="Arial" w:hAnsi="Arial"/>
          <w:sz w:val="20"/>
        </w:rPr>
        <w:t xml:space="preserve">Seg</w:t>
      </w:r>
      <w:r>
        <w:rPr>
          <w:rFonts w:ascii="Arial" w:hAnsi="Arial"/>
          <w:sz w:val="20"/>
        </w:rPr>
        <w:t xml:space="preserve">ún</w:t>
      </w:r>
      <w:r>
        <w:rPr>
          <w:rFonts w:ascii="Arial" w:hAnsi="Arial"/>
          <w:sz w:val="20"/>
        </w:rPr>
        <w:t xml:space="preserve"> la Teoría Neomarxista de la Dependencia (Amin, 1976; Frank, 1967), el gobierno de Isaías Medina Angarita (1941-1945) profundizó el capitalismo rentista y periférico mediante la Ley de Hidrocarburos</w:t>
      </w:r>
      <w:r>
        <w:rPr>
          <w:rFonts w:ascii="Arial" w:hAnsi="Arial"/>
          <w:sz w:val="20"/>
        </w:rPr>
        <w:t xml:space="preserve"> de 1943, respondiendo a un ideal de modernización pragmática que buscaba la "siembra del petróleo" para financiar el aparato estatal (Baptista, 2006). No obstante, la formalización del "Fifty-Fifty", cuya génesis institucional se rastrea en la combinación</w:t>
      </w:r>
      <w:r>
        <w:rPr>
          <w:rFonts w:ascii="Arial" w:hAnsi="Arial"/>
          <w:sz w:val="20"/>
        </w:rPr>
        <w:t xml:space="preserve"> de la reforma fiscal de 1942 y la ley de 1943 (Mommer, 2003), actuó como un mecanismo de estabilización que aseguró el flujo de excedente hacia el Centro durante la crisis sistémica de la Segunda Guerra Mundial. Esta dinámica consolidó el enclave tecnológ</w:t>
      </w:r>
      <w:r>
        <w:rPr>
          <w:rFonts w:ascii="Arial" w:hAnsi="Arial"/>
          <w:sz w:val="20"/>
        </w:rPr>
        <w:t xml:space="preserve">ico como símbolo estructural, donde el monopolio de la técnica y las patentes industriales permitió la succión sistemática de la riqueza nacional, subordinando la acumulación interna a las necesidades estratégicas del capital transnacional (Coronil, 1997).</w:t>
      </w:r>
      <w:r/>
    </w:p>
    <w:p>
      <w:pPr>
        <w:pBdr/>
        <w:spacing w:after="240"/>
        <w:ind/>
        <w:jc w:val="both"/>
        <w:rPr/>
      </w:pPr>
      <w:r>
        <w:rPr>
          <w:rFonts w:ascii="Arial" w:hAnsi="Arial"/>
          <w:b/>
          <w:sz w:val="20"/>
        </w:rPr>
        <w:t xml:space="preserve">Contexto:</w:t>
      </w:r>
      <w:r/>
    </w:p>
    <w:p>
      <w:pPr>
        <w:pBdr/>
        <w:spacing w:after="240"/>
        <w:ind w:firstLine="720"/>
        <w:jc w:val="both"/>
        <w:rPr/>
      </w:pPr>
      <w:r>
        <w:rPr>
          <w:rFonts w:ascii="Arial" w:hAnsi="Arial"/>
          <w:sz w:val="20"/>
        </w:rPr>
        <w:t xml:space="preserve">Venezuela, juzgada en clave t</w:t>
      </w:r>
      <w:r>
        <w:rPr>
          <w:rFonts w:ascii="Arial" w:hAnsi="Arial"/>
          <w:sz w:val="20"/>
        </w:rPr>
        <w:t xml:space="preserve">ranshistórica por el Tribunal de la Historia. Sesionamos para auditar la estructura de dependencia de una nación periférica utilizando las categorías del análisis estructural. No se juzgan intenciones, se juzgan flujos de capital y asimetrías tecnológicas.</w:t>
      </w:r>
      <w:r/>
    </w:p>
    <w:p>
      <w:pPr>
        <w:pBdr/>
        <w:spacing w:after="240"/>
        <w:ind/>
        <w:jc w:val="both"/>
        <w:rPr/>
      </w:pPr>
      <w:r>
        <w:rPr>
          <w:rFonts w:ascii="Arial" w:hAnsi="Arial"/>
          <w:b/>
          <w:sz w:val="20"/>
        </w:rPr>
        <w:t xml:space="preserve">Personajes y Reparto:</w:t>
      </w:r>
      <w:r/>
    </w:p>
    <w:p>
      <w:pPr>
        <w:pBdr/>
        <w:spacing/>
        <w:ind w:firstLine="720"/>
        <w:jc w:val="both"/>
        <w:rPr/>
      </w:pPr>
      <w:r>
        <w:rPr>
          <w:rFonts w:ascii="Arial" w:hAnsi="Arial"/>
          <w:b/>
          <w:sz w:val="20"/>
        </w:rPr>
        <w:t xml:space="preserve">- Su Señoría</w:t>
      </w:r>
      <w:r>
        <w:rPr>
          <w:rFonts w:ascii="Arial" w:hAnsi="Arial"/>
          <w:sz w:val="20"/>
        </w:rPr>
        <w:t xml:space="preserve"> (Jefferson Alexander Vasquez): Juez de Sistemas.</w:t>
      </w:r>
      <w:r/>
    </w:p>
    <w:p>
      <w:pPr>
        <w:pBdr/>
        <w:spacing/>
        <w:ind w:firstLine="720"/>
        <w:jc w:val="both"/>
        <w:rPr/>
      </w:pPr>
      <w:r>
        <w:rPr>
          <w:rFonts w:ascii="Arial" w:hAnsi="Arial"/>
          <w:b/>
          <w:sz w:val="20"/>
        </w:rPr>
        <w:t xml:space="preserve">- Fiscal de la Soberanía</w:t>
      </w:r>
      <w:r>
        <w:rPr>
          <w:rFonts w:ascii="Arial" w:hAnsi="Arial"/>
          <w:sz w:val="20"/>
        </w:rPr>
        <w:t xml:space="preserve"> (Erick Fabricio Condoy): Analista de asimetrías.</w:t>
      </w:r>
      <w:r/>
    </w:p>
    <w:p>
      <w:pPr>
        <w:pBdr/>
        <w:spacing/>
        <w:ind w:firstLine="720"/>
        <w:jc w:val="both"/>
        <w:rPr/>
      </w:pPr>
      <w:r>
        <w:rPr>
          <w:rFonts w:ascii="Arial" w:hAnsi="Arial"/>
          <w:b/>
          <w:sz w:val="20"/>
        </w:rPr>
        <w:t xml:space="preserve">- Secretaria de Actas</w:t>
      </w:r>
      <w:r>
        <w:rPr>
          <w:rFonts w:ascii="Arial" w:hAnsi="Arial"/>
          <w:sz w:val="20"/>
        </w:rPr>
        <w:t xml:space="preserve"> (Kristie Susana Japon): Auditora del sistema.</w:t>
      </w:r>
      <w:r/>
    </w:p>
    <w:p>
      <w:pPr>
        <w:pBdr/>
        <w:spacing/>
        <w:ind w:firstLine="720"/>
        <w:jc w:val="both"/>
        <w:rPr/>
      </w:pPr>
      <w:r>
        <w:rPr>
          <w:rFonts w:ascii="Arial" w:hAnsi="Arial"/>
          <w:b/>
          <w:sz w:val="20"/>
        </w:rPr>
        <w:t xml:space="preserve">- Sr. Williams</w:t>
      </w:r>
      <w:r>
        <w:rPr>
          <w:rFonts w:ascii="Arial" w:hAnsi="Arial"/>
          <w:sz w:val="20"/>
        </w:rPr>
        <w:t xml:space="preserve"> (Erik Joel Moreno): Representante del Centro (Optimización de Capital).</w:t>
      </w:r>
      <w:r/>
    </w:p>
    <w:p>
      <w:pPr>
        <w:pBdr/>
        <w:spacing/>
        <w:ind w:firstLine="720"/>
        <w:jc w:val="both"/>
        <w:rPr/>
      </w:pPr>
      <w:r>
        <w:rPr>
          <w:rFonts w:ascii="Arial" w:hAnsi="Arial"/>
          <w:b/>
          <w:sz w:val="20"/>
        </w:rPr>
        <w:t xml:space="preserve">- Dr. Mendoza</w:t>
      </w:r>
      <w:r>
        <w:rPr>
          <w:rFonts w:ascii="Arial" w:hAnsi="Arial"/>
          <w:sz w:val="20"/>
        </w:rPr>
        <w:t xml:space="preserve"> (Luis Gustavo Hurtado): Intermediario local (Pragmatismo de la Dependencia).</w:t>
      </w:r>
      <w:r/>
    </w:p>
    <w:p>
      <w:pPr>
        <w:pBdr/>
        <w:spacing/>
        <w:ind w:firstLine="720"/>
        <w:jc w:val="both"/>
        <w:rPr/>
      </w:pPr>
      <w:r>
        <w:rPr>
          <w:rFonts w:ascii="Arial" w:hAnsi="Arial"/>
          <w:b/>
          <w:sz w:val="20"/>
        </w:rPr>
        <w:t xml:space="preserve">- Juan</w:t>
      </w:r>
      <w:r>
        <w:rPr>
          <w:rFonts w:ascii="Arial" w:hAnsi="Arial"/>
          <w:sz w:val="20"/>
        </w:rPr>
        <w:t xml:space="preserve"> (Luis Miguel Abad): Variable de ajuste (Trabajo).</w:t>
      </w:r>
      <w:r/>
    </w:p>
    <w:p>
      <w:pPr>
        <w:pBdr/>
        <w:spacing w:after="240"/>
        <w:ind w:firstLine="720"/>
        <w:jc w:val="both"/>
        <w:rPr/>
      </w:pPr>
      <w:r>
        <w:rPr>
          <w:rFonts w:ascii="Arial" w:hAnsi="Arial"/>
          <w:b/>
          <w:sz w:val="20"/>
        </w:rPr>
        <w:t xml:space="preserve">- María</w:t>
      </w:r>
      <w:r>
        <w:rPr>
          <w:rFonts w:ascii="Arial" w:hAnsi="Arial"/>
          <w:sz w:val="20"/>
        </w:rPr>
        <w:t xml:space="preserve"> (Gabriela Salome Palacios): Recurso base (Naturaleza).</w:t>
      </w:r>
      <w:r/>
    </w:p>
    <w:p>
      <w:pPr>
        <w:pBdr/>
        <w:spacing w:after="240"/>
        <w:ind/>
        <w:jc w:val="both"/>
        <w:rPr/>
      </w:pPr>
      <w:r>
        <w:rPr>
          <w:rFonts w:ascii="Arial" w:hAnsi="Arial"/>
          <w:b/>
          <w:sz w:val="20"/>
        </w:rPr>
        <w:t xml:space="preserve">INTRODUCCIÓN: EL PROTOCOLO DE AUDITORÍA</w:t>
      </w:r>
      <w:r/>
    </w:p>
    <w:p>
      <w:pPr>
        <w:pBdr/>
        <w:spacing/>
        <w:ind w:firstLine="720"/>
        <w:jc w:val="both"/>
        <w:rPr/>
      </w:pPr>
      <w:r>
        <w:rPr>
          <w:rFonts w:ascii="Arial" w:hAnsi="Arial"/>
          <w:b/>
          <w:sz w:val="20"/>
        </w:rPr>
        <w:t xml:space="preserve">Secretaria de Actas:</w:t>
      </w:r>
      <w:r>
        <w:rPr>
          <w:rFonts w:ascii="Arial" w:hAnsi="Arial"/>
          <w:sz w:val="20"/>
        </w:rPr>
        <w:t xml:space="preserve"> (Al frente, sin emociones) Iniciamos la auditoría del Sistema Centro-Periferia. Lo que verán no es un conflicto de moral, sino de estructura. Analizaremos tres ejes estructurales:</w:t>
      </w:r>
      <w:r/>
    </w:p>
    <w:p>
      <w:pPr>
        <w:pBdr/>
        <w:spacing/>
        <w:ind w:firstLine="720"/>
        <w:jc w:val="both"/>
        <w:rPr/>
      </w:pPr>
      <w:r>
        <w:rPr>
          <w:rFonts w:ascii="Arial" w:hAnsi="Arial"/>
          <w:sz w:val="20"/>
        </w:rPr>
        <w:t xml:space="preserve">- La Facilitación: El rol de las élites locales en la succión del excedente.</w:t>
      </w:r>
      <w:r/>
    </w:p>
    <w:p>
      <w:pPr>
        <w:pBdr/>
        <w:spacing/>
        <w:ind w:firstLine="720"/>
        <w:jc w:val="both"/>
        <w:rPr/>
      </w:pPr>
      <w:r>
        <w:rPr>
          <w:rFonts w:ascii="Arial" w:hAnsi="Arial"/>
          <w:sz w:val="20"/>
        </w:rPr>
        <w:t xml:space="preserve">- El Monopolio de la Técnica: La propiedad intelectual como barrera de entrada.</w:t>
      </w:r>
      <w:r/>
    </w:p>
    <w:p>
      <w:pPr>
        <w:pBdr/>
        <w:spacing/>
        <w:ind w:firstLine="720"/>
        <w:jc w:val="both"/>
        <w:rPr/>
      </w:pPr>
      <w:r>
        <w:rPr>
          <w:rFonts w:ascii="Arial" w:hAnsi="Arial"/>
          <w:sz w:val="20"/>
        </w:rPr>
        <w:t xml:space="preserve">- El Riesgo de Ruptura: El costo real de la autonomía.</w:t>
      </w:r>
      <w:r/>
    </w:p>
    <w:p>
      <w:pPr>
        <w:pBdr/>
        <w:spacing/>
        <w:ind w:firstLine="720"/>
        <w:jc w:val="both"/>
        <w:rPr/>
      </w:pPr>
      <w:r>
        <w:rPr>
          <w:rFonts w:ascii="Arial" w:hAnsi="Arial"/>
          <w:sz w:val="20"/>
        </w:rPr>
        <w:t xml:space="preserve">(Suena la campanilla) ¡De pie! El Magistrado inicia la evaluación estructural.</w:t>
      </w:r>
      <w:r/>
    </w:p>
    <w:p>
      <w:pPr>
        <w:pBdr/>
        <w:spacing w:after="240"/>
        <w:ind w:firstLine="720"/>
        <w:jc w:val="both"/>
        <w:rPr/>
      </w:pPr>
      <w:r>
        <w:rPr>
          <w:rFonts w:ascii="Arial" w:hAnsi="Arial"/>
          <w:b/>
          <w:sz w:val="20"/>
        </w:rPr>
        <w:t xml:space="preserve">Su Señoría:</w:t>
      </w:r>
      <w:r>
        <w:rPr>
          <w:rFonts w:ascii="Arial" w:hAnsi="Arial"/>
          <w:sz w:val="20"/>
        </w:rPr>
        <w:t xml:space="preserve"> (Entra, golpe seco de mazo) Tomen asiento. Sr. Williams, Dr. Mendoza, se les acusa de diseñar un modelo de extracción asimétrica bajo la máscara de la Ley de 1943. Fiscal, presente los datos de la balanza.</w:t>
      </w:r>
      <w:r/>
    </w:p>
    <w:p>
      <w:pPr>
        <w:pBdr/>
        <w:spacing w:after="240"/>
        <w:ind/>
        <w:jc w:val="both"/>
        <w:rPr/>
      </w:pPr>
      <w:r>
        <w:rPr>
          <w:rFonts w:ascii="Arial" w:hAnsi="Arial"/>
          <w:b/>
          <w:sz w:val="20"/>
        </w:rPr>
        <w:t xml:space="preserve">ESCENA 1: LA LÓGICA DEL CAPITAL</w:t>
      </w:r>
      <w:r/>
    </w:p>
    <w:p>
      <w:pPr>
        <w:pBdr/>
        <w:spacing/>
        <w:ind w:firstLine="720"/>
        <w:jc w:val="both"/>
        <w:rPr/>
      </w:pPr>
      <w:r>
        <w:rPr>
          <w:rFonts w:ascii="Arial" w:hAnsi="Arial"/>
          <w:b/>
          <w:sz w:val="20"/>
        </w:rPr>
        <w:t xml:space="preserve">Fiscal de la Soberanía:</w:t>
      </w:r>
      <w:r>
        <w:rPr>
          <w:rFonts w:ascii="Arial" w:hAnsi="Arial"/>
          <w:sz w:val="20"/>
        </w:rPr>
        <w:t xml:space="preserve"> Su Señoría, la dependencia no es un error de gestión; es la forma que adopta la acumulación del Centro sobre la periferia petrolera. El Dr. Mendoza firmó la Ley de 1943 no por pat</w:t>
      </w:r>
      <w:r>
        <w:rPr>
          <w:rFonts w:ascii="Arial" w:hAnsi="Arial"/>
          <w:sz w:val="20"/>
        </w:rPr>
        <w:t xml:space="preserve">riotismo, sino por incapacidad. Entregó el control del subsuelo a cambio de una renta fija, permitiendo que Williams optimizara el excedente fuera de nuestras fronteras. Por cada dólar que entró como inversión, cinco salieron como beneficio neto al Centro.</w:t>
      </w:r>
      <w:r/>
    </w:p>
    <w:p>
      <w:pPr>
        <w:pBdr/>
        <w:spacing/>
        <w:ind w:firstLine="720"/>
        <w:jc w:val="both"/>
        <w:rPr/>
      </w:pPr>
      <w:r>
        <w:rPr>
          <w:rFonts w:ascii="Arial" w:hAnsi="Arial"/>
          <w:b/>
          <w:sz w:val="20"/>
        </w:rPr>
        <w:t xml:space="preserve">Sr. Williams:</w:t>
      </w:r>
      <w:r>
        <w:rPr>
          <w:rFonts w:ascii="Arial" w:hAnsi="Arial"/>
          <w:sz w:val="20"/>
        </w:rPr>
        <w:t xml:space="preserve"> (Tranquilo, consultando un informe) Fiscal, usted ignora el Riesgo de Capital. En 1943, su nación no tenía liquidez pa</w:t>
      </w:r>
      <w:r>
        <w:rPr>
          <w:rFonts w:ascii="Arial" w:hAnsi="Arial"/>
          <w:sz w:val="20"/>
        </w:rPr>
        <w:t xml:space="preserve">ra perforar un solo pozo. Nosotros pusimos los millones, la tecnología y asumimos la probabilidad de fracaso. El Centro no roba; el Centro cobra por su eficiencia y su conocimiento. ¿Querían ser socios? Tuvieron su 50%, pero el riesgo lo corrimos nosotros.</w:t>
      </w:r>
      <w:r/>
    </w:p>
    <w:p>
      <w:pPr>
        <w:pBdr/>
        <w:spacing/>
        <w:ind w:firstLine="720"/>
        <w:jc w:val="both"/>
        <w:rPr/>
      </w:pPr>
      <w:r>
        <w:rPr>
          <w:rFonts w:ascii="Arial" w:hAnsi="Arial"/>
          <w:b/>
          <w:sz w:val="20"/>
        </w:rPr>
        <w:t xml:space="preserve">Dr. Mendoza:</w:t>
      </w:r>
      <w:r>
        <w:rPr>
          <w:rFonts w:ascii="Arial" w:hAnsi="Arial"/>
          <w:sz w:val="20"/>
        </w:rPr>
        <w:t xml:space="preserve"> Es pragmatismo, Su Señoría. En esa época, intentar indu</w:t>
      </w:r>
      <w:r>
        <w:rPr>
          <w:rFonts w:ascii="Arial" w:hAnsi="Arial"/>
          <w:sz w:val="20"/>
        </w:rPr>
        <w:t xml:space="preserve">strializar sin Williams hubiera sido un suicidio fiscal. Importamos la civilización porque no sabíamos fabricar ni un tornillo. ¿Preferirían haber seguido siendo un desierto pobre pero 'soberano'? Elegí el progreso importado antes que el hambre autárquica.</w:t>
      </w:r>
      <w:r/>
    </w:p>
    <w:p>
      <w:pPr>
        <w:pBdr/>
        <w:spacing/>
        <w:ind w:firstLine="720"/>
        <w:jc w:val="both"/>
        <w:rPr/>
      </w:pPr>
      <w:r>
        <w:rPr>
          <w:rFonts w:ascii="Arial" w:hAnsi="Arial"/>
          <w:b/>
          <w:sz w:val="20"/>
        </w:rPr>
        <w:t xml:space="preserve">Fiscal de la Soberanía:</w:t>
      </w:r>
      <w:r>
        <w:rPr>
          <w:rFonts w:ascii="Arial" w:hAnsi="Arial"/>
          <w:sz w:val="20"/>
        </w:rPr>
        <w:t xml:space="preserve"> El problema, Mendoza, es que al elegir el progreso importado, usted prohibió el progreso propio. Williams no trajo desarrollo; trajo un enclave. Construyó rascacielos de vidrio en Caracas para que no viéramos que el subsuelo se estaba quedando hueco.</w:t>
      </w:r>
      <w:r/>
    </w:p>
    <w:p>
      <w:pPr>
        <w:pBdr/>
        <w:spacing w:after="240"/>
        <w:ind w:firstLine="720"/>
        <w:jc w:val="both"/>
        <w:rPr/>
      </w:pPr>
      <w:r>
        <w:rPr>
          <w:rFonts w:ascii="Arial" w:hAnsi="Arial"/>
          <w:b/>
          <w:sz w:val="20"/>
        </w:rPr>
        <w:t xml:space="preserve">Dr. Mendoza:</w:t>
      </w:r>
      <w:r>
        <w:rPr>
          <w:rFonts w:ascii="Arial" w:hAnsi="Arial"/>
          <w:sz w:val="20"/>
        </w:rPr>
        <w:t xml:space="preserve"> (A la defensiva) ¡Ese enclave d</w:t>
      </w:r>
      <w:r>
        <w:rPr>
          <w:rFonts w:ascii="Arial" w:hAnsi="Arial"/>
          <w:sz w:val="20"/>
        </w:rPr>
        <w:t xml:space="preserve">io empleo y construyó escuelas, Fiscal! Antes de la Ley del 43, la población moría de paludismo. Sí, cedimos el monopolio de la técnica, pero financiamos la creación del Estado moderno con esa renta. Juzgar el pasado con la moral del presente es muy fácil.</w:t>
      </w:r>
      <w:r/>
    </w:p>
    <w:p>
      <w:pPr>
        <w:pBdr/>
        <w:spacing w:after="240"/>
        <w:ind/>
        <w:jc w:val="both"/>
        <w:rPr/>
      </w:pPr>
      <w:r>
        <w:rPr>
          <w:rFonts w:ascii="Arial" w:hAnsi="Arial"/>
          <w:b/>
          <w:sz w:val="20"/>
        </w:rPr>
        <w:t xml:space="preserve">ESCENA 2: LA VARIABLE DE AJUSTE</w:t>
      </w:r>
      <w:r/>
    </w:p>
    <w:p>
      <w:pPr>
        <w:pBdr/>
        <w:spacing/>
        <w:ind w:firstLine="720"/>
        <w:jc w:val="both"/>
        <w:rPr/>
      </w:pPr>
      <w:r>
        <w:rPr>
          <w:rFonts w:ascii="Arial" w:hAnsi="Arial"/>
          <w:b/>
          <w:sz w:val="20"/>
        </w:rPr>
        <w:t xml:space="preserve">Su Señoría:</w:t>
      </w:r>
      <w:r>
        <w:rPr>
          <w:rFonts w:ascii="Arial" w:hAnsi="Arial"/>
          <w:sz w:val="20"/>
        </w:rPr>
        <w:t xml:space="preserve"> Juan, describa el proceso de transferencia tecnológica en el pozo.</w:t>
      </w:r>
      <w:r/>
    </w:p>
    <w:p>
      <w:pPr>
        <w:pBdr/>
        <w:spacing/>
        <w:ind w:firstLine="720"/>
        <w:jc w:val="both"/>
        <w:rPr/>
      </w:pPr>
      <w:r>
        <w:rPr>
          <w:rFonts w:ascii="Arial" w:hAnsi="Arial"/>
          <w:b/>
          <w:sz w:val="20"/>
        </w:rPr>
        <w:t xml:space="preserve">Juan:</w:t>
      </w:r>
      <w:r>
        <w:rPr>
          <w:rFonts w:ascii="Arial" w:hAnsi="Arial"/>
          <w:sz w:val="20"/>
        </w:rPr>
        <w:t xml:space="preserve"> (Firme, realista) Ninguna, Su Señoría. Soy un operario subordinado. Sé manejar la maquinaria, sé qué válvulas no deben abrirse, pero Williams </w:t>
      </w:r>
      <w:r>
        <w:rPr>
          <w:rFonts w:ascii="Arial" w:hAnsi="Arial"/>
          <w:sz w:val="20"/>
        </w:rPr>
        <w:t xml:space="preserve">retiene las patentes industriales. Si la refinería falla, mis manos son inútiles. Williams nos enseñó a extraer el crudo, pero nos prohibió fabricar el taladro. Soy un obrero que depende de una pieza enviada desde Houston para trabajar en su propia tierra.</w:t>
      </w:r>
      <w:r/>
    </w:p>
    <w:p>
      <w:pPr>
        <w:pBdr/>
        <w:spacing w:after="240"/>
        <w:ind w:firstLine="720"/>
        <w:jc w:val="both"/>
        <w:rPr/>
      </w:pPr>
      <w:r>
        <w:rPr>
          <w:rFonts w:ascii="Arial" w:hAnsi="Arial"/>
          <w:b/>
          <w:sz w:val="20"/>
        </w:rPr>
        <w:t xml:space="preserve">María:</w:t>
      </w:r>
      <w:r>
        <w:rPr>
          <w:rFonts w:ascii="Arial" w:hAnsi="Arial"/>
          <w:sz w:val="20"/>
        </w:rPr>
        <w:t xml:space="preserve"> Williams dice </w:t>
      </w:r>
      <w:r>
        <w:rPr>
          <w:rFonts w:ascii="Arial" w:hAnsi="Arial"/>
          <w:sz w:val="20"/>
        </w:rPr>
        <w:t xml:space="preserve">que asumió el riesgo, pero el riesgo lo tiene mi suelo. Si ellos se van, se llevan sus máquinas, pero nos dejan los pozos secos y el agua contaminada. Ellos optimizan el dinero; nosotros acumulamos la degradación. Esa es la verdadera matemática del Centro.</w:t>
      </w:r>
      <w:r/>
    </w:p>
    <w:p>
      <w:pPr>
        <w:pBdr/>
        <w:spacing w:after="240"/>
        <w:ind/>
        <w:jc w:val="both"/>
        <w:rPr/>
      </w:pPr>
      <w:r>
        <w:rPr>
          <w:rFonts w:ascii="Arial" w:hAnsi="Arial"/>
          <w:b/>
          <w:sz w:val="20"/>
        </w:rPr>
        <w:t xml:space="preserve">ESCENA 3: EL VEREDICTO</w:t>
      </w:r>
      <w:r/>
    </w:p>
    <w:p>
      <w:pPr>
        <w:pBdr/>
        <w:spacing/>
        <w:ind w:firstLine="720"/>
        <w:jc w:val="both"/>
        <w:rPr/>
      </w:pPr>
      <w:r>
        <w:rPr>
          <w:rFonts w:ascii="Arial" w:hAnsi="Arial"/>
          <w:b/>
          <w:sz w:val="20"/>
        </w:rPr>
        <w:t xml:space="preserve">Fiscal de la Soberanía:</w:t>
      </w:r>
      <w:r>
        <w:rPr>
          <w:rFonts w:ascii="Arial" w:hAnsi="Arial"/>
          <w:sz w:val="20"/>
        </w:rPr>
        <w:t xml:space="preserve"> Solicitamos la Desconexión. No por odio, sino por supervivencia. No podemos desarrollar el "interior" si seguimos siendo el satélite del "exterior".</w:t>
      </w:r>
      <w:r/>
    </w:p>
    <w:p>
      <w:pPr>
        <w:pBdr/>
        <w:spacing/>
        <w:ind w:firstLine="720"/>
        <w:jc w:val="both"/>
        <w:rPr/>
      </w:pPr>
      <w:r>
        <w:rPr>
          <w:rFonts w:ascii="Arial" w:hAnsi="Arial"/>
          <w:b/>
          <w:sz w:val="20"/>
        </w:rPr>
        <w:t xml:space="preserve">Sr. Williams:</w:t>
      </w:r>
      <w:r>
        <w:rPr>
          <w:rFonts w:ascii="Arial" w:hAnsi="Arial"/>
          <w:sz w:val="20"/>
        </w:rPr>
        <w:t xml:space="preserve"> (Levantándose, proyectando gráficos) Adelante. Ejecuten su ruptura. Pero miren nuestras proyecciones estratégicas: sin nuestra transferencia de tecnología, proyectamos que sus refinerías se detendrán en 90 días. La f</w:t>
      </w:r>
      <w:r>
        <w:rPr>
          <w:rFonts w:ascii="Arial" w:hAnsi="Arial"/>
          <w:sz w:val="20"/>
        </w:rPr>
        <w:t xml:space="preserve">uga de capitales proyecta una contracción de su PIB del 40% el primer año. La hiperinflación devorará sus ahorros. El Centro no castiga por maldad, castiga por diseño a los desertores de su mercado. ¿Tienen la solvencia para pagar el precio de la libertad?</w:t>
      </w:r>
      <w:r/>
    </w:p>
    <w:p>
      <w:pPr>
        <w:pBdr/>
        <w:spacing/>
        <w:ind w:firstLine="720"/>
        <w:jc w:val="both"/>
        <w:rPr/>
      </w:pPr>
      <w:r>
        <w:rPr>
          <w:rFonts w:ascii="Arial" w:hAnsi="Arial"/>
          <w:b/>
          <w:sz w:val="20"/>
        </w:rPr>
        <w:t xml:space="preserve">María:</w:t>
      </w:r>
      <w:r>
        <w:rPr>
          <w:rFonts w:ascii="Arial" w:hAnsi="Arial"/>
          <w:sz w:val="20"/>
        </w:rPr>
        <w:t xml:space="preserve"> (Interrumpiendo, ind</w:t>
      </w:r>
      <w:r>
        <w:rPr>
          <w:rFonts w:ascii="Arial" w:hAnsi="Arial"/>
          <w:sz w:val="20"/>
        </w:rPr>
        <w:t xml:space="preserve">ignada) ¿Y de qué nos sirve su PIB si el dinero nunca sale de la capital? Ustedes miden la riqueza en las proyecciones de sus informes; nosotros la medimos en la tierra que ya no podemos sembrar. Ya estamos viviendo en la escasez, su amenaza no nos asusta.</w:t>
      </w:r>
      <w:r/>
    </w:p>
    <w:p>
      <w:pPr>
        <w:pBdr/>
        <w:spacing/>
        <w:ind w:firstLine="720"/>
        <w:jc w:val="both"/>
        <w:rPr/>
      </w:pPr>
      <w:r>
        <w:rPr>
          <w:rFonts w:ascii="Arial" w:hAnsi="Arial"/>
          <w:b/>
          <w:sz w:val="20"/>
        </w:rPr>
        <w:t xml:space="preserve">Su Señoría:</w:t>
      </w:r>
      <w:r>
        <w:rPr>
          <w:rFonts w:ascii="Arial" w:hAnsi="Arial"/>
          <w:sz w:val="20"/>
        </w:rPr>
        <w:t xml:space="preserve"> (Silencio tenso, golpea el mazo) La sentencia de este tribunal es la Desconexión Sob</w:t>
      </w:r>
      <w:r>
        <w:rPr>
          <w:rFonts w:ascii="Arial" w:hAnsi="Arial"/>
          <w:sz w:val="20"/>
        </w:rPr>
        <w:t xml:space="preserve">erana. Pero que conste en actas: la soberanía no es un desfile triunfal ni un aislamiento suicida. Se ordena una desconexión selectiva y planificada, orientada a recuperar control tecnológico, capturar excedente y reconstruir la capacidad industrial nacion</w:t>
      </w:r>
      <w:r>
        <w:rPr>
          <w:rFonts w:ascii="Arial" w:hAnsi="Arial"/>
          <w:sz w:val="20"/>
        </w:rPr>
        <w:t xml:space="preserve">al. Esto es el Crudo Castigo. A partir de hoy, la nación subordina la inserción externa a su propia acumulación. Sr. Williams, el Estado interviene sus licencias. Dr. Mendoza, su modelo caduca hoy. Juan, María... la transición será dura, pero será nuestra.</w:t>
      </w:r>
      <w:r/>
    </w:p>
    <w:p>
      <w:pPr>
        <w:pBdr/>
        <w:spacing/>
        <w:ind w:firstLine="720"/>
        <w:jc w:val="both"/>
        <w:rPr/>
      </w:pPr>
      <w:r>
        <w:rPr>
          <w:rFonts w:ascii="Arial" w:hAnsi="Arial"/>
          <w:b/>
          <w:sz w:val="20"/>
        </w:rPr>
        <w:t xml:space="preserve">Secretaria de Actas:</w:t>
      </w:r>
      <w:r>
        <w:rPr>
          <w:rFonts w:ascii="Arial" w:hAnsi="Arial"/>
          <w:sz w:val="20"/>
        </w:rPr>
        <w:t xml:space="preserve"> (Al público, solemne) La sesión ha terminado. El país ha recuperado su destino, pero ha perdido su comodidad. El desarrollo es, ante todo, una lucha contra la gravedad del Centro.</w:t>
      </w:r>
      <w:r/>
    </w:p>
    <w:p w14:paraId="76D5D5CA">
      <w:pPr>
        <w:pBdr/>
        <w:spacing/>
        <w:ind/>
        <w:jc w:val="both"/>
        <w:rPr/>
      </w:pPr>
      <w:r>
        <w:rPr>
          <w:rFonts w:ascii="Arial" w:hAnsi="Arial"/>
          <w:b/>
          <w:sz w:val="20"/>
          <w:highlight w:val="none"/>
        </w:rPr>
      </w:r>
      <w:r>
        <w:rPr>
          <w:rFonts w:ascii="Arial" w:hAnsi="Arial"/>
          <w:b/>
          <w:sz w:val="20"/>
          <w:highlight w:val="none"/>
        </w:rPr>
      </w:r>
      <w:r>
        <w:rPr>
          <w:rFonts w:ascii="Arial" w:hAnsi="Arial"/>
          <w:b/>
          <w:sz w:val="20"/>
          <w:highlight w:val="none"/>
        </w:rPr>
      </w:r>
    </w:p>
    <w:p>
      <w:pPr>
        <w:pBdr/>
        <w:spacing/>
        <w:ind/>
        <w:jc w:val="both"/>
        <w:rPr>
          <w:highlight w:val="none"/>
        </w:rPr>
      </w:pPr>
      <w:r>
        <w:rPr>
          <w:rFonts w:ascii="Arial" w:hAnsi="Arial"/>
          <w:b/>
          <w:sz w:val="20"/>
        </w:rPr>
        <w:t xml:space="preserve">Bibliografía</w:t>
      </w:r>
      <w:r/>
      <w:r>
        <w:rPr>
          <w:rFonts w:ascii="Arial" w:hAnsi="Arial"/>
          <w:b/>
          <w:bCs/>
          <w:sz w:val="20"/>
          <w:szCs w:val="20"/>
          <w:highlight w:val="none"/>
        </w:rPr>
      </w:r>
    </w:p>
    <w:p w14:paraId="19E46B23">
      <w:pPr>
        <w:pBdr/>
        <w:spacing/>
        <w:ind/>
        <w:jc w:val="both"/>
        <w:rPr>
          <w:rFonts w:ascii="Arial" w:hAnsi="Arial"/>
          <w:b/>
          <w:bCs/>
          <w:sz w:val="20"/>
          <w:szCs w:val="20"/>
          <w:highlight w:val="none"/>
        </w:rPr>
      </w:pPr>
      <w:r>
        <w:rPr>
          <w:highlight w:val="none"/>
        </w:rPr>
      </w:r>
      <w:r>
        <w:rPr>
          <w:highlight w:val="none"/>
        </w:rPr>
      </w:r>
      <w:r>
        <w:rPr>
          <w:highlight w:val="none"/>
        </w:rPr>
      </w:r>
    </w:p>
    <w:p>
      <w:pPr>
        <w:pBdr/>
        <w:spacing/>
        <w:ind w:hanging="720" w:left="720"/>
        <w:jc w:val="both"/>
        <w:rPr>
          <w:rFonts w:ascii="Arial" w:hAnsi="Arial"/>
          <w:sz w:val="20"/>
          <w:szCs w:val="20"/>
          <w:highlight w:val="none"/>
        </w:rPr>
      </w:pPr>
      <w:r>
        <w:rPr>
          <w:rFonts w:ascii="Arial" w:hAnsi="Arial"/>
          <w:sz w:val="20"/>
        </w:rPr>
        <w:t xml:space="preserve">Amin, S. (1976). Unequal Development: An Essay on the Social Formations of Peripheral Capitalism. Monthly Review Press. </w:t>
      </w:r>
      <w:hyperlink r:id="rId10" w:tooltip="https://books.google.com/books?id=2zO8AAAAIAAJ" w:history="1">
        <w:r>
          <w:rPr>
            <w:rStyle w:val="755"/>
            <w:rFonts w:ascii="Arial" w:hAnsi="Arial"/>
            <w:sz w:val="20"/>
          </w:rPr>
          <w:t xml:space="preserve">https://books.google.com/books?id=2zO8AAAAIAAJ</w:t>
        </w:r>
        <w:r>
          <w:rPr>
            <w:rStyle w:val="755"/>
          </w:rPr>
        </w:r>
      </w:hyperlink>
      <w:r/>
      <w:r>
        <w:rPr>
          <w:rFonts w:ascii="Arial" w:hAnsi="Arial"/>
          <w:sz w:val="20"/>
          <w:highlight w:val="none"/>
        </w:rPr>
      </w:r>
      <w:r>
        <w:rPr>
          <w:rFonts w:ascii="Arial" w:hAnsi="Arial"/>
          <w:sz w:val="20"/>
          <w:highlight w:val="none"/>
        </w:rPr>
      </w:r>
      <w:r>
        <w:rPr>
          <w:rFonts w:ascii="Arial" w:hAnsi="Arial"/>
          <w:sz w:val="20"/>
          <w:highlight w:val="none"/>
        </w:rPr>
      </w:r>
      <w:r>
        <w:rPr>
          <w:rFonts w:ascii="Arial" w:hAnsi="Arial"/>
          <w:sz w:val="20"/>
          <w:szCs w:val="20"/>
          <w:highlight w:val="none"/>
        </w:rPr>
      </w:r>
    </w:p>
    <w:p>
      <w:pPr>
        <w:pBdr/>
        <w:spacing/>
        <w:ind w:hanging="720" w:left="720"/>
        <w:jc w:val="both"/>
        <w:rPr>
          <w:rFonts w:ascii="Arial" w:hAnsi="Arial"/>
          <w:sz w:val="20"/>
          <w:szCs w:val="20"/>
          <w:highlight w:val="none"/>
        </w:rPr>
      </w:pPr>
      <w:r>
        <w:rPr>
          <w:rFonts w:ascii="Arial" w:hAnsi="Arial"/>
          <w:sz w:val="20"/>
        </w:rPr>
        <w:t xml:space="preserve">Baptista, A. (2006). Bases cuantitativas de la economía venezolana: 1830-2002. Fundación Empresas Polar. </w:t>
      </w:r>
      <w:hyperlink r:id="rId11" w:tooltip="https://bibliofep.fundacionempresaspolar.org/publicaciones/libros/bases-cuantitativas-de-la-economía-venezolana-1830-2002/" w:history="1">
        <w:r>
          <w:rPr>
            <w:rStyle w:val="755"/>
            <w:rFonts w:ascii="Arial" w:hAnsi="Arial"/>
            <w:sz w:val="20"/>
          </w:rPr>
          <w:t xml:space="preserve">https://bibliofep.fundacionempresaspolar.org/publicaciones/libros/bases-cuantitativas-de-la-economía-venezolana-1830-2002/</w:t>
        </w:r>
        <w:r>
          <w:rPr>
            <w:rStyle w:val="755"/>
          </w:rPr>
        </w:r>
      </w:hyperlink>
      <w:r/>
      <w:r>
        <w:rPr>
          <w:rFonts w:ascii="Arial" w:hAnsi="Arial"/>
          <w:sz w:val="20"/>
          <w:highlight w:val="none"/>
        </w:rPr>
      </w:r>
      <w:r>
        <w:rPr>
          <w:rFonts w:ascii="Arial" w:hAnsi="Arial"/>
          <w:sz w:val="20"/>
          <w:highlight w:val="none"/>
        </w:rPr>
      </w:r>
      <w:r>
        <w:rPr>
          <w:rFonts w:ascii="Arial" w:hAnsi="Arial"/>
          <w:sz w:val="20"/>
          <w:highlight w:val="none"/>
        </w:rPr>
      </w:r>
      <w:r>
        <w:rPr>
          <w:rFonts w:ascii="Arial" w:hAnsi="Arial"/>
          <w:sz w:val="20"/>
          <w:szCs w:val="20"/>
          <w:highlight w:val="none"/>
        </w:rPr>
      </w:r>
    </w:p>
    <w:p>
      <w:pPr>
        <w:pBdr/>
        <w:spacing/>
        <w:ind w:hanging="720" w:left="720"/>
        <w:jc w:val="both"/>
        <w:rPr>
          <w:rFonts w:ascii="Arial" w:hAnsi="Arial"/>
          <w:sz w:val="20"/>
          <w:szCs w:val="20"/>
          <w:highlight w:val="none"/>
        </w:rPr>
      </w:pPr>
      <w:r>
        <w:rPr>
          <w:rFonts w:ascii="Arial" w:hAnsi="Arial"/>
          <w:sz w:val="20"/>
        </w:rPr>
        <w:t xml:space="preserve">Coronil, F. (1997). The Magical State: Nature, Money, and Modernity in Venezuela. University of Chicago Press. </w:t>
      </w:r>
      <w:hyperlink r:id="rId12" w:tooltip="https://press.uchicago.edu/ucp/books/book/chicago/M/bo3623371.html" w:history="1">
        <w:r>
          <w:rPr>
            <w:rStyle w:val="755"/>
            <w:rFonts w:ascii="Arial" w:hAnsi="Arial"/>
            <w:sz w:val="20"/>
          </w:rPr>
          <w:t xml:space="preserve">https://press.uchicago.edu/ucp/books/book/chicago/M/bo3623371.html</w:t>
        </w:r>
        <w:r>
          <w:rPr>
            <w:rStyle w:val="755"/>
          </w:rPr>
        </w:r>
      </w:hyperlink>
      <w:r/>
      <w:r>
        <w:rPr>
          <w:rFonts w:ascii="Arial" w:hAnsi="Arial"/>
          <w:sz w:val="20"/>
          <w:highlight w:val="none"/>
        </w:rPr>
      </w:r>
      <w:r>
        <w:rPr>
          <w:rFonts w:ascii="Arial" w:hAnsi="Arial"/>
          <w:sz w:val="20"/>
          <w:highlight w:val="none"/>
        </w:rPr>
      </w:r>
      <w:r>
        <w:rPr>
          <w:rFonts w:ascii="Arial" w:hAnsi="Arial"/>
          <w:sz w:val="20"/>
          <w:highlight w:val="none"/>
        </w:rPr>
      </w:r>
      <w:r>
        <w:rPr>
          <w:rFonts w:ascii="Arial" w:hAnsi="Arial"/>
          <w:sz w:val="20"/>
          <w:szCs w:val="20"/>
          <w:highlight w:val="none"/>
        </w:rPr>
      </w:r>
    </w:p>
    <w:p>
      <w:pPr>
        <w:pBdr/>
        <w:spacing/>
        <w:ind w:hanging="720" w:left="720"/>
        <w:jc w:val="both"/>
        <w:rPr>
          <w:highlight w:val="none"/>
        </w:rPr>
      </w:pPr>
      <w:r>
        <w:rPr>
          <w:rFonts w:ascii="Arial" w:hAnsi="Arial"/>
          <w:sz w:val="20"/>
        </w:rPr>
        <w:t xml:space="preserve">Frank, A. G. (1967). Capitalism and Underdevelopment in Latin America: Historical Studies of Chile and Brazil. Monthly Review Press. </w:t>
      </w:r>
      <w:hyperlink r:id="rId13" w:tooltip="https://monthlyreview.org/product/capitalism_and_underdevelopment_in_latin_america/" w:history="1">
        <w:r>
          <w:rPr>
            <w:rStyle w:val="755"/>
            <w:rFonts w:ascii="Arial" w:hAnsi="Arial"/>
            <w:sz w:val="20"/>
          </w:rPr>
          <w:t xml:space="preserve">https://monthlyreview.org/product/capitalism_and_underdevelopment_in_latin_america/</w:t>
        </w:r>
        <w:r>
          <w:rPr>
            <w:rStyle w:val="755"/>
          </w:rPr>
        </w:r>
        <w:r>
          <w:rPr>
            <w:rStyle w:val="755"/>
          </w:rPr>
        </w:r>
      </w:hyperlink>
      <w:r/>
      <w:r>
        <w:rPr>
          <w:highlight w:val="none"/>
        </w:rPr>
      </w:r>
      <w:r>
        <w:rPr>
          <w:highlight w:val="none"/>
        </w:rPr>
      </w:r>
      <w:r>
        <w:rPr>
          <w:highlight w:val="none"/>
        </w:rPr>
      </w:r>
      <w:r>
        <w:rPr>
          <w:highlight w:val="none"/>
        </w:rPr>
      </w:r>
    </w:p>
    <w:p>
      <w:pPr>
        <w:pBdr/>
        <w:spacing/>
        <w:ind w:hanging="720" w:left="720"/>
        <w:jc w:val="both"/>
        <w:rPr>
          <w:rFonts w:ascii="Arial" w:hAnsi="Arial"/>
          <w:sz w:val="20"/>
          <w:szCs w:val="20"/>
          <w:highlight w:val="none"/>
        </w:rPr>
      </w:pPr>
      <w:r>
        <w:rPr>
          <w:rFonts w:ascii="Arial" w:hAnsi="Arial"/>
          <w:sz w:val="20"/>
        </w:rPr>
        <w:t xml:space="preserve">Mommer, B. (2002). Global Oil and the Nation State. Oxford University Press. </w:t>
      </w:r>
      <w:hyperlink r:id="rId14" w:tooltip="https://academic.oup.com/book/44883" w:history="1">
        <w:r>
          <w:rPr>
            <w:rStyle w:val="755"/>
            <w:rFonts w:ascii="Arial" w:hAnsi="Arial"/>
            <w:sz w:val="20"/>
          </w:rPr>
          <w:t xml:space="preserve">https://academic.oup.com/book/44883</w:t>
        </w:r>
        <w:r>
          <w:rPr>
            <w:rStyle w:val="755"/>
          </w:rPr>
        </w:r>
      </w:hyperlink>
      <w:r/>
      <w:r>
        <w:rPr>
          <w:rFonts w:ascii="Arial" w:hAnsi="Arial"/>
          <w:sz w:val="20"/>
          <w:highlight w:val="none"/>
        </w:rPr>
      </w:r>
      <w:r>
        <w:rPr>
          <w:rFonts w:ascii="Arial" w:hAnsi="Arial"/>
          <w:sz w:val="20"/>
          <w:highlight w:val="none"/>
        </w:rPr>
      </w:r>
      <w:r>
        <w:rPr>
          <w:rFonts w:ascii="Arial" w:hAnsi="Arial"/>
          <w:sz w:val="20"/>
          <w:highlight w:val="none"/>
        </w:rPr>
      </w:r>
      <w:r>
        <w:rPr>
          <w:rFonts w:ascii="Arial" w:hAnsi="Arial"/>
          <w:sz w:val="20"/>
          <w:szCs w:val="20"/>
          <w:highlight w:val="none"/>
        </w:rPr>
      </w:r>
    </w:p>
    <w:p>
      <w:pPr>
        <w:pBdr/>
        <w:spacing/>
        <w:ind w:hanging="720" w:left="720"/>
        <w:jc w:val="both"/>
        <w:rPr/>
      </w:pPr>
      <w:r>
        <w:rPr>
          <w:rFonts w:ascii="Arial" w:hAnsi="Arial"/>
          <w:sz w:val="20"/>
        </w:rPr>
        <w:t xml:space="preserve">Reyes, G. E. (2001). Principales teorías sobre el desarrollo económico y social. Nómadas, (4). Universidad Complutense de Madrid.</w:t>
      </w:r>
      <w:r/>
    </w:p>
    <w:sectPr>
      <w:footnotePr/>
      <w:endnotePr/>
      <w:type w:val="continuous"/>
      <w:pgSz w:h="16840" w:orient="portrait" w:w="11900"/>
      <w:pgMar w:top="1157"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93C5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738285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11B68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8EC3F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92605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BCF78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8F6E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6C74BCD"/>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B99576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EA474B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1956AA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BD50E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EC379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07C08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1715D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5A757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4B8C7445"/>
    <w:lvl w:ilvl="0">
      <w:isLgl w:val="false"/>
      <w:lvlJc w:val="left"/>
      <w:lvlText w:val="%1."/>
      <w:numFmt w:val="decimal"/>
      <w:pPr>
        <w:pBdr/>
        <w:tabs>
          <w:tab w:val="num" w:leader="none" w:pos="720"/>
        </w:tabs>
        <w:spacing/>
        <w:ind w:hanging="360" w:left="720"/>
      </w:pPr>
      <w:rPr/>
      <w:start w:val="3"/>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017421A"/>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52BC3044"/>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54086D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55113FCC"/>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o"/>
      <w:numFmt w:val="bullet"/>
      <w:pPr>
        <w:pBdr/>
        <w:tabs>
          <w:tab w:val="num" w:leader="none" w:pos="1440"/>
        </w:tabs>
        <w:spacing/>
        <w:ind w:hanging="360" w:left="1440"/>
      </w:pPr>
      <w:rPr>
        <w:rFonts w:hint="default" w:ascii="Courier New" w:hAnsi="Courier New"/>
        <w:b/>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55CC480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62A54D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58143D4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5E1223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5F6901F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61996A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2035E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29961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63587A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66F630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9EE12B1"/>
    <w:lvl w:ilvl="0">
      <w:isLgl w:val="false"/>
      <w:lvlJc w:val="left"/>
      <w:lvlText w:val="%1."/>
      <w:numFmt w:val="decimal"/>
      <w:pPr>
        <w:pBdr/>
        <w:spacing/>
        <w:ind w:hanging="221" w:left="121"/>
      </w:pPr>
      <w:rPr>
        <w:rFonts w:hint="default"/>
        <w:spacing w:val="0"/>
        <w:lang w:val="es-ES" w:eastAsia="en-US" w:bidi="ar-SA"/>
      </w:rPr>
      <w:start w:val="1"/>
      <w:suff w:val="tab"/>
    </w:lvl>
    <w:lvl w:ilvl="1">
      <w:isLgl w:val="false"/>
      <w:lvlJc w:val="left"/>
      <w:lvlText w:val="%2."/>
      <w:numFmt w:val="lowerLetter"/>
      <w:pPr>
        <w:pBdr/>
        <w:spacing/>
        <w:ind w:hanging="209" w:left="330"/>
      </w:pPr>
      <w:rPr>
        <w:rFonts w:hint="default" w:ascii="Times New Roman" w:hAnsi="Times New Roman" w:eastAsia="Times New Roman" w:cs="Times New Roman"/>
        <w:b w:val="0"/>
        <w:bCs w:val="0"/>
        <w:i w:val="0"/>
        <w:iCs w:val="0"/>
        <w:spacing w:val="0"/>
        <w:sz w:val="22"/>
        <w:szCs w:val="22"/>
        <w:lang w:val="es-ES" w:eastAsia="en-US" w:bidi="ar-SA"/>
      </w:rPr>
      <w:start w:val="1"/>
      <w:suff w:val="tab"/>
    </w:lvl>
    <w:lvl w:ilvl="2">
      <w:isLgl w:val="false"/>
      <w:lvlJc w:val="left"/>
      <w:lvlText w:val="•"/>
      <w:numFmt w:val="bullet"/>
      <w:pPr>
        <w:pBdr/>
        <w:spacing/>
        <w:ind w:hanging="209" w:left="1291"/>
      </w:pPr>
      <w:rPr>
        <w:rFonts w:hint="default"/>
        <w:lang w:val="es-ES" w:eastAsia="en-US" w:bidi="ar-SA"/>
      </w:rPr>
      <w:start w:val="0"/>
      <w:suff w:val="tab"/>
    </w:lvl>
    <w:lvl w:ilvl="3">
      <w:isLgl w:val="false"/>
      <w:lvlJc w:val="left"/>
      <w:lvlText w:val="•"/>
      <w:numFmt w:val="bullet"/>
      <w:pPr>
        <w:pBdr/>
        <w:spacing/>
        <w:ind w:hanging="209" w:left="2242"/>
      </w:pPr>
      <w:rPr>
        <w:rFonts w:hint="default"/>
        <w:lang w:val="es-ES" w:eastAsia="en-US" w:bidi="ar-SA"/>
      </w:rPr>
      <w:start w:val="0"/>
      <w:suff w:val="tab"/>
    </w:lvl>
    <w:lvl w:ilvl="4">
      <w:isLgl w:val="false"/>
      <w:lvlJc w:val="left"/>
      <w:lvlText w:val="•"/>
      <w:numFmt w:val="bullet"/>
      <w:pPr>
        <w:pBdr/>
        <w:spacing/>
        <w:ind w:hanging="209" w:left="3193"/>
      </w:pPr>
      <w:rPr>
        <w:rFonts w:hint="default"/>
        <w:lang w:val="es-ES" w:eastAsia="en-US" w:bidi="ar-SA"/>
      </w:rPr>
      <w:start w:val="0"/>
      <w:suff w:val="tab"/>
    </w:lvl>
    <w:lvl w:ilvl="5">
      <w:isLgl w:val="false"/>
      <w:lvlJc w:val="left"/>
      <w:lvlText w:val="•"/>
      <w:numFmt w:val="bullet"/>
      <w:pPr>
        <w:pBdr/>
        <w:spacing/>
        <w:ind w:hanging="209" w:left="4144"/>
      </w:pPr>
      <w:rPr>
        <w:rFonts w:hint="default"/>
        <w:lang w:val="es-ES" w:eastAsia="en-US" w:bidi="ar-SA"/>
      </w:rPr>
      <w:start w:val="0"/>
      <w:suff w:val="tab"/>
    </w:lvl>
    <w:lvl w:ilvl="6">
      <w:isLgl w:val="false"/>
      <w:lvlJc w:val="left"/>
      <w:lvlText w:val="•"/>
      <w:numFmt w:val="bullet"/>
      <w:pPr>
        <w:pBdr/>
        <w:spacing/>
        <w:ind w:hanging="209" w:left="5095"/>
      </w:pPr>
      <w:rPr>
        <w:rFonts w:hint="default"/>
        <w:lang w:val="es-ES" w:eastAsia="en-US" w:bidi="ar-SA"/>
      </w:rPr>
      <w:start w:val="0"/>
      <w:suff w:val="tab"/>
    </w:lvl>
    <w:lvl w:ilvl="7">
      <w:isLgl w:val="false"/>
      <w:lvlJc w:val="left"/>
      <w:lvlText w:val="•"/>
      <w:numFmt w:val="bullet"/>
      <w:pPr>
        <w:pBdr/>
        <w:spacing/>
        <w:ind w:hanging="209" w:left="6046"/>
      </w:pPr>
      <w:rPr>
        <w:rFonts w:hint="default"/>
        <w:lang w:val="es-ES" w:eastAsia="en-US" w:bidi="ar-SA"/>
      </w:rPr>
      <w:start w:val="0"/>
      <w:suff w:val="tab"/>
    </w:lvl>
    <w:lvl w:ilvl="8">
      <w:isLgl w:val="false"/>
      <w:lvlJc w:val="left"/>
      <w:lvlText w:val="•"/>
      <w:numFmt w:val="bullet"/>
      <w:pPr>
        <w:pBdr/>
        <w:spacing/>
        <w:ind w:hanging="209" w:left="6997"/>
      </w:pPr>
      <w:rPr>
        <w:rFonts w:hint="default"/>
        <w:lang w:val="es-ES" w:eastAsia="en-US" w:bidi="ar-SA"/>
      </w:rPr>
      <w:start w:val="0"/>
      <w:suff w:val="tab"/>
    </w:lvl>
  </w:abstractNum>
  <w:abstractNum w:abstractNumId="32">
    <w:nsid w:val="71B163B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3B5C14"/>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744C5F65"/>
    <w:lvl w:ilvl="0">
      <w:isLgl w:val="false"/>
      <w:lvlJc w:val="lef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66373AC"/>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o"/>
      <w:numFmt w:val="bullet"/>
      <w:pPr>
        <w:pBdr/>
        <w:tabs>
          <w:tab w:val="num" w:leader="none" w:pos="1440"/>
        </w:tabs>
        <w:spacing/>
        <w:ind w:hanging="360" w:left="1440"/>
      </w:pPr>
      <w:rPr>
        <w:rFonts w:hint="default" w:ascii="Courier New" w:hAnsi="Courier New"/>
        <w:b/>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778568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7BD90C7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7E3E61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1"/>
  </w:num>
  <w:num w:numId="2">
    <w:abstractNumId w:val="7"/>
  </w:num>
  <w:num w:numId="3">
    <w:abstractNumId w:val="22"/>
  </w:num>
  <w:num w:numId="4">
    <w:abstractNumId w:val="0"/>
  </w:num>
  <w:num w:numId="5">
    <w:abstractNumId w:val="32"/>
  </w:num>
  <w:num w:numId="6">
    <w:abstractNumId w:val="1"/>
  </w:num>
  <w:num w:numId="7">
    <w:abstractNumId w:val="15"/>
  </w:num>
  <w:num w:numId="8">
    <w:abstractNumId w:val="28"/>
  </w:num>
  <w:num w:numId="9">
    <w:abstractNumId w:val="4"/>
  </w:num>
  <w:num w:numId="10">
    <w:abstractNumId w:val="9"/>
  </w:num>
  <w:num w:numId="11">
    <w:abstractNumId w:val="10"/>
  </w:num>
  <w:num w:numId="12">
    <w:abstractNumId w:val="6"/>
  </w:num>
  <w:num w:numId="13">
    <w:abstractNumId w:val="23"/>
  </w:num>
  <w:num w:numId="14">
    <w:abstractNumId w:val="25"/>
  </w:num>
  <w:num w:numId="15">
    <w:abstractNumId w:val="33"/>
  </w:num>
  <w:num w:numId="16">
    <w:abstractNumId w:val="24"/>
  </w:num>
  <w:num w:numId="17">
    <w:abstractNumId w:val="26"/>
  </w:num>
  <w:num w:numId="18">
    <w:abstractNumId w:val="18"/>
  </w:num>
  <w:num w:numId="19">
    <w:abstractNumId w:val="5"/>
  </w:num>
  <w:num w:numId="20">
    <w:abstractNumId w:val="19"/>
  </w:num>
  <w:num w:numId="21">
    <w:abstractNumId w:val="12"/>
  </w:num>
  <w:num w:numId="22">
    <w:abstractNumId w:val="2"/>
  </w:num>
  <w:num w:numId="23">
    <w:abstractNumId w:val="17"/>
  </w:num>
  <w:num w:numId="24">
    <w:abstractNumId w:val="16"/>
  </w:num>
  <w:num w:numId="25">
    <w:abstractNumId w:val="11"/>
  </w:num>
  <w:num w:numId="26">
    <w:abstractNumId w:val="37"/>
  </w:num>
  <w:num w:numId="27">
    <w:abstractNumId w:val="34"/>
  </w:num>
  <w:num w:numId="28">
    <w:abstractNumId w:val="13"/>
  </w:num>
  <w:num w:numId="29">
    <w:abstractNumId w:val="8"/>
  </w:num>
  <w:num w:numId="30">
    <w:abstractNumId w:val="21"/>
  </w:num>
  <w:num w:numId="31">
    <w:abstractNumId w:val="36"/>
  </w:num>
  <w:num w:numId="32">
    <w:abstractNumId w:val="20"/>
  </w:num>
  <w:num w:numId="33">
    <w:abstractNumId w:val="27"/>
  </w:num>
  <w:num w:numId="34">
    <w:abstractNumId w:val="35"/>
  </w:num>
  <w:num w:numId="35">
    <w:abstractNumId w:val="38"/>
  </w:num>
  <w:num w:numId="36">
    <w:abstractNumId w:val="14"/>
  </w:num>
  <w:num w:numId="37">
    <w:abstractNumId w:val="29"/>
  </w:num>
  <w:num w:numId="38">
    <w:abstractNumId w:val="3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42"/>
    <w:next w:val="74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42"/>
    <w:next w:val="74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42"/>
    <w:next w:val="74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2"/>
    <w:next w:val="74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2"/>
    <w:next w:val="74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7"/>
    <w:link w:val="743"/>
    <w:uiPriority w:val="9"/>
    <w:pPr>
      <w:pBdr/>
      <w:spacing/>
      <w:ind/>
    </w:pPr>
    <w:rPr>
      <w:rFonts w:ascii="Arial" w:hAnsi="Arial" w:eastAsia="Arial" w:cs="Arial"/>
      <w:color w:val="0f4761" w:themeColor="accent1" w:themeShade="BF"/>
      <w:sz w:val="40"/>
      <w:szCs w:val="40"/>
    </w:rPr>
  </w:style>
  <w:style w:type="character" w:styleId="151">
    <w:name w:val="Heading 2 Char"/>
    <w:basedOn w:val="747"/>
    <w:link w:val="744"/>
    <w:uiPriority w:val="9"/>
    <w:pPr>
      <w:pBdr/>
      <w:spacing/>
      <w:ind/>
    </w:pPr>
    <w:rPr>
      <w:rFonts w:ascii="Arial" w:hAnsi="Arial" w:eastAsia="Arial" w:cs="Arial"/>
      <w:color w:val="0f4761" w:themeColor="accent1" w:themeShade="BF"/>
      <w:sz w:val="32"/>
      <w:szCs w:val="32"/>
    </w:rPr>
  </w:style>
  <w:style w:type="character" w:styleId="152">
    <w:name w:val="Heading 3 Char"/>
    <w:basedOn w:val="747"/>
    <w:link w:val="745"/>
    <w:uiPriority w:val="9"/>
    <w:pPr>
      <w:pBdr/>
      <w:spacing/>
      <w:ind/>
    </w:pPr>
    <w:rPr>
      <w:rFonts w:ascii="Arial" w:hAnsi="Arial" w:eastAsia="Arial" w:cs="Arial"/>
      <w:color w:val="0f4761" w:themeColor="accent1" w:themeShade="BF"/>
      <w:sz w:val="28"/>
      <w:szCs w:val="28"/>
    </w:rPr>
  </w:style>
  <w:style w:type="character" w:styleId="153">
    <w:name w:val="Heading 4 Char"/>
    <w:basedOn w:val="747"/>
    <w:link w:val="746"/>
    <w:uiPriority w:val="9"/>
    <w:pPr>
      <w:pBdr/>
      <w:spacing/>
      <w:ind/>
    </w:pPr>
    <w:rPr>
      <w:rFonts w:ascii="Arial" w:hAnsi="Arial" w:eastAsia="Arial" w:cs="Arial"/>
      <w:i/>
      <w:iCs/>
      <w:color w:val="0f4761" w:themeColor="accent1" w:themeShade="BF"/>
    </w:rPr>
  </w:style>
  <w:style w:type="character" w:styleId="154">
    <w:name w:val="Heading 5 Char"/>
    <w:basedOn w:val="747"/>
    <w:link w:val="143"/>
    <w:uiPriority w:val="9"/>
    <w:pPr>
      <w:pBdr/>
      <w:spacing/>
      <w:ind/>
    </w:pPr>
    <w:rPr>
      <w:rFonts w:ascii="Arial" w:hAnsi="Arial" w:eastAsia="Arial" w:cs="Arial"/>
      <w:color w:val="0f4761" w:themeColor="accent1" w:themeShade="BF"/>
    </w:rPr>
  </w:style>
  <w:style w:type="character" w:styleId="155">
    <w:name w:val="Heading 6 Char"/>
    <w:basedOn w:val="747"/>
    <w:link w:val="144"/>
    <w:uiPriority w:val="9"/>
    <w:pPr>
      <w:pBdr/>
      <w:spacing/>
      <w:ind/>
    </w:pPr>
    <w:rPr>
      <w:rFonts w:ascii="Arial" w:hAnsi="Arial" w:eastAsia="Arial" w:cs="Arial"/>
      <w:i/>
      <w:iCs/>
      <w:color w:val="595959" w:themeColor="text1" w:themeTint="A6"/>
    </w:rPr>
  </w:style>
  <w:style w:type="character" w:styleId="156">
    <w:name w:val="Heading 7 Char"/>
    <w:basedOn w:val="747"/>
    <w:link w:val="145"/>
    <w:uiPriority w:val="9"/>
    <w:pPr>
      <w:pBdr/>
      <w:spacing/>
      <w:ind/>
    </w:pPr>
    <w:rPr>
      <w:rFonts w:ascii="Arial" w:hAnsi="Arial" w:eastAsia="Arial" w:cs="Arial"/>
      <w:color w:val="595959" w:themeColor="text1" w:themeTint="A6"/>
    </w:rPr>
  </w:style>
  <w:style w:type="character" w:styleId="157">
    <w:name w:val="Heading 8 Char"/>
    <w:basedOn w:val="747"/>
    <w:link w:val="146"/>
    <w:uiPriority w:val="9"/>
    <w:pPr>
      <w:pBdr/>
      <w:spacing/>
      <w:ind/>
    </w:pPr>
    <w:rPr>
      <w:rFonts w:ascii="Arial" w:hAnsi="Arial" w:eastAsia="Arial" w:cs="Arial"/>
      <w:i/>
      <w:iCs/>
      <w:color w:val="272727" w:themeColor="text1" w:themeTint="D8"/>
    </w:rPr>
  </w:style>
  <w:style w:type="character" w:styleId="158">
    <w:name w:val="Heading 9 Char"/>
    <w:basedOn w:val="747"/>
    <w:link w:val="147"/>
    <w:uiPriority w:val="9"/>
    <w:pPr>
      <w:pBdr/>
      <w:spacing/>
      <w:ind/>
    </w:pPr>
    <w:rPr>
      <w:rFonts w:ascii="Arial" w:hAnsi="Arial" w:eastAsia="Arial" w:cs="Arial"/>
      <w:i/>
      <w:iCs/>
      <w:color w:val="272727" w:themeColor="text1" w:themeTint="D8"/>
    </w:rPr>
  </w:style>
  <w:style w:type="character" w:styleId="160">
    <w:name w:val="Title Char"/>
    <w:basedOn w:val="747"/>
    <w:link w:val="752"/>
    <w:uiPriority w:val="10"/>
    <w:pPr>
      <w:pBdr/>
      <w:spacing/>
      <w:ind/>
    </w:pPr>
    <w:rPr>
      <w:rFonts w:ascii="Arial" w:hAnsi="Arial" w:eastAsia="Arial" w:cs="Arial"/>
      <w:spacing w:val="-10"/>
      <w:sz w:val="56"/>
      <w:szCs w:val="56"/>
    </w:rPr>
  </w:style>
  <w:style w:type="paragraph" w:styleId="161">
    <w:name w:val="Subtitle"/>
    <w:basedOn w:val="742"/>
    <w:next w:val="742"/>
    <w:link w:val="162"/>
    <w:uiPriority w:val="11"/>
    <w:qFormat/>
    <w:pPr>
      <w:numPr>
        <w:ilvl w:val="1"/>
      </w:numPr>
      <w:pBdr/>
      <w:spacing/>
      <w:ind/>
    </w:pPr>
    <w:rPr>
      <w:color w:val="595959" w:themeColor="text1" w:themeTint="A6"/>
      <w:spacing w:val="15"/>
      <w:sz w:val="28"/>
      <w:szCs w:val="28"/>
    </w:rPr>
  </w:style>
  <w:style w:type="character" w:styleId="162">
    <w:name w:val="Subtitle Char"/>
    <w:basedOn w:val="747"/>
    <w:link w:val="161"/>
    <w:uiPriority w:val="11"/>
    <w:pPr>
      <w:pBdr/>
      <w:spacing/>
      <w:ind/>
    </w:pPr>
    <w:rPr>
      <w:color w:val="595959" w:themeColor="text1" w:themeTint="A6"/>
      <w:spacing w:val="15"/>
      <w:sz w:val="28"/>
      <w:szCs w:val="28"/>
    </w:rPr>
  </w:style>
  <w:style w:type="paragraph" w:styleId="163">
    <w:name w:val="Quote"/>
    <w:basedOn w:val="742"/>
    <w:next w:val="742"/>
    <w:link w:val="164"/>
    <w:uiPriority w:val="29"/>
    <w:qFormat/>
    <w:pPr>
      <w:pBdr/>
      <w:spacing w:before="160"/>
      <w:ind/>
      <w:jc w:val="center"/>
    </w:pPr>
    <w:rPr>
      <w:i/>
      <w:iCs/>
      <w:color w:val="404040" w:themeColor="text1" w:themeTint="BF"/>
    </w:rPr>
  </w:style>
  <w:style w:type="character" w:styleId="164">
    <w:name w:val="Quote Char"/>
    <w:basedOn w:val="747"/>
    <w:link w:val="163"/>
    <w:uiPriority w:val="29"/>
    <w:pPr>
      <w:pBdr/>
      <w:spacing/>
      <w:ind/>
    </w:pPr>
    <w:rPr>
      <w:i/>
      <w:iCs/>
      <w:color w:val="404040" w:themeColor="text1" w:themeTint="BF"/>
    </w:rPr>
  </w:style>
  <w:style w:type="character" w:styleId="166">
    <w:name w:val="Intense Emphasis"/>
    <w:basedOn w:val="747"/>
    <w:uiPriority w:val="21"/>
    <w:qFormat/>
    <w:pPr>
      <w:pBdr/>
      <w:spacing/>
      <w:ind/>
    </w:pPr>
    <w:rPr>
      <w:i/>
      <w:iCs/>
      <w:color w:val="0f4761" w:themeColor="accent1" w:themeShade="BF"/>
    </w:rPr>
  </w:style>
  <w:style w:type="paragraph" w:styleId="167">
    <w:name w:val="Intense Quote"/>
    <w:basedOn w:val="742"/>
    <w:next w:val="74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7"/>
    <w:link w:val="167"/>
    <w:uiPriority w:val="30"/>
    <w:pPr>
      <w:pBdr/>
      <w:spacing/>
      <w:ind/>
    </w:pPr>
    <w:rPr>
      <w:i/>
      <w:iCs/>
      <w:color w:val="0f4761" w:themeColor="accent1" w:themeShade="BF"/>
    </w:rPr>
  </w:style>
  <w:style w:type="character" w:styleId="169">
    <w:name w:val="Intense Reference"/>
    <w:basedOn w:val="747"/>
    <w:uiPriority w:val="32"/>
    <w:qFormat/>
    <w:pPr>
      <w:pBdr/>
      <w:spacing/>
      <w:ind/>
    </w:pPr>
    <w:rPr>
      <w:b/>
      <w:bCs/>
      <w:smallCaps/>
      <w:color w:val="0f4761" w:themeColor="accent1" w:themeShade="BF"/>
      <w:spacing w:val="5"/>
    </w:rPr>
  </w:style>
  <w:style w:type="paragraph" w:styleId="170">
    <w:name w:val="No Spacing"/>
    <w:basedOn w:val="742"/>
    <w:uiPriority w:val="1"/>
    <w:qFormat/>
    <w:pPr>
      <w:pBdr/>
      <w:spacing w:after="0" w:line="240" w:lineRule="auto"/>
      <w:ind/>
    </w:pPr>
  </w:style>
  <w:style w:type="character" w:styleId="171">
    <w:name w:val="Subtle Emphasis"/>
    <w:basedOn w:val="747"/>
    <w:uiPriority w:val="19"/>
    <w:qFormat/>
    <w:pPr>
      <w:pBdr/>
      <w:spacing/>
      <w:ind/>
    </w:pPr>
    <w:rPr>
      <w:i/>
      <w:iCs/>
      <w:color w:val="404040" w:themeColor="text1" w:themeTint="BF"/>
    </w:rPr>
  </w:style>
  <w:style w:type="character" w:styleId="174">
    <w:name w:val="Subtle Reference"/>
    <w:basedOn w:val="747"/>
    <w:uiPriority w:val="31"/>
    <w:qFormat/>
    <w:pPr>
      <w:pBdr/>
      <w:spacing/>
      <w:ind/>
    </w:pPr>
    <w:rPr>
      <w:smallCaps/>
      <w:color w:val="5a5a5a" w:themeColor="text1" w:themeTint="A5"/>
    </w:rPr>
  </w:style>
  <w:style w:type="character" w:styleId="175">
    <w:name w:val="Book Title"/>
    <w:basedOn w:val="747"/>
    <w:uiPriority w:val="33"/>
    <w:qFormat/>
    <w:pPr>
      <w:pBdr/>
      <w:spacing/>
      <w:ind/>
    </w:pPr>
    <w:rPr>
      <w:b/>
      <w:bCs/>
      <w:i/>
      <w:iCs/>
      <w:spacing w:val="5"/>
    </w:rPr>
  </w:style>
  <w:style w:type="paragraph" w:styleId="176">
    <w:name w:val="Header"/>
    <w:basedOn w:val="742"/>
    <w:link w:val="177"/>
    <w:uiPriority w:val="99"/>
    <w:unhideWhenUsed/>
    <w:pPr>
      <w:pBdr/>
      <w:tabs>
        <w:tab w:val="center" w:leader="none" w:pos="4844"/>
        <w:tab w:val="right" w:leader="none" w:pos="9689"/>
      </w:tabs>
      <w:spacing w:after="0" w:line="240" w:lineRule="auto"/>
      <w:ind/>
    </w:pPr>
  </w:style>
  <w:style w:type="character" w:styleId="177">
    <w:name w:val="Header Char"/>
    <w:basedOn w:val="747"/>
    <w:link w:val="176"/>
    <w:uiPriority w:val="99"/>
    <w:pPr>
      <w:pBdr/>
      <w:spacing/>
      <w:ind/>
    </w:pPr>
  </w:style>
  <w:style w:type="paragraph" w:styleId="178">
    <w:name w:val="Footer"/>
    <w:basedOn w:val="742"/>
    <w:link w:val="179"/>
    <w:uiPriority w:val="99"/>
    <w:unhideWhenUsed/>
    <w:pPr>
      <w:pBdr/>
      <w:tabs>
        <w:tab w:val="center" w:leader="none" w:pos="4844"/>
        <w:tab w:val="right" w:leader="none" w:pos="9689"/>
      </w:tabs>
      <w:spacing w:after="0" w:line="240" w:lineRule="auto"/>
      <w:ind/>
    </w:pPr>
  </w:style>
  <w:style w:type="character" w:styleId="179">
    <w:name w:val="Footer Char"/>
    <w:basedOn w:val="747"/>
    <w:link w:val="178"/>
    <w:uiPriority w:val="99"/>
    <w:pPr>
      <w:pBdr/>
      <w:spacing/>
      <w:ind/>
    </w:pPr>
  </w:style>
  <w:style w:type="paragraph" w:styleId="180">
    <w:name w:val="Caption"/>
    <w:basedOn w:val="742"/>
    <w:next w:val="742"/>
    <w:uiPriority w:val="35"/>
    <w:unhideWhenUsed/>
    <w:qFormat/>
    <w:pPr>
      <w:pBdr/>
      <w:spacing w:after="200" w:line="240" w:lineRule="auto"/>
      <w:ind/>
    </w:pPr>
    <w:rPr>
      <w:i/>
      <w:iCs/>
      <w:color w:val="0e2841" w:themeColor="text2"/>
      <w:sz w:val="18"/>
      <w:szCs w:val="18"/>
    </w:rPr>
  </w:style>
  <w:style w:type="paragraph" w:styleId="181">
    <w:name w:val="footnote text"/>
    <w:basedOn w:val="742"/>
    <w:link w:val="182"/>
    <w:uiPriority w:val="99"/>
    <w:semiHidden/>
    <w:unhideWhenUsed/>
    <w:pPr>
      <w:pBdr/>
      <w:spacing w:after="0" w:line="240" w:lineRule="auto"/>
      <w:ind/>
    </w:pPr>
    <w:rPr>
      <w:sz w:val="20"/>
      <w:szCs w:val="20"/>
    </w:rPr>
  </w:style>
  <w:style w:type="character" w:styleId="182">
    <w:name w:val="Footnote Text Char"/>
    <w:basedOn w:val="747"/>
    <w:link w:val="181"/>
    <w:uiPriority w:val="99"/>
    <w:semiHidden/>
    <w:pPr>
      <w:pBdr/>
      <w:spacing/>
      <w:ind/>
    </w:pPr>
    <w:rPr>
      <w:sz w:val="20"/>
      <w:szCs w:val="20"/>
    </w:rPr>
  </w:style>
  <w:style w:type="character" w:styleId="183">
    <w:name w:val="footnote reference"/>
    <w:basedOn w:val="747"/>
    <w:uiPriority w:val="99"/>
    <w:semiHidden/>
    <w:unhideWhenUsed/>
    <w:pPr>
      <w:pBdr/>
      <w:spacing/>
      <w:ind/>
    </w:pPr>
    <w:rPr>
      <w:vertAlign w:val="superscript"/>
    </w:rPr>
  </w:style>
  <w:style w:type="paragraph" w:styleId="184">
    <w:name w:val="endnote text"/>
    <w:basedOn w:val="742"/>
    <w:link w:val="185"/>
    <w:uiPriority w:val="99"/>
    <w:semiHidden/>
    <w:unhideWhenUsed/>
    <w:pPr>
      <w:pBdr/>
      <w:spacing w:after="0" w:line="240" w:lineRule="auto"/>
      <w:ind/>
    </w:pPr>
    <w:rPr>
      <w:sz w:val="20"/>
      <w:szCs w:val="20"/>
    </w:rPr>
  </w:style>
  <w:style w:type="character" w:styleId="185">
    <w:name w:val="Endnote Text Char"/>
    <w:basedOn w:val="747"/>
    <w:link w:val="184"/>
    <w:uiPriority w:val="99"/>
    <w:semiHidden/>
    <w:pPr>
      <w:pBdr/>
      <w:spacing/>
      <w:ind/>
    </w:pPr>
    <w:rPr>
      <w:sz w:val="20"/>
      <w:szCs w:val="20"/>
    </w:rPr>
  </w:style>
  <w:style w:type="character" w:styleId="186">
    <w:name w:val="endnote reference"/>
    <w:basedOn w:val="747"/>
    <w:uiPriority w:val="99"/>
    <w:semiHidden/>
    <w:unhideWhenUsed/>
    <w:pPr>
      <w:pBdr/>
      <w:spacing/>
      <w:ind/>
    </w:pPr>
    <w:rPr>
      <w:vertAlign w:val="superscript"/>
    </w:rPr>
  </w:style>
  <w:style w:type="character" w:styleId="188">
    <w:name w:val="FollowedHyperlink"/>
    <w:basedOn w:val="747"/>
    <w:uiPriority w:val="99"/>
    <w:semiHidden/>
    <w:unhideWhenUsed/>
    <w:pPr>
      <w:pBdr/>
      <w:spacing/>
      <w:ind/>
    </w:pPr>
    <w:rPr>
      <w:color w:val="954f72" w:themeColor="followedHyperlink"/>
      <w:u w:val="single"/>
    </w:rPr>
  </w:style>
  <w:style w:type="paragraph" w:styleId="189">
    <w:name w:val="toc 1"/>
    <w:basedOn w:val="742"/>
    <w:next w:val="742"/>
    <w:uiPriority w:val="39"/>
    <w:unhideWhenUsed/>
    <w:pPr>
      <w:pBdr/>
      <w:spacing w:after="100"/>
      <w:ind/>
    </w:pPr>
  </w:style>
  <w:style w:type="paragraph" w:styleId="190">
    <w:name w:val="toc 2"/>
    <w:basedOn w:val="742"/>
    <w:next w:val="742"/>
    <w:uiPriority w:val="39"/>
    <w:unhideWhenUsed/>
    <w:pPr>
      <w:pBdr/>
      <w:spacing w:after="100"/>
      <w:ind w:left="220"/>
    </w:pPr>
  </w:style>
  <w:style w:type="paragraph" w:styleId="191">
    <w:name w:val="toc 3"/>
    <w:basedOn w:val="742"/>
    <w:next w:val="742"/>
    <w:uiPriority w:val="39"/>
    <w:unhideWhenUsed/>
    <w:pPr>
      <w:pBdr/>
      <w:spacing w:after="100"/>
      <w:ind w:left="440"/>
    </w:pPr>
  </w:style>
  <w:style w:type="paragraph" w:styleId="192">
    <w:name w:val="toc 4"/>
    <w:basedOn w:val="742"/>
    <w:next w:val="742"/>
    <w:uiPriority w:val="39"/>
    <w:unhideWhenUsed/>
    <w:pPr>
      <w:pBdr/>
      <w:spacing w:after="100"/>
      <w:ind w:left="660"/>
    </w:pPr>
  </w:style>
  <w:style w:type="paragraph" w:styleId="193">
    <w:name w:val="toc 5"/>
    <w:basedOn w:val="742"/>
    <w:next w:val="742"/>
    <w:uiPriority w:val="39"/>
    <w:unhideWhenUsed/>
    <w:pPr>
      <w:pBdr/>
      <w:spacing w:after="100"/>
      <w:ind w:left="880"/>
    </w:pPr>
  </w:style>
  <w:style w:type="paragraph" w:styleId="194">
    <w:name w:val="toc 6"/>
    <w:basedOn w:val="742"/>
    <w:next w:val="742"/>
    <w:uiPriority w:val="39"/>
    <w:unhideWhenUsed/>
    <w:pPr>
      <w:pBdr/>
      <w:spacing w:after="100"/>
      <w:ind w:left="1100"/>
    </w:pPr>
  </w:style>
  <w:style w:type="paragraph" w:styleId="195">
    <w:name w:val="toc 7"/>
    <w:basedOn w:val="742"/>
    <w:next w:val="742"/>
    <w:uiPriority w:val="39"/>
    <w:unhideWhenUsed/>
    <w:pPr>
      <w:pBdr/>
      <w:spacing w:after="100"/>
      <w:ind w:left="1320"/>
    </w:pPr>
  </w:style>
  <w:style w:type="paragraph" w:styleId="196">
    <w:name w:val="toc 8"/>
    <w:basedOn w:val="742"/>
    <w:next w:val="742"/>
    <w:uiPriority w:val="39"/>
    <w:unhideWhenUsed/>
    <w:pPr>
      <w:pBdr/>
      <w:spacing w:after="100"/>
      <w:ind w:left="1540"/>
    </w:pPr>
  </w:style>
  <w:style w:type="paragraph" w:styleId="197">
    <w:name w:val="toc 9"/>
    <w:basedOn w:val="742"/>
    <w:next w:val="742"/>
    <w:uiPriority w:val="39"/>
    <w:unhideWhenUsed/>
    <w:pPr>
      <w:pBdr/>
      <w:spacing w:after="100"/>
      <w:ind w:left="1760"/>
    </w:pPr>
  </w:style>
  <w:style w:type="character" w:styleId="198">
    <w:name w:val="Placeholder Text"/>
    <w:basedOn w:val="74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2"/>
    <w:next w:val="742"/>
    <w:uiPriority w:val="99"/>
    <w:unhideWhenUsed/>
    <w:pPr>
      <w:pBdr/>
      <w:spacing w:after="0" w:afterAutospacing="0"/>
      <w:ind/>
    </w:pPr>
  </w:style>
  <w:style w:type="paragraph" w:styleId="742" w:default="1">
    <w:name w:val="Normal"/>
    <w:qFormat/>
    <w:pPr>
      <w:pBdr/>
      <w:spacing/>
      <w:ind/>
    </w:pPr>
    <w:rPr>
      <w:rFonts w:ascii="Times New Roman" w:hAnsi="Times New Roman" w:eastAsia="Times New Roman" w:cs="Times New Roman"/>
      <w:lang w:val="es-ES"/>
    </w:rPr>
  </w:style>
  <w:style w:type="paragraph" w:styleId="743">
    <w:name w:val="Heading 1"/>
    <w:basedOn w:val="742"/>
    <w:next w:val="742"/>
    <w:link w:val="764"/>
    <w:uiPriority w:val="9"/>
    <w:qFormat/>
    <w:pPr>
      <w:keepNext w:val="true"/>
      <w:keepLines w:val="true"/>
      <w:pBdr/>
      <w:spacing w:before="240"/>
      <w:ind/>
      <w:outlineLvl w:val="0"/>
    </w:pPr>
    <w:rPr>
      <w:rFonts w:asciiTheme="majorHAnsi" w:hAnsiTheme="majorHAnsi" w:eastAsiaTheme="majorEastAsia" w:cstheme="majorBidi"/>
      <w:color w:val="365f91" w:themeColor="accent1" w:themeShade="BF"/>
      <w:sz w:val="32"/>
      <w:szCs w:val="32"/>
    </w:rPr>
  </w:style>
  <w:style w:type="paragraph" w:styleId="744">
    <w:name w:val="Heading 2"/>
    <w:basedOn w:val="742"/>
    <w:next w:val="742"/>
    <w:link w:val="762"/>
    <w:uiPriority w:val="9"/>
    <w:semiHidden/>
    <w:unhideWhenUsed/>
    <w:qFormat/>
    <w:pPr>
      <w:keepNext w:val="true"/>
      <w:keepLines w:val="true"/>
      <w:pBdr/>
      <w:spacing w:before="40"/>
      <w:ind/>
      <w:outlineLvl w:val="1"/>
    </w:pPr>
    <w:rPr>
      <w:rFonts w:asciiTheme="majorHAnsi" w:hAnsiTheme="majorHAnsi" w:eastAsiaTheme="majorEastAsia" w:cstheme="majorBidi"/>
      <w:color w:val="365f91" w:themeColor="accent1" w:themeShade="BF"/>
      <w:sz w:val="26"/>
      <w:szCs w:val="26"/>
    </w:rPr>
  </w:style>
  <w:style w:type="paragraph" w:styleId="745">
    <w:name w:val="Heading 3"/>
    <w:basedOn w:val="742"/>
    <w:link w:val="758"/>
    <w:uiPriority w:val="9"/>
    <w:qFormat/>
    <w:pPr>
      <w:widowControl w:val="true"/>
      <w:pBdr/>
      <w:spacing w:after="100" w:afterAutospacing="1" w:before="100" w:beforeAutospacing="1"/>
      <w:ind/>
      <w:outlineLvl w:val="2"/>
    </w:pPr>
    <w:rPr>
      <w:b/>
      <w:bCs/>
      <w:sz w:val="27"/>
      <w:szCs w:val="27"/>
      <w:lang w:val="es-EC" w:eastAsia="es-EC"/>
    </w:rPr>
  </w:style>
  <w:style w:type="paragraph" w:styleId="746">
    <w:name w:val="Heading 4"/>
    <w:basedOn w:val="742"/>
    <w:link w:val="759"/>
    <w:uiPriority w:val="9"/>
    <w:qFormat/>
    <w:pPr>
      <w:widowControl w:val="true"/>
      <w:pBdr/>
      <w:spacing w:after="100" w:afterAutospacing="1" w:before="100" w:beforeAutospacing="1"/>
      <w:ind/>
      <w:outlineLvl w:val="3"/>
    </w:pPr>
    <w:rPr>
      <w:b/>
      <w:bCs/>
      <w:sz w:val="24"/>
      <w:szCs w:val="24"/>
      <w:lang w:val="es-EC" w:eastAsia="es-EC"/>
    </w:rPr>
  </w:style>
  <w:style w:type="character" w:styleId="747" w:default="1">
    <w:name w:val="Default Paragraph Font"/>
    <w:uiPriority w:val="1"/>
    <w:semiHidden/>
    <w:unhideWhenUsed/>
    <w:pPr>
      <w:pBdr/>
      <w:spacing/>
      <w:ind/>
    </w:pPr>
  </w:style>
  <w:style w:type="table" w:styleId="7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9" w:default="1">
    <w:name w:val="No List"/>
    <w:uiPriority w:val="99"/>
    <w:semiHidden/>
    <w:unhideWhenUsed/>
    <w:pPr>
      <w:pBdr/>
      <w:spacing/>
      <w:ind/>
    </w:pPr>
  </w:style>
  <w:style w:type="table" w:styleId="750"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name w:val="Body Text"/>
    <w:basedOn w:val="742"/>
    <w:link w:val="760"/>
    <w:uiPriority w:val="1"/>
    <w:qFormat/>
    <w:pPr>
      <w:pBdr/>
      <w:spacing/>
      <w:ind/>
    </w:pPr>
  </w:style>
  <w:style w:type="paragraph" w:styleId="752">
    <w:name w:val="Title"/>
    <w:basedOn w:val="742"/>
    <w:uiPriority w:val="10"/>
    <w:qFormat/>
    <w:pPr>
      <w:pBdr/>
      <w:spacing w:line="275" w:lineRule="exact"/>
      <w:ind w:left="3976"/>
    </w:pPr>
    <w:rPr>
      <w:b/>
      <w:bCs/>
      <w:sz w:val="24"/>
      <w:szCs w:val="24"/>
    </w:rPr>
  </w:style>
  <w:style w:type="paragraph" w:styleId="753">
    <w:name w:val="List Paragraph"/>
    <w:basedOn w:val="742"/>
    <w:uiPriority w:val="34"/>
    <w:qFormat/>
    <w:pPr>
      <w:pBdr/>
      <w:spacing/>
      <w:ind w:left="121"/>
    </w:pPr>
  </w:style>
  <w:style w:type="paragraph" w:styleId="754" w:customStyle="1">
    <w:name w:val="Table Paragraph"/>
    <w:basedOn w:val="742"/>
    <w:uiPriority w:val="1"/>
    <w:qFormat/>
    <w:pPr>
      <w:pBdr/>
      <w:spacing/>
      <w:ind/>
    </w:pPr>
  </w:style>
  <w:style w:type="character" w:styleId="755">
    <w:name w:val="Hyperlink"/>
    <w:basedOn w:val="747"/>
    <w:uiPriority w:val="99"/>
    <w:unhideWhenUsed/>
    <w:pPr>
      <w:pBdr/>
      <w:spacing/>
      <w:ind/>
    </w:pPr>
    <w:rPr>
      <w:color w:val="0000ff" w:themeColor="hyperlink"/>
      <w:u w:val="single"/>
    </w:rPr>
  </w:style>
  <w:style w:type="paragraph" w:styleId="756">
    <w:name w:val="Normal (Web)"/>
    <w:basedOn w:val="742"/>
    <w:uiPriority w:val="99"/>
    <w:semiHidden/>
    <w:unhideWhenUsed/>
    <w:pPr>
      <w:widowControl w:val="true"/>
      <w:pBdr/>
      <w:spacing w:after="100" w:afterAutospacing="1" w:before="100" w:beforeAutospacing="1"/>
      <w:ind/>
    </w:pPr>
    <w:rPr>
      <w:sz w:val="24"/>
      <w:szCs w:val="24"/>
      <w:lang w:val="es-EC" w:eastAsia="es-EC"/>
    </w:rPr>
  </w:style>
  <w:style w:type="character" w:styleId="757">
    <w:name w:val="Strong"/>
    <w:basedOn w:val="747"/>
    <w:uiPriority w:val="22"/>
    <w:qFormat/>
    <w:pPr>
      <w:pBdr/>
      <w:spacing/>
      <w:ind/>
    </w:pPr>
    <w:rPr>
      <w:b/>
      <w:bCs/>
    </w:rPr>
  </w:style>
  <w:style w:type="character" w:styleId="758" w:customStyle="1">
    <w:name w:val="Título 3 Car"/>
    <w:basedOn w:val="747"/>
    <w:link w:val="745"/>
    <w:uiPriority w:val="9"/>
    <w:pPr>
      <w:pBdr/>
      <w:spacing/>
      <w:ind/>
    </w:pPr>
    <w:rPr>
      <w:rFonts w:ascii="Times New Roman" w:hAnsi="Times New Roman" w:eastAsia="Times New Roman" w:cs="Times New Roman"/>
      <w:b/>
      <w:bCs/>
      <w:sz w:val="27"/>
      <w:szCs w:val="27"/>
      <w:lang w:val="es-EC" w:eastAsia="es-EC"/>
    </w:rPr>
  </w:style>
  <w:style w:type="character" w:styleId="759" w:customStyle="1">
    <w:name w:val="Título 4 Car"/>
    <w:basedOn w:val="747"/>
    <w:link w:val="746"/>
    <w:uiPriority w:val="9"/>
    <w:pPr>
      <w:pBdr/>
      <w:spacing/>
      <w:ind/>
    </w:pPr>
    <w:rPr>
      <w:rFonts w:ascii="Times New Roman" w:hAnsi="Times New Roman" w:eastAsia="Times New Roman" w:cs="Times New Roman"/>
      <w:b/>
      <w:bCs/>
      <w:sz w:val="24"/>
      <w:szCs w:val="24"/>
      <w:lang w:val="es-EC" w:eastAsia="es-EC"/>
    </w:rPr>
  </w:style>
  <w:style w:type="character" w:styleId="760" w:customStyle="1">
    <w:name w:val="Texto independiente Car"/>
    <w:basedOn w:val="747"/>
    <w:link w:val="751"/>
    <w:uiPriority w:val="1"/>
    <w:pPr>
      <w:pBdr/>
      <w:spacing/>
      <w:ind/>
    </w:pPr>
    <w:rPr>
      <w:rFonts w:ascii="Times New Roman" w:hAnsi="Times New Roman" w:eastAsia="Times New Roman" w:cs="Times New Roman"/>
      <w:lang w:val="es-ES"/>
    </w:rPr>
  </w:style>
  <w:style w:type="character" w:styleId="761">
    <w:name w:val="Unresolved Mention"/>
    <w:basedOn w:val="747"/>
    <w:uiPriority w:val="99"/>
    <w:semiHidden/>
    <w:unhideWhenUsed/>
    <w:pPr>
      <w:pBdr/>
      <w:spacing/>
      <w:ind/>
    </w:pPr>
    <w:rPr>
      <w:color w:val="605e5c"/>
      <w:shd w:val="clear" w:color="auto" w:fill="e1dfdd"/>
    </w:rPr>
  </w:style>
  <w:style w:type="character" w:styleId="762" w:customStyle="1">
    <w:name w:val="Título 2 Car"/>
    <w:basedOn w:val="747"/>
    <w:link w:val="744"/>
    <w:uiPriority w:val="9"/>
    <w:semiHidden/>
    <w:pPr>
      <w:pBdr/>
      <w:spacing/>
      <w:ind/>
    </w:pPr>
    <w:rPr>
      <w:rFonts w:asciiTheme="majorHAnsi" w:hAnsiTheme="majorHAnsi" w:eastAsiaTheme="majorEastAsia" w:cstheme="majorBidi"/>
      <w:color w:val="365f91" w:themeColor="accent1" w:themeShade="BF"/>
      <w:sz w:val="26"/>
      <w:szCs w:val="26"/>
      <w:lang w:val="es-ES"/>
    </w:rPr>
  </w:style>
  <w:style w:type="character" w:styleId="763">
    <w:name w:val="Emphasis"/>
    <w:basedOn w:val="747"/>
    <w:uiPriority w:val="20"/>
    <w:qFormat/>
    <w:pPr>
      <w:pBdr/>
      <w:spacing/>
      <w:ind/>
    </w:pPr>
    <w:rPr>
      <w:i/>
      <w:iCs/>
    </w:rPr>
  </w:style>
  <w:style w:type="character" w:styleId="764" w:customStyle="1">
    <w:name w:val="Título 1 Car"/>
    <w:basedOn w:val="747"/>
    <w:link w:val="743"/>
    <w:uiPriority w:val="9"/>
    <w:pPr>
      <w:pBdr/>
      <w:spacing/>
      <w:ind/>
    </w:pPr>
    <w:rPr>
      <w:rFonts w:asciiTheme="majorHAnsi" w:hAnsiTheme="majorHAnsi" w:eastAsiaTheme="majorEastAsia" w:cstheme="majorBidi"/>
      <w:color w:val="365f91" w:themeColor="accent1" w:themeShade="BF"/>
      <w:sz w:val="32"/>
      <w:szCs w:val="32"/>
      <w:lang w:val="es-E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hyperlink" Target="https://books.google.com/books?id=2zO8AAAAIAAJ" TargetMode="External"/><Relationship Id="rId11" Type="http://schemas.openxmlformats.org/officeDocument/2006/relationships/hyperlink" Target="https://bibliofep.fundacionempresaspolar.org/publicaciones/libros/bases-cuantitativas-de-la-econom&#237;a-venezolana-1830-2002/" TargetMode="External"/><Relationship Id="rId12" Type="http://schemas.openxmlformats.org/officeDocument/2006/relationships/hyperlink" Target="https://press.uchicago.edu/ucp/books/book/chicago/M/bo3623371.html" TargetMode="External"/><Relationship Id="rId13" Type="http://schemas.openxmlformats.org/officeDocument/2006/relationships/hyperlink" Target="https://monthlyreview.org/product/capitalism_and_underdevelopment_in_latin_america/" TargetMode="External"/><Relationship Id="rId14" Type="http://schemas.openxmlformats.org/officeDocument/2006/relationships/hyperlink" Target="https://academic.oup.com/book/44883"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Tarea 1</dc:title>
  <dc:creator>sonia.miranda</dc:creator>
  <cp:revision>7</cp:revision>
  <dcterms:created xsi:type="dcterms:W3CDTF">2025-04-26T22:31:00Z</dcterms:created>
  <dcterms:modified xsi:type="dcterms:W3CDTF">2026-05-05T03:44:54Z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Creator">
    <vt:lpwstr>PDF24 Creator</vt:lpwstr>
  </property>
  <property fmtid="{D5CDD505-2E9C-101B-9397-08002B2CF9AE}" pid="4" name="LastSaved">
    <vt:filetime>2024-10-07T00:00:00Z</vt:filetime>
  </property>
  <property fmtid="{D5CDD505-2E9C-101B-9397-08002B2CF9AE}" pid="5" name="Producer">
    <vt:lpwstr>GPL Ghostscript 9.27</vt:lpwstr>
  </property>
</Properties>
</file>