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media/rId22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 </w:t>
      </w:r>
      <w:r>
        <w:t xml:space="preserve">Erick Fabricio Condoy Seraquive, Dayana Bustamante</w:t>
      </w:r>
      <w:r>
        <w:t xml:space="preserve"> </w:t>
      </w:r>
      <w:r>
        <w:t xml:space="preserve"> </w:t>
      </w:r>
      <w:r>
        <w:t xml:space="preserve">17 de mayo de 2026</w:t>
      </w:r>
    </w:p>
    <w:p>
      <w:pPr>
        <w:pStyle w:val="BodyText"/>
      </w:pPr>
      <w:r>
        <w:t xml:space="preserve">El IDH oficial</w:t>
      </w:r>
      <w:r>
        <w:t xml:space="preserve"> </w:t>
      </w:r>
      <w:r>
        <w:t xml:space="preserve">Programa de las Naciones Unidas para el Desarrollo (1990)</w:t>
      </w:r>
      <w:r>
        <w:t xml:space="preserve"> </w:t>
      </w:r>
      <w:r>
        <w:t xml:space="preserve">asume que el ingreso refleja bienestar material. Omite la</w:t>
      </w:r>
      <w:r>
        <w:t xml:space="preserve"> </w:t>
      </w:r>
      <w:r>
        <w:rPr>
          <w:b/>
          <w:bCs/>
        </w:rPr>
        <w:t xml:space="preserve">Seguridad Económica</w:t>
      </w:r>
      <w:r>
        <w:t xml:space="preserve">. Integrar la</w:t>
      </w:r>
      <w:r>
        <w:t xml:space="preserve"> </w:t>
      </w:r>
      <w:r>
        <w:rPr>
          <w:b/>
          <w:bCs/>
        </w:rPr>
        <w:t xml:space="preserve">Tasa de Desempleo (2013-2022)</w:t>
      </w:r>
      <w:r>
        <w:t xml:space="preserve"> </w:t>
      </w:r>
      <w:r>
        <w:t xml:space="preserve">corrige este vacío estructural. El desempleo constituye una privación directa de libertades reales elementales</w:t>
      </w:r>
      <w:r>
        <w:t xml:space="preserve"> </w:t>
      </w:r>
      <w:r>
        <w:t xml:space="preserve">Programa de las Naciones Unidas para el Desarrollo (2015)</w:t>
      </w:r>
      <w:r>
        <w:t xml:space="preserve">; superando la visión ortodoxa del mero desajuste macroeconómico coyuntural.</w:t>
      </w:r>
    </w:p>
    <w:bookmarkStart w:id="16" w:name="justificación-teórica-y-empírica"/>
    <w:p>
      <w:pPr>
        <w:pStyle w:val="Heading2"/>
      </w:pPr>
      <w:r>
        <w:t xml:space="preserve">1 Justificación Teórica y Empírica</w:t>
      </w:r>
    </w:p>
    <w:p>
      <w:pPr>
        <w:pStyle w:val="FirstParagraph"/>
      </w:pPr>
      <w:r>
        <w:t xml:space="preserve">El Enfoque de Capacidades</w:t>
      </w:r>
      <w:r>
        <w:t xml:space="preserve"> </w:t>
      </w:r>
      <w:r>
        <w:t xml:space="preserve">Sen (1999)</w:t>
      </w:r>
      <w:r>
        <w:t xml:space="preserve"> </w:t>
      </w:r>
      <w:r>
        <w:t xml:space="preserve">advierte que el desempleo erosiona el auto-respeto. Induce vulnerabilidad psicológica</w:t>
      </w:r>
      <w:r>
        <w:t xml:space="preserve"> </w:t>
      </w:r>
      <w:r>
        <w:t xml:space="preserve">Stiglitz et al. (2009)</w:t>
      </w:r>
      <w:r>
        <w:t xml:space="preserve">. Su daño psíquico es irreparable</w:t>
      </w:r>
      <w:r>
        <w:t xml:space="preserve"> </w:t>
      </w:r>
      <w:r>
        <w:t xml:space="preserve">Clark (2003)</w:t>
      </w:r>
      <w:r>
        <w:t xml:space="preserve">. A nivel macro, fuerza la transición juvenil hacia la informalidad</w:t>
      </w:r>
      <w:r>
        <w:t xml:space="preserve"> </w:t>
      </w:r>
      <w:r>
        <w:t xml:space="preserve">International Labour Organization (2022)</w:t>
      </w:r>
      <w:r>
        <w:t xml:space="preserve">. En Ecuador, eleva la deserción escolar</w:t>
      </w:r>
      <w:r>
        <w:t xml:space="preserve"> </w:t>
      </w:r>
      <w:r>
        <w:t xml:space="preserve">Castillo &amp; Cueva (2015)</w:t>
      </w:r>
      <w:r>
        <w:t xml:space="preserve"> </w:t>
      </w:r>
      <w:r>
        <w:t xml:space="preserve">y provocó un colapso social post-pandemia drásticamente subestimado por las métricas oficiales</w:t>
      </w:r>
      <w:r>
        <w:t xml:space="preserve"> </w:t>
      </w:r>
      <w:r>
        <w:t xml:space="preserve">Esteves (2020)</w:t>
      </w:r>
      <w:r>
        <w:t xml:space="preserve">.</w:t>
      </w:r>
    </w:p>
    <w:bookmarkEnd w:id="16"/>
    <w:bookmarkStart w:id="17" w:name="datos-y-fuentes"/>
    <w:p>
      <w:pPr>
        <w:pStyle w:val="Heading2"/>
      </w:pPr>
      <w:r>
        <w:t xml:space="preserve">2 Datos y Fuentes</w:t>
      </w:r>
    </w:p>
    <w:p>
      <w:pPr>
        <w:pStyle w:val="FirstParagraph"/>
      </w:pPr>
      <w:r>
        <w:t xml:space="preserve">Variables del IDH oficial extraídas del</w:t>
      </w:r>
      <w:r>
        <w:t xml:space="preserve"> </w:t>
      </w:r>
      <w:r>
        <w:rPr>
          <w:b/>
          <w:bCs/>
        </w:rPr>
        <w:t xml:space="preserve">PNUD</w:t>
      </w:r>
      <w:r>
        <w:t xml:space="preserve"> </w:t>
      </w:r>
      <w:r>
        <w:t xml:space="preserve">Programa de las Naciones Unidas para el Desarrollo (2024)</w:t>
      </w:r>
      <w:r>
        <w:t xml:space="preserve">. La</w:t>
      </w:r>
      <w:r>
        <w:t xml:space="preserve"> </w:t>
      </w:r>
      <w:r>
        <w:rPr>
          <w:b/>
          <w:bCs/>
        </w:rPr>
        <w:t xml:space="preserve">Tasa de Desempleo</w:t>
      </w:r>
      <w:r>
        <w:t xml:space="preserve"> </w:t>
      </w:r>
      <w:r>
        <w:t xml:space="preserve">provino del</w:t>
      </w:r>
      <w:r>
        <w:t xml:space="preserve"> </w:t>
      </w:r>
      <w:r>
        <w:rPr>
          <w:b/>
          <w:bCs/>
        </w:rPr>
        <w:t xml:space="preserve">Banco Mundial/OIT</w:t>
      </w:r>
      <w:r>
        <w:t xml:space="preserve"> </w:t>
      </w:r>
      <w:r>
        <w:t xml:space="preserve">World Bank (2020)</w:t>
      </w:r>
      <w:r>
        <w:t xml:space="preserve">, capturando choques estructurales como la recesión petrolera (2016) y el COVID-19 (2020).</w:t>
      </w:r>
    </w:p>
    <w:bookmarkEnd w:id="17"/>
    <w:bookmarkStart w:id="20" w:name="metodología-de-cálculo"/>
    <w:p>
      <w:pPr>
        <w:pStyle w:val="Heading2"/>
      </w:pPr>
      <w:r>
        <w:t xml:space="preserve">3 Metodología de Cálculo</w:t>
      </w:r>
    </w:p>
    <w:p>
      <w:pPr>
        <w:pStyle w:val="FirstParagraph"/>
      </w:pPr>
      <w:r>
        <w:t xml:space="preserve">La construcción del índice sigue los criterios de normalización del PNUD</w:t>
      </w:r>
      <w:r>
        <w:t xml:space="preserve"> </w:t>
      </w:r>
      <w:r>
        <w:t xml:space="preserve">Jahan (2016)</w:t>
      </w:r>
      <w:r>
        <w:t xml:space="preserve">, adaptados a la evaluación de privaciones conforme a los límites normativos establecidos en las metodologías oficiales</w:t>
      </w:r>
      <w:r>
        <w:t xml:space="preserve"> </w:t>
      </w:r>
      <w:r>
        <w:t xml:space="preserve">Programa de las Naciones Unidas para el Desarrollo y Universidad de Costa Rica (2020)</w:t>
      </w:r>
      <w:r>
        <w:t xml:space="preserve">. Al ser el desempleo una variable de privación (donde un mayor valor indica menor bienestar), se aplica una normalización inversa para obtener el</w:t>
      </w:r>
      <w:r>
        <w:t xml:space="preserve"> </w:t>
      </w:r>
      <w:r>
        <w:rPr>
          <w:b/>
          <w:bCs/>
        </w:rPr>
        <w:t xml:space="preserve">Índice de Empleo</w:t>
      </w:r>
      <w:r>
        <w:t xml:space="preserve"> </w:t>
      </w:r>
      <w:r>
        <w:t xml:space="preserve">(</w:t>
      </w:r>
      <m:oMath>
        <m:sSub>
          <m:e>
            <m:r>
              <m:t>I</m:t>
            </m:r>
          </m:e>
          <m:sub>
            <m:r>
              <m:t>E</m:t>
            </m:r>
            <m:r>
              <m:t>m</m:t>
            </m:r>
            <m:r>
              <m:t>p</m:t>
            </m:r>
            <m:r>
              <m:t>l</m:t>
            </m:r>
            <m:r>
              <m:t>e</m:t>
            </m:r>
            <m:r>
              <m:t>o</m:t>
            </m:r>
          </m:sub>
        </m:sSub>
      </m:oMath>
      <w:r>
        <w:t xml:space="preserve">), transformándolo en una métrica de logro positiva. Los umbrales normativos se fijan en un</w:t>
      </w:r>
      <w:r>
        <w:t xml:space="preserve"> </w:t>
      </w:r>
      <m:oMath>
        <m:r>
          <m:t>M</m:t>
        </m:r>
        <m:r>
          <m:t>a</m:t>
        </m:r>
        <m:r>
          <m:t>x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%</m:t>
        </m:r>
      </m:oMath>
      <w:r>
        <w:t xml:space="preserve"> </w:t>
      </w:r>
      <w:r>
        <w:t xml:space="preserve">(desastre de crisis severa) y un</w:t>
      </w:r>
      <w:r>
        <w:t xml:space="preserve"> </w:t>
      </w:r>
      <m:oMath>
        <m:r>
          <m:t>M</m:t>
        </m:r>
        <m:r>
          <m:t>i</m:t>
        </m:r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%</m:t>
        </m:r>
      </m:oMath>
      <w:r>
        <w:t xml:space="preserve"> </w:t>
      </w:r>
      <w:r>
        <w:t xml:space="preserve">(pleno empleo teórico):</w:t>
      </w:r>
    </w:p>
    <w:p>
      <w:pPr>
        <w:pStyle w:val="BodyText"/>
      </w:pPr>
      <w:bookmarkStart w:id="18" w:name="eq-1"/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  <m:r>
                <m:t>m</m:t>
              </m:r>
              <m:r>
                <m:t>p</m:t>
              </m:r>
              <m:r>
                <m:t>l</m:t>
              </m:r>
              <m:r>
                <m:t>e</m:t>
              </m:r>
              <m:r>
                <m:t>o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  <m:r>
                <m:t>a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t</m:t>
                  </m:r>
                </m:sub>
              </m:sSub>
            </m:num>
            <m:den>
              <m:r>
                <m:t>M</m:t>
              </m:r>
              <m:r>
                <m:t>a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M</m:t>
              </m:r>
              <m:r>
                <m:t>i</m:t>
              </m:r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p>
      <w:pPr>
        <w:pStyle w:val="FirstParagraph"/>
      </w:pPr>
      <w:r>
        <w:t xml:space="preserve">La agregación mediante media geométrica asigna una ponderación equiproporcional del</w:t>
      </w:r>
      <w:r>
        <w:t xml:space="preserve"> </w:t>
      </w:r>
      <m:oMath>
        <m:r>
          <m:t>25</m:t>
        </m:r>
        <m:r>
          <m:rPr>
            <m:sty m:val="p"/>
          </m:rPr>
          <m:t>%</m:t>
        </m:r>
      </m:oMath>
      <w:r>
        <w:t xml:space="preserve"> </w:t>
      </w:r>
      <w:r>
        <w:t xml:space="preserve">por dimensión, emulando la arquitectura de los índices multidimensionales del PNUD</w:t>
      </w:r>
      <w:r>
        <w:t xml:space="preserve"> </w:t>
      </w:r>
      <w:r>
        <w:t xml:space="preserve">Programa de las Naciones Unidas para el Desarrollo y Universidad de Costa Rica (2020)</w:t>
      </w:r>
      <w:r>
        <w:t xml:space="preserve">:</w:t>
      </w:r>
    </w:p>
    <w:p>
      <w:pPr>
        <w:pStyle w:val="BodyText"/>
      </w:pPr>
      <w:bookmarkStart w:id="19" w:name="eq-2"/>
      <m:oMathPara>
        <m:oMathParaPr>
          <m:jc m:val="center"/>
        </m:oMathParaPr>
        <m:oMath>
          <m:r>
            <m:t>I</m:t>
          </m:r>
          <m:r>
            <m:t>D</m:t>
          </m:r>
          <m:r>
            <m:t>H</m:t>
          </m:r>
          <m:sSub>
            <m:e>
              <m:r>
                <m:t>A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t>S</m:t>
                      </m:r>
                      <m:r>
                        <m:t>a</m:t>
                      </m:r>
                      <m:r>
                        <m:t>l</m:t>
                      </m:r>
                      <m:r>
                        <m:t>u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E</m:t>
                      </m:r>
                      <m:r>
                        <m:t>d</m:t>
                      </m:r>
                      <m:r>
                        <m:t>u</m:t>
                      </m:r>
                      <m:r>
                        <m:t>c</m:t>
                      </m:r>
                      <m:r>
                        <m:t>a</m:t>
                      </m:r>
                      <m:r>
                        <m:t>c</m:t>
                      </m:r>
                      <m:r>
                        <m:t>i</m:t>
                      </m:r>
                      <m:r>
                        <m:t>o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I</m:t>
                      </m:r>
                      <m:r>
                        <m:t>n</m:t>
                      </m:r>
                      <m:r>
                        <m:t>g</m:t>
                      </m:r>
                      <m:r>
                        <m:t>r</m:t>
                      </m:r>
                      <m:r>
                        <m:t>e</m:t>
                      </m:r>
                      <m:r>
                        <m:t>s</m:t>
                      </m:r>
                      <m:r>
                        <m:t>o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E</m:t>
                      </m:r>
                      <m:r>
                        <m:t>m</m:t>
                      </m:r>
                      <m:r>
                        <m:t>p</m:t>
                      </m:r>
                      <m:r>
                        <m:t>l</m:t>
                      </m:r>
                      <m:r>
                        <m:t>e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t</m:t>
                      </m:r>
                    </m:sub>
                  </m:sSub>
                </m:e>
              </m:d>
            </m:e>
            <m:su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rPr>
          <w:b/>
          <w:bCs/>
        </w:rPr>
        <w:t xml:space="preserve">Limitación:</w:t>
      </w:r>
      <w:r>
        <w:t xml:space="preserve"> </w:t>
      </w:r>
      <w:r>
        <w:t xml:space="preserve">Ponderar el empleo con un</w:t>
      </w:r>
      <w:r>
        <w:t xml:space="preserve"> </w:t>
      </w:r>
      <m:oMath>
        <m:r>
          <m:t>25</m:t>
        </m:r>
        <m:r>
          <m:rPr>
            <m:sty m:val="p"/>
          </m:rPr>
          <m:t>%</m:t>
        </m:r>
      </m:oMath>
      <w:r>
        <w:t xml:space="preserve"> </w:t>
      </w:r>
      <w:r>
        <w:t xml:space="preserve">altera la estructura tradicional tripartita del IDH y podría sobreestimar los efectos de los ciclos económicos a corto plazo.</w:t>
      </w:r>
    </w:p>
    <w:bookmarkEnd w:id="20"/>
    <w:bookmarkStart w:id="26" w:name="resultados-e-interpretación"/>
    <w:p>
      <w:pPr>
        <w:pStyle w:val="Heading2"/>
      </w:pPr>
      <w:r>
        <w:t xml:space="preserve">4 Resultados e Interpretación</w:t>
      </w:r>
    </w:p>
    <w:p>
      <w:pPr>
        <w:pStyle w:val="FirstParagraph"/>
      </w:pPr>
      <w:r>
        <w:t xml:space="preserve">La integración de la dimensión de estabilidad laboral revela divergencias críticas frente al índice tradicional, evidenciadas en los datos de la</w:t>
      </w:r>
      <w:r>
        <w:t xml:space="preserve"> </w:t>
      </w:r>
      <w:hyperlink w:anchor="tbl-comparativa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y la trayectoria de la</w:t>
      </w:r>
      <w:r>
        <w:t xml:space="preserve"> </w:t>
      </w:r>
      <w:hyperlink w:anchor="fig-trayectoria">
        <w:r>
          <w:rPr>
            <w:rStyle w:val="Hyperlink"/>
          </w:rPr>
          <w:t xml:space="preserve">Figure 1</w:t>
        </w:r>
      </w:hyperlink>
      <w:r>
        <w:t xml:space="preserve">. Durante la recesión de 2016, mientras el IDH Oficial experimentó una subida inercial (</w:t>
      </w:r>
      <m:oMath>
        <m:r>
          <m:t>0.760</m:t>
        </m:r>
      </m:oMath>
      <w:r>
        <w:t xml:space="preserve">), el IDHA se contrajo a</w:t>
      </w:r>
      <w:r>
        <w:t xml:space="preserve"> </w:t>
      </w:r>
      <m:oMath>
        <m:r>
          <m:t>0.742</m:t>
        </m:r>
      </m:oMath>
      <w:r>
        <w:t xml:space="preserve">, desvelando la insensibilidad de la métrica tradicional ante despidos masivos. Este divorcio métrico se agudizó en la crisis sanitaria de 2020 con un desplome del</w:t>
      </w:r>
      <w:r>
        <w:t xml:space="preserve"> </w:t>
      </w:r>
      <m:oMath>
        <m:r>
          <m:t>5.7</m:t>
        </m:r>
        <m:r>
          <m:rPr>
            <m:sty m:val="p"/>
          </m:rPr>
          <m:t>%</m:t>
        </m:r>
      </m:oMath>
      <w:r>
        <w:t xml:space="preserve"> </w:t>
      </w:r>
      <w:r>
        <w:t xml:space="preserve">en el IDHA (</w:t>
      </w:r>
      <m:oMath>
        <m:r>
          <m:t>0.705</m:t>
        </m:r>
      </m:oMath>
      <w:r>
        <w:t xml:space="preserve">), lo que prueba que las variables clásicas ocultaron la pérdida real de bienestar en los hogares. Al final del periodo, en 2022, ambas curvas convergen aritméticamente (</w:t>
      </w:r>
      <m:oMath>
        <m:r>
          <m:t>0.761</m:t>
        </m:r>
      </m:oMath>
      <w:r>
        <w:t xml:space="preserve"> </w:t>
      </w:r>
      <w:r>
        <w:t xml:space="preserve">vs</w:t>
      </w:r>
      <w:r>
        <w:t xml:space="preserve"> </w:t>
      </w:r>
      <m:oMath>
        <m:r>
          <m:t>0.765</m:t>
        </m:r>
      </m:oMath>
      <w:r>
        <w:t xml:space="preserve">), una paridad numérica engañosa que invisibiliza el subempleo crónico y la precarización estructural de la fuerza laboral, mostrando que el IDHA responde de manera altamente elástica a las perturbaciones reales del mercado laboral en contraste con la rigidez inercial del IDH oficial.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tbl-comparativ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Tabla 1: Trayectoria comparativa del IDH Oficial frente al Índice Ampliado en Ecuador.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90"/>
              <w:gridCol w:w="990"/>
              <w:gridCol w:w="990"/>
              <w:gridCol w:w="990"/>
              <w:gridCol w:w="990"/>
              <w:gridCol w:w="990"/>
              <w:gridCol w:w="990"/>
              <w:gridCol w:w="99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Año (</w:t>
                  </w:r>
                  <m:oMath>
                    <m:r>
                      <m:t>t</m:t>
                    </m:r>
                  </m:oMath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Salud (</w:t>
                  </w: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S</m:t>
                        </m:r>
                        <m:r>
                          <m:t>a</m:t>
                        </m:r>
                        <m:r>
                          <m:t>l</m:t>
                        </m:r>
                        <m:r>
                          <m:t>u</m:t>
                        </m:r>
                        <m:r>
                          <m:t>d</m:t>
                        </m:r>
                      </m:sub>
                    </m:sSub>
                  </m:oMath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Edu. (</w:t>
                  </w: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E</m:t>
                        </m:r>
                        <m:r>
                          <m:t>d</m:t>
                        </m:r>
                        <m:r>
                          <m:t>u</m:t>
                        </m:r>
                      </m:sub>
                    </m:sSub>
                  </m:oMath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Ingreso (</w:t>
                  </w: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I</m:t>
                        </m:r>
                        <m:r>
                          <m:t>n</m:t>
                        </m:r>
                        <m:r>
                          <m:t>g</m:t>
                        </m:r>
                      </m:sub>
                    </m:sSub>
                  </m:oMath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Desemp. (</w:t>
                  </w:r>
                  <m:oMath>
                    <m:sSub>
                      <m:e>
                        <m:r>
                          <m:t>u</m:t>
                        </m:r>
                      </m:e>
                      <m:sub>
                        <m:r>
                          <m:t>t</m:t>
                        </m:r>
                      </m:sub>
                    </m:sSub>
                  </m:oMath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Empleo (</w:t>
                  </w: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E</m:t>
                        </m:r>
                        <m:r>
                          <m:t>m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IDH Ofic.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IDHA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rPr>
                      <w:b/>
                      <w:bCs/>
                    </w:rPr>
                    <w:t xml:space="preserve">2013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0.869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0.690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0.704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3.08%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0.795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0.750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rPr>
                      <w:b/>
                      <w:bCs/>
                    </w:rPr>
                    <w:t xml:space="preserve">0.760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rPr>
                      <w:b/>
                      <w:bCs/>
                    </w:rPr>
                    <w:t xml:space="preserve">2014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0.874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0.695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0.709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3.48%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0.768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0.755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rPr>
                      <w:b/>
                      <w:bCs/>
                    </w:rPr>
                    <w:t xml:space="preserve">0.758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rPr>
                      <w:b/>
                      <w:bCs/>
                    </w:rPr>
                    <w:t xml:space="preserve">2015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0.877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0.700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0.709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3.62%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0.759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0.758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rPr>
                      <w:b/>
                      <w:bCs/>
                    </w:rPr>
                    <w:t xml:space="preserve">0.758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rPr>
                      <w:b/>
                      <w:bCs/>
                    </w:rPr>
                    <w:t xml:space="preserve">2016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0.878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0.705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0.709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4.60%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0.693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0.760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rPr>
                      <w:b/>
                      <w:bCs/>
                    </w:rPr>
                    <w:t xml:space="preserve">0.742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rPr>
                      <w:b/>
                      <w:bCs/>
                    </w:rPr>
                    <w:t xml:space="preserve">2017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0.880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0.708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0.710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3.84%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0.744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0.762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rPr>
                      <w:b/>
                      <w:bCs/>
                    </w:rPr>
                    <w:t xml:space="preserve">0.757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rPr>
                      <w:b/>
                      <w:bCs/>
                    </w:rPr>
                    <w:t xml:space="preserve">2018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0.882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0.710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0.709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3.53%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0.765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0.763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rPr>
                      <w:b/>
                      <w:bCs/>
                    </w:rPr>
                    <w:t xml:space="preserve">0.763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rPr>
                      <w:b/>
                      <w:bCs/>
                    </w:rPr>
                    <w:t xml:space="preserve">2019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0.882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0.713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0.712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3.81%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0.746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0.765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rPr>
                      <w:b/>
                      <w:bCs/>
                    </w:rPr>
                    <w:t xml:space="preserve">0.760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rPr>
                      <w:b/>
                      <w:bCs/>
                    </w:rPr>
                    <w:t xml:space="preserve">2020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0.800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0.712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0.735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6.13%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0.591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0.748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rPr>
                      <w:b/>
                      <w:bCs/>
                    </w:rPr>
                    <w:t xml:space="preserve">0.705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rPr>
                      <w:b/>
                      <w:bCs/>
                    </w:rPr>
                    <w:t xml:space="preserve">2021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0.812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0.715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0.735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4.55%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0.697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0.753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rPr>
                      <w:b/>
                      <w:bCs/>
                    </w:rPr>
                    <w:t xml:space="preserve">0.738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rPr>
                      <w:b/>
                      <w:bCs/>
                    </w:rPr>
                    <w:t xml:space="preserve">2022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0.871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0.720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0.714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3.76%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0.749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0.765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rPr>
                      <w:b/>
                      <w:bCs/>
                    </w:rPr>
                    <w:t xml:space="preserve">0.761</w:t>
                  </w:r>
                </w:p>
              </w:tc>
            </w:tr>
          </w:tbl>
          <w:bookmarkEnd w:id="21"/>
          <w:p/>
        </w:tc>
      </w:tr>
    </w:tbl>
    <w:p>
      <w:pPr>
        <w:pStyle w:val="BodyText"/>
      </w:pPr>
      <w:r>
        <w:t xml:space="preserve"> </w:t>
      </w:r>
      <w:r>
        <w:t xml:space="preserve">Elaboración propia con datos del PNUD (2024) y Banco Mundial/OIT (2022).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trayectoria"/>
          <w:p>
            <w:pPr>
              <w:pStyle w:val="Compact"/>
              <w:jc w:val="center"/>
            </w:pPr>
            <w:r>
              <w:drawing>
                <wp:inline>
                  <wp:extent cx="3230880" cy="1938528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assets/hdi_comparison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0880" cy="19385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1: Trayectoria histórica del IDH Oficial vs. Índice Ampliado (IDHA) en Ecuador (2013-2022)</w:t>
            </w:r>
          </w:p>
          <w:bookmarkEnd w:id="25"/>
        </w:tc>
      </w:tr>
    </w:tbl>
    <w:p>
      <w:pPr>
        <w:pStyle w:val="BodyText"/>
      </w:pPr>
      <w:r>
        <w:t xml:space="preserve"> </w:t>
      </w:r>
      <w:r>
        <w:t xml:space="preserve">Elaboración propia con datos del PNUD (2024) y Banco Mundial/OIT (2022) de los años 2013 a 2022. El eje de las ordenadas (Y) representa el valor del índice en una escala normalizada de 0 a 1, donde valores superiores indican un mayor nivel de bienestar multidimensional.</w:t>
      </w:r>
    </w:p>
    <w:bookmarkEnd w:id="26"/>
    <w:bookmarkStart w:id="27" w:name="política-pública-recomendada"/>
    <w:p>
      <w:pPr>
        <w:pStyle w:val="Heading2"/>
      </w:pPr>
      <w:r>
        <w:t xml:space="preserve">5 Política Pública Recomendada</w:t>
      </w:r>
    </w:p>
    <w:p>
      <w:pPr>
        <w:pStyle w:val="FirstParagraph"/>
      </w:pPr>
      <w:r>
        <w:t xml:space="preserve">Para salvaguardar las libertades evaluadas</w:t>
      </w:r>
      <w:r>
        <w:t xml:space="preserve"> </w:t>
      </w:r>
      <w:r>
        <w:t xml:space="preserve">Sen (1999)</w:t>
      </w:r>
      <w:r>
        <w:t xml:space="preserve">, urgen tres intervenciones estructurales: 1) Rediseñar el Seguro de Desempleo (IESS) como transferencia activa, condicionada a programas de reconversión laboral (SECAP); 2) Subsidios a nómina para primer empleo joven, supeditados a retención mínima de 24 meses para mitigar la cicatrización laboral</w:t>
      </w:r>
      <w:r>
        <w:t xml:space="preserve"> </w:t>
      </w:r>
      <w:r>
        <w:t xml:space="preserve">International Labour Organization (2022)</w:t>
      </w:r>
      <w:r>
        <w:t xml:space="preserve">; 3) Estabilizadores automáticos mediante financiamiento y alivio fiscal para Pymes ante recesiones, condicionados a no ejecutar despidos, bloqueando la migración compulsiva hacia la supervivencia informal</w:t>
      </w:r>
      <w:r>
        <w:t xml:space="preserve"> </w:t>
      </w:r>
      <w:r>
        <w:t xml:space="preserve">Castillo &amp; Cueva (2015)</w:t>
      </w:r>
      <w:r>
        <w:t xml:space="preserve">.</w:t>
      </w:r>
    </w:p>
    <w:bookmarkEnd w:id="27"/>
    <w:bookmarkStart w:id="53" w:name="bibliografía"/>
    <w:p>
      <w:pPr>
        <w:pStyle w:val="Heading2"/>
      </w:pPr>
      <w:r>
        <w:t xml:space="preserve">6 Bibliografía</w:t>
      </w:r>
    </w:p>
    <w:bookmarkStart w:id="52" w:name="refs"/>
    <w:bookmarkStart w:id="29" w:name="ref-castillo2015determinantes"/>
    <w:p>
      <w:pPr>
        <w:pStyle w:val="Bibliography"/>
      </w:pPr>
      <w:r>
        <w:t xml:space="preserve">Castillo, C., &amp; Cueva, P. (2015). Determinantes del desempleo y subempleo en el ecuador: Un an</w:t>
      </w:r>
      <w:r>
        <w:t xml:space="preserve">á</w:t>
      </w:r>
      <w:r>
        <w:t xml:space="preserve">lisis microeconom</w:t>
      </w:r>
      <w:r>
        <w:t xml:space="preserve">í</w:t>
      </w:r>
      <w:r>
        <w:t xml:space="preserve">trico.</w:t>
      </w:r>
      <w:r>
        <w:t xml:space="preserve"> </w:t>
      </w:r>
      <w:r>
        <w:rPr>
          <w:i/>
          <w:iCs/>
        </w:rPr>
        <w:t xml:space="preserve">Anal</w:t>
      </w:r>
      <w:r>
        <w:rPr>
          <w:i/>
          <w:iCs/>
        </w:rPr>
        <w:t xml:space="preserve">í</w:t>
      </w:r>
      <w:r>
        <w:rPr>
          <w:i/>
          <w:iCs/>
        </w:rPr>
        <w:t xml:space="preserve">tika, Revista de An</w:t>
      </w:r>
      <w:r>
        <w:rPr>
          <w:i/>
          <w:iCs/>
        </w:rPr>
        <w:t xml:space="preserve">á</w:t>
      </w:r>
      <w:r>
        <w:rPr>
          <w:i/>
          <w:iCs/>
        </w:rPr>
        <w:t xml:space="preserve">lisis Estad</w:t>
      </w:r>
      <w:r>
        <w:rPr>
          <w:i/>
          <w:iCs/>
        </w:rPr>
        <w:t xml:space="preserve">í</w:t>
      </w:r>
      <w:r>
        <w:rPr>
          <w:i/>
          <w:iCs/>
        </w:rPr>
        <w:t xml:space="preserve">stico y Sensor</w:t>
      </w:r>
      <w:r>
        <w:t xml:space="preserve">,</w:t>
      </w:r>
      <w:r>
        <w:t xml:space="preserve"> </w:t>
      </w:r>
      <w:r>
        <w:rPr>
          <w:i/>
          <w:iCs/>
        </w:rPr>
        <w:t xml:space="preserve">9</w:t>
      </w:r>
      <w:r>
        <w:t xml:space="preserve">(1), 23–48.</w:t>
      </w:r>
      <w:r>
        <w:t xml:space="preserve"> </w:t>
      </w:r>
      <w:hyperlink r:id="rId28">
        <w:r>
          <w:rPr>
            <w:rStyle w:val="Hyperlink"/>
          </w:rPr>
          <w:t xml:space="preserve">https://www.ecuadorendifras.gob.ec/documentos/web-inec/Bibliotecas/Analitika/analitika_9/Analitika_9_Articulo_2.pdf</w:t>
        </w:r>
      </w:hyperlink>
    </w:p>
    <w:bookmarkEnd w:id="29"/>
    <w:bookmarkStart w:id="31" w:name="ref-clark2003unemployment"/>
    <w:p>
      <w:pPr>
        <w:pStyle w:val="Bibliography"/>
      </w:pPr>
      <w:r>
        <w:t xml:space="preserve">Clark, A. E. (2003). Unemployment as a social norm: Psychological evidence from panel data.</w:t>
      </w:r>
      <w:r>
        <w:t xml:space="preserve"> </w:t>
      </w:r>
      <w:r>
        <w:rPr>
          <w:i/>
          <w:iCs/>
        </w:rPr>
        <w:t xml:space="preserve">Journal of Labor Economics</w:t>
      </w:r>
      <w:r>
        <w:t xml:space="preserve">,</w:t>
      </w:r>
      <w:r>
        <w:t xml:space="preserve"> </w:t>
      </w:r>
      <w:r>
        <w:rPr>
          <w:i/>
          <w:iCs/>
        </w:rPr>
        <w:t xml:space="preserve">21</w:t>
      </w:r>
      <w:r>
        <w:t xml:space="preserve">(2), 323–351.</w:t>
      </w:r>
      <w:r>
        <w:t xml:space="preserve"> </w:t>
      </w:r>
      <w:hyperlink r:id="rId30">
        <w:r>
          <w:rPr>
            <w:rStyle w:val="Hyperlink"/>
          </w:rPr>
          <w:t xml:space="preserve">https://doi.org/10.1086/345560</w:t>
        </w:r>
      </w:hyperlink>
    </w:p>
    <w:bookmarkEnd w:id="31"/>
    <w:bookmarkStart w:id="33" w:name="ref-esteves2020impacto"/>
    <w:p>
      <w:pPr>
        <w:pStyle w:val="Bibliography"/>
      </w:pPr>
      <w:r>
        <w:t xml:space="preserve">Esteves, A. (2020). El impacto del COVID-19 en el mercado de trabajo de ecuador.</w:t>
      </w:r>
      <w:r>
        <w:t xml:space="preserve"> </w:t>
      </w:r>
      <w:r>
        <w:rPr>
          <w:i/>
          <w:iCs/>
        </w:rPr>
        <w:t xml:space="preserve">Mundos Plurales: Revista Latinoamericana de Pol</w:t>
      </w:r>
      <w:r>
        <w:rPr>
          <w:i/>
          <w:iCs/>
        </w:rPr>
        <w:t xml:space="preserve">í</w:t>
      </w:r>
      <w:r>
        <w:rPr>
          <w:i/>
          <w:iCs/>
        </w:rPr>
        <w:t xml:space="preserve">ticas y Acci</w:t>
      </w:r>
      <w:r>
        <w:rPr>
          <w:i/>
          <w:iCs/>
        </w:rPr>
        <w:t xml:space="preserve">ó</w:t>
      </w:r>
      <w:r>
        <w:rPr>
          <w:i/>
          <w:iCs/>
        </w:rPr>
        <w:t xml:space="preserve">n P</w:t>
      </w:r>
      <w:r>
        <w:rPr>
          <w:i/>
          <w:iCs/>
        </w:rPr>
        <w:t xml:space="preserve">ú</w:t>
      </w:r>
      <w:r>
        <w:rPr>
          <w:i/>
          <w:iCs/>
        </w:rPr>
        <w:t xml:space="preserve">blica</w:t>
      </w:r>
      <w:r>
        <w:t xml:space="preserve">,</w:t>
      </w:r>
      <w:r>
        <w:t xml:space="preserve"> </w:t>
      </w:r>
      <w:r>
        <w:rPr>
          <w:i/>
          <w:iCs/>
        </w:rPr>
        <w:t xml:space="preserve">7</w:t>
      </w:r>
      <w:r>
        <w:t xml:space="preserve">(2), 35–41.</w:t>
      </w:r>
      <w:r>
        <w:t xml:space="preserve"> </w:t>
      </w:r>
      <w:hyperlink r:id="rId32">
        <w:r>
          <w:rPr>
            <w:rStyle w:val="Hyperlink"/>
          </w:rPr>
          <w:t xml:space="preserve">https://doi.org/10.17141/mundosplurales.2.2020.4875</w:t>
        </w:r>
      </w:hyperlink>
    </w:p>
    <w:bookmarkEnd w:id="33"/>
    <w:bookmarkStart w:id="35" w:name="ref-ilo2022global"/>
    <w:p>
      <w:pPr>
        <w:pStyle w:val="Bibliography"/>
      </w:pPr>
      <w:r>
        <w:t xml:space="preserve">International Labour Organization. (2022).</w:t>
      </w:r>
      <w:r>
        <w:t xml:space="preserve"> </w:t>
      </w:r>
      <w:r>
        <w:rPr>
          <w:i/>
          <w:iCs/>
        </w:rPr>
        <w:t xml:space="preserve">Global employment trends for youth 2022: Investing in transforming futures for young people</w:t>
      </w:r>
      <w:r>
        <w:t xml:space="preserve">. ILO; ILO.</w:t>
      </w:r>
      <w:r>
        <w:t xml:space="preserve"> </w:t>
      </w:r>
      <w:hyperlink r:id="rId34">
        <w:r>
          <w:rPr>
            <w:rStyle w:val="Hyperlink"/>
          </w:rPr>
          <w:t xml:space="preserve">https://www.ilo.org/global/publications/books/WCMS_853377/lang--es/index.htm</w:t>
        </w:r>
      </w:hyperlink>
    </w:p>
    <w:bookmarkEnd w:id="35"/>
    <w:bookmarkStart w:id="37" w:name="ref-jahan2016measuring"/>
    <w:p>
      <w:pPr>
        <w:pStyle w:val="Bibliography"/>
      </w:pPr>
      <w:r>
        <w:t xml:space="preserve">Jahan, S. (2016). Measuring human development in the 21st century: The HDI and beyond.</w:t>
      </w:r>
      <w:r>
        <w:t xml:space="preserve"> </w:t>
      </w:r>
      <w:r>
        <w:rPr>
          <w:i/>
          <w:iCs/>
        </w:rPr>
        <w:t xml:space="preserve">Human Development Report Office Background Paper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https://hdr.undp.org/content/measuring-human-development-21st-century</w:t>
        </w:r>
      </w:hyperlink>
    </w:p>
    <w:bookmarkEnd w:id="37"/>
    <w:bookmarkStart w:id="39" w:name="ref-undp1990hdr"/>
    <w:p>
      <w:pPr>
        <w:pStyle w:val="Bibliography"/>
      </w:pPr>
      <w:r>
        <w:t xml:space="preserve">Programa de las Naciones Unidas para el Desarrollo. (1990).</w:t>
      </w:r>
      <w:r>
        <w:t xml:space="preserve"> </w:t>
      </w:r>
      <w:r>
        <w:rPr>
          <w:i/>
          <w:iCs/>
        </w:rPr>
        <w:t xml:space="preserve">Human development report 1990: Concept and measurement of human development</w:t>
      </w:r>
      <w:r>
        <w:t xml:space="preserve">. PNUD; Oxford University Press.</w:t>
      </w:r>
      <w:r>
        <w:t xml:space="preserve"> </w:t>
      </w:r>
      <w:hyperlink r:id="rId38">
        <w:r>
          <w:rPr>
            <w:rStyle w:val="Hyperlink"/>
          </w:rPr>
          <w:t xml:space="preserve">https://hdr.undp.org/content/human-development-report-1990</w:t>
        </w:r>
      </w:hyperlink>
    </w:p>
    <w:bookmarkEnd w:id="39"/>
    <w:bookmarkStart w:id="41" w:name="ref-undp2015work"/>
    <w:p>
      <w:pPr>
        <w:pStyle w:val="Bibliography"/>
      </w:pPr>
      <w:r>
        <w:t xml:space="preserve">Programa de las Naciones Unidas para el Desarrollo. (2015).</w:t>
      </w:r>
      <w:r>
        <w:t xml:space="preserve"> </w:t>
      </w:r>
      <w:r>
        <w:rPr>
          <w:i/>
          <w:iCs/>
        </w:rPr>
        <w:t xml:space="preserve">Human development report 2015: Work for human development</w:t>
      </w:r>
      <w:r>
        <w:t xml:space="preserve">. PNUD; PNUD.</w:t>
      </w:r>
      <w:r>
        <w:t xml:space="preserve"> </w:t>
      </w:r>
      <w:hyperlink r:id="rId40">
        <w:r>
          <w:rPr>
            <w:rStyle w:val="Hyperlink"/>
          </w:rPr>
          <w:t xml:space="preserve">https://hdr.undp.org/content/human-development-report-2015</w:t>
        </w:r>
      </w:hyperlink>
    </w:p>
    <w:bookmarkEnd w:id="41"/>
    <w:bookmarkStart w:id="43" w:name="ref-undp2024hdr"/>
    <w:p>
      <w:pPr>
        <w:pStyle w:val="Bibliography"/>
      </w:pPr>
      <w:r>
        <w:t xml:space="preserve">Programa de las Naciones Unidas para el Desarrollo. (2024).</w:t>
      </w:r>
      <w:r>
        <w:t xml:space="preserve"> </w:t>
      </w:r>
      <w:r>
        <w:rPr>
          <w:i/>
          <w:iCs/>
        </w:rPr>
        <w:t xml:space="preserve">Human development report 2023-2024: Breaking the gridlock: Reimagining cooperation in a polarized world</w:t>
      </w:r>
      <w:r>
        <w:t xml:space="preserve">. PNUD; PNUD.</w:t>
      </w:r>
      <w:r>
        <w:t xml:space="preserve"> </w:t>
      </w:r>
      <w:hyperlink r:id="rId42">
        <w:r>
          <w:rPr>
            <w:rStyle w:val="Hyperlink"/>
          </w:rPr>
          <w:t xml:space="preserve">https://hdr.undp.org/content/human-development-report-2023-24</w:t>
        </w:r>
      </w:hyperlink>
    </w:p>
    <w:bookmarkEnd w:id="43"/>
    <w:bookmarkStart w:id="45" w:name="ref-undp2020costarica"/>
    <w:p>
      <w:pPr>
        <w:pStyle w:val="Bibliography"/>
      </w:pPr>
      <w:r>
        <w:t xml:space="preserve">Programa de las Naciones Unidas para el Desarrollo y Universidad de Costa Rica. (2020).</w:t>
      </w:r>
      <w:r>
        <w:t xml:space="preserve"> </w:t>
      </w:r>
      <w:r>
        <w:rPr>
          <w:i/>
          <w:iCs/>
        </w:rPr>
        <w:t xml:space="preserve">Notas t</w:t>
      </w:r>
      <w:r>
        <w:rPr>
          <w:i/>
          <w:iCs/>
        </w:rPr>
        <w:t xml:space="preserve">é</w:t>
      </w:r>
      <w:r>
        <w:rPr>
          <w:i/>
          <w:iCs/>
        </w:rPr>
        <w:t xml:space="preserve">cnicas: C</w:t>
      </w:r>
      <w:r>
        <w:rPr>
          <w:i/>
          <w:iCs/>
        </w:rPr>
        <w:t xml:space="preserve">á</w:t>
      </w:r>
      <w:r>
        <w:rPr>
          <w:i/>
          <w:iCs/>
        </w:rPr>
        <w:t xml:space="preserve">lculo de los</w:t>
      </w:r>
      <w:r>
        <w:rPr>
          <w:i/>
          <w:iCs/>
        </w:rPr>
        <w:t xml:space="preserve"> </w:t>
      </w:r>
      <w:r>
        <w:rPr>
          <w:i/>
          <w:iCs/>
        </w:rPr>
        <w:t xml:space="preserve">Í</w:t>
      </w:r>
      <w:r>
        <w:rPr>
          <w:i/>
          <w:iCs/>
        </w:rPr>
        <w:t xml:space="preserve">ndices de desarrollo humano - presentaci</w:t>
      </w:r>
      <w:r>
        <w:rPr>
          <w:i/>
          <w:iCs/>
        </w:rPr>
        <w:t xml:space="preserve">ó</w:t>
      </w:r>
      <w:r>
        <w:rPr>
          <w:i/>
          <w:iCs/>
        </w:rPr>
        <w:t xml:space="preserve">n gr</w:t>
      </w:r>
      <w:r>
        <w:rPr>
          <w:i/>
          <w:iCs/>
        </w:rPr>
        <w:t xml:space="preserve">á</w:t>
      </w:r>
      <w:r>
        <w:rPr>
          <w:i/>
          <w:iCs/>
        </w:rPr>
        <w:t xml:space="preserve">fica</w:t>
      </w:r>
      <w:r>
        <w:t xml:space="preserve">. PNUD Costa Rica y Escuela de Estad</w:t>
      </w:r>
      <w:r>
        <w:t xml:space="preserve">ı́</w:t>
      </w:r>
      <w:r>
        <w:t xml:space="preserve">stica de la Universidad de Costa Rica.</w:t>
      </w:r>
      <w:r>
        <w:t xml:space="preserve"> </w:t>
      </w:r>
      <w:hyperlink r:id="rId44">
        <w:r>
          <w:rPr>
            <w:rStyle w:val="Hyperlink"/>
          </w:rPr>
          <w:t xml:space="preserve">https://www.cr.undp.org/content/costarica/es/home/library/human_development/notas-tecnicas--calculo-de-los-indices-de-desarrollo-humano---p.html</w:t>
        </w:r>
      </w:hyperlink>
    </w:p>
    <w:bookmarkEnd w:id="45"/>
    <w:bookmarkStart w:id="47" w:name="ref-sen1999development"/>
    <w:p>
      <w:pPr>
        <w:pStyle w:val="Bibliography"/>
      </w:pPr>
      <w:r>
        <w:t xml:space="preserve">Sen, A. (1999).</w:t>
      </w:r>
      <w:r>
        <w:t xml:space="preserve"> </w:t>
      </w:r>
      <w:r>
        <w:rPr>
          <w:i/>
          <w:iCs/>
        </w:rPr>
        <w:t xml:space="preserve">Development as freedom</w:t>
      </w:r>
      <w:r>
        <w:t xml:space="preserve">. Oxford University Press.</w:t>
      </w:r>
      <w:r>
        <w:t xml:space="preserve"> </w:t>
      </w:r>
      <w:hyperlink r:id="rId46">
        <w:r>
          <w:rPr>
            <w:rStyle w:val="Hyperlink"/>
          </w:rPr>
          <w:t xml:space="preserve">https://global.oup.com/academic/product/development-as-freedom-9780198284758</w:t>
        </w:r>
      </w:hyperlink>
    </w:p>
    <w:bookmarkEnd w:id="47"/>
    <w:bookmarkStart w:id="49" w:name="ref-stiglitz2009report"/>
    <w:p>
      <w:pPr>
        <w:pStyle w:val="Bibliography"/>
      </w:pPr>
      <w:r>
        <w:t xml:space="preserve">Stiglitz, J. E., Sen, A., &amp; Fitoussi, J.-P. (2009).</w:t>
      </w:r>
      <w:r>
        <w:t xml:space="preserve"> </w:t>
      </w:r>
      <w:r>
        <w:rPr>
          <w:i/>
          <w:iCs/>
        </w:rPr>
        <w:t xml:space="preserve">Report by the commission on the measurement of economic performance and social progress</w:t>
      </w:r>
      <w:r>
        <w:t xml:space="preserve">.</w:t>
      </w:r>
      <w:r>
        <w:t xml:space="preserve"> </w:t>
      </w:r>
      <w:hyperlink r:id="rId48">
        <w:r>
          <w:rPr>
            <w:rStyle w:val="Hyperlink"/>
          </w:rPr>
          <w:t xml:space="preserve">https://ec.europa.eu/eurostat/documents/8131721/8131772/Stiglitz-Sen-Fitoussi-Report.pdf</w:t>
        </w:r>
      </w:hyperlink>
    </w:p>
    <w:bookmarkEnd w:id="49"/>
    <w:bookmarkStart w:id="51" w:name="ref-worldbank2020ecuador"/>
    <w:p>
      <w:pPr>
        <w:pStyle w:val="Bibliography"/>
      </w:pPr>
      <w:r>
        <w:t xml:space="preserve">World Bank. (2020).</w:t>
      </w:r>
      <w:r>
        <w:t xml:space="preserve"> </w:t>
      </w:r>
      <w:r>
        <w:rPr>
          <w:i/>
          <w:iCs/>
        </w:rPr>
        <w:t xml:space="preserve">Ecuador: COVID-19 and the labor market impact assessment</w:t>
      </w:r>
      <w:r>
        <w:t xml:space="preserve"> </w:t>
      </w:r>
      <w:r>
        <w:t xml:space="preserve">(Working Paper Report No. 149659). World Bank Group.</w:t>
      </w:r>
      <w:r>
        <w:t xml:space="preserve"> </w:t>
      </w:r>
      <w:hyperlink r:id="rId50">
        <w:r>
          <w:rPr>
            <w:rStyle w:val="Hyperlink"/>
          </w:rPr>
          <w:t xml:space="preserve">https://documents.worldbank.org/en/publication/documents-reports/documentdetail/367371592554743209/ecuador-covid-19-and-the-labor-market-impact-assessment</w:t>
        </w:r>
      </w:hyperlink>
    </w:p>
    <w:bookmarkEnd w:id="51"/>
    <w:bookmarkEnd w:id="52"/>
    <w:bookmarkEnd w:id="53"/>
    <w:bookmarkStart w:id="56" w:name="anexos"/>
    <w:p>
      <w:pPr>
        <w:pStyle w:val="Heading2"/>
      </w:pPr>
      <w:r>
        <w:t xml:space="preserve">7 Anexos</w:t>
      </w:r>
    </w:p>
    <w:bookmarkStart w:id="55" w:name="enlace-de-la-carpeta-digital-compartida"/>
    <w:p>
      <w:pPr>
        <w:pStyle w:val="Heading3"/>
      </w:pPr>
      <w:r>
        <w:t xml:space="preserve">7.1 Enlace de la Carpeta Digital Compartida</w:t>
      </w:r>
    </w:p>
    <w:p>
      <w:pPr>
        <w:pStyle w:val="FirstParagraph"/>
      </w:pPr>
      <w:r>
        <w:t xml:space="preserve">La carpeta digital compartida reúne toda la documentación de soporte y evidencias que otorgan trazabilidad forense a este análisis:</w:t>
      </w:r>
    </w:p>
    <w:p>
      <w:pPr>
        <w:pStyle w:val="BodyText"/>
      </w:pPr>
      <w:hyperlink r:id="rId54">
        <w:r>
          <w:rPr>
            <w:rStyle w:val="Hyperlink"/>
          </w:rPr>
          <w:t xml:space="preserve">Carpeta Digital Compartida - Evidencia Científica y Datos</w:t>
        </w:r>
      </w:hyperlink>
    </w:p>
    <w:bookmarkEnd w:id="55"/>
    <w:bookmarkEnd w:id="56"/>
    <w:sectPr w:rsidR="00B07774" w:rsidSect="002D3238">
      <w:headerReference r:id="rId6" w:type="first"/>
      <w:pgSz w:h="16840" w:w="11900"/>
      <w:pgMar w:bottom="1418" w:footer="709" w:gutter="0" w:header="709" w:left="1701" w:right="1701" w:top="1418"/>
      <w:cols w:space="708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D3238" w:rsidRPr="00044845" w:rsidRDefault="002D3238" w:rsidP="002D3238">
    <w:pPr>
      <w:jc w:val="center"/>
      <w:rPr>
        <w:rFonts w:ascii="Arial" w:hAnsi="Arial" w:cs="Arial"/>
        <w:b/>
        <w:bCs/>
        <w:sz w:val="18"/>
        <w:szCs w:val="18"/>
      </w:rPr>
    </w:pPr>
    <w:r w:rsidRPr="00044845">
      <w:rPr>
        <w:rFonts w:ascii="Arial" w:hAnsi="Arial" w:cs="Arial"/>
        <w:b/>
        <w:bCs/>
        <w:i/>
        <w:noProof/>
        <w:sz w:val="18"/>
        <w:szCs w:val="18"/>
      </w:rPr>
      <w:drawing>
        <wp:anchor distT="0" distB="0" distL="114300" distR="114300" simplePos="0" relativeHeight="251659264" behindDoc="0" locked="0" layoutInCell="1" allowOverlap="1" wp14:anchorId="714AA9A1" wp14:editId="585A6BEA">
          <wp:simplePos x="0" y="0"/>
          <wp:positionH relativeFrom="column">
            <wp:posOffset>342900</wp:posOffset>
          </wp:positionH>
          <wp:positionV relativeFrom="paragraph">
            <wp:posOffset>-114300</wp:posOffset>
          </wp:positionV>
          <wp:extent cx="800100" cy="800100"/>
          <wp:effectExtent l="0" t="0" r="12700" b="12700"/>
          <wp:wrapTight wrapText="bothSides">
            <wp:wrapPolygon edited="0">
              <wp:start x="0" y="0"/>
              <wp:lineTo x="0" y="21257"/>
              <wp:lineTo x="21257" y="21257"/>
              <wp:lineTo x="21257" y="0"/>
              <wp:lineTo x="0" y="0"/>
            </wp:wrapPolygon>
          </wp:wrapTight>
          <wp:docPr id="10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800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44845">
      <w:rPr>
        <w:rFonts w:ascii="Arial" w:hAnsi="Arial" w:cs="Arial"/>
        <w:b/>
        <w:bCs/>
        <w:sz w:val="18"/>
        <w:szCs w:val="18"/>
      </w:rPr>
      <w:t>UNIVERSIDAD NACIONAL DE LOJA</w:t>
    </w:r>
  </w:p>
  <w:p w:rsidR="002D3238" w:rsidRPr="00044845" w:rsidRDefault="002D3238" w:rsidP="002D3238">
    <w:pPr>
      <w:jc w:val="center"/>
      <w:rPr>
        <w:rFonts w:ascii="Arial" w:hAnsi="Arial" w:cs="Arial"/>
        <w:b/>
        <w:bCs/>
        <w:i/>
        <w:sz w:val="18"/>
        <w:szCs w:val="18"/>
      </w:rPr>
    </w:pPr>
    <w:r w:rsidRPr="00044845">
      <w:rPr>
        <w:rFonts w:ascii="Arial" w:hAnsi="Arial" w:cs="Arial"/>
        <w:b/>
        <w:bCs/>
        <w:i/>
        <w:sz w:val="18"/>
        <w:szCs w:val="18"/>
      </w:rPr>
      <w:t>Carrera de Economía</w:t>
    </w:r>
  </w:p>
  <w:p w:rsidR="002D3238" w:rsidRPr="00FB17B9" w:rsidRDefault="00044845" w:rsidP="002D3238">
    <w:pPr>
      <w:jc w:val="center"/>
      <w:rPr>
        <w:rFonts w:ascii="Arial" w:hAnsi="Arial" w:cs="Arial"/>
        <w:b/>
        <w:sz w:val="18"/>
        <w:szCs w:val="18"/>
      </w:rPr>
    </w:pPr>
    <w:r w:rsidRPr="00044845">
      <w:rPr>
        <w:rFonts w:ascii="Arial" w:hAnsi="Arial" w:cs="Arial"/>
        <w:b/>
        <w:sz w:val="18"/>
        <w:szCs w:val="18"/>
      </w:rPr>
      <w:t>Economía Ambiental</w:t>
    </w:r>
  </w:p>
  <w:p w:rsidR="002D3238" w:rsidRPr="00FB17B9" w:rsidRDefault="002D3238" w:rsidP="002D3238">
    <w:pPr>
      <w:jc w:val="center"/>
      <w:rPr>
        <w:rFonts w:ascii="Arial" w:hAnsi="Arial" w:cs="Arial"/>
        <w:b/>
        <w:sz w:val="18"/>
        <w:szCs w:val="18"/>
      </w:rPr>
    </w:pPr>
    <w:r>
      <w:rPr>
        <w:rFonts w:ascii="Arial" w:hAnsi="Arial" w:cs="Arial"/>
        <w:b/>
        <w:sz w:val="18"/>
        <w:szCs w:val="18"/>
      </w:rPr>
      <w:t xml:space="preserve">UNIDAD 1 </w:t>
    </w:r>
    <w:r w:rsidRPr="00DD73FE">
      <w:rPr>
        <w:rFonts w:ascii="Arial" w:hAnsi="Arial" w:cs="Arial"/>
        <w:b/>
        <w:sz w:val="18"/>
        <w:szCs w:val="18"/>
        <w:highlight w:val="yellow"/>
      </w:rPr>
      <w:t>(cambiar según el número de unidad)</w:t>
    </w:r>
  </w:p>
  <w:p w:rsidR="002D3238" w:rsidRPr="00FB17B9" w:rsidRDefault="00044845" w:rsidP="002D3238">
    <w:pPr>
      <w:jc w:val="center"/>
      <w:rPr>
        <w:rFonts w:ascii="Arial" w:hAnsi="Arial" w:cs="Arial"/>
        <w:b/>
        <w:sz w:val="18"/>
        <w:szCs w:val="18"/>
      </w:rPr>
    </w:pPr>
    <w:r>
      <w:rPr>
        <w:rFonts w:ascii="Arial" w:hAnsi="Arial" w:cs="Arial"/>
        <w:b/>
        <w:sz w:val="18"/>
        <w:szCs w:val="18"/>
      </w:rPr>
      <w:t>Septiembre 2024-Febrero 2025</w:t>
    </w:r>
  </w:p>
  <w:p w:rsidR="002D3238" w:rsidRPr="00FB17B9" w:rsidRDefault="00044845" w:rsidP="002D3238">
    <w:pPr>
      <w:jc w:val="center"/>
      <w:rPr>
        <w:rFonts w:ascii="Arial" w:hAnsi="Arial" w:cs="Arial"/>
        <w:b/>
        <w:sz w:val="18"/>
        <w:szCs w:val="18"/>
      </w:rPr>
    </w:pPr>
    <w:proofErr w:type="gramStart"/>
    <w:r>
      <w:rPr>
        <w:rFonts w:ascii="Arial" w:hAnsi="Arial" w:cs="Arial"/>
        <w:b/>
        <w:sz w:val="18"/>
        <w:szCs w:val="18"/>
      </w:rPr>
      <w:t xml:space="preserve">Quinto </w:t>
    </w:r>
    <w:r w:rsidR="002D3238">
      <w:rPr>
        <w:rFonts w:ascii="Arial" w:hAnsi="Arial" w:cs="Arial"/>
        <w:b/>
        <w:sz w:val="18"/>
        <w:szCs w:val="18"/>
      </w:rPr>
      <w:t xml:space="preserve"> A</w:t>
    </w:r>
    <w:proofErr w:type="gramEnd"/>
  </w:p>
  <w:p w:rsidR="002D3238" w:rsidRDefault="002D3238" w:rsidP="002D3238">
    <w:pPr>
      <w:pStyle w:val="Encabezado"/>
    </w:pPr>
    <w:r w:rsidRPr="0094096B">
      <w:rPr>
        <w:b/>
      </w:rPr>
      <w:t xml:space="preserve">Nombre: </w:t>
    </w:r>
    <w:r w:rsidRPr="002D3238">
      <w:rPr>
        <w:sz w:val="15"/>
      </w:rPr>
      <w:t xml:space="preserve">(colocar su nombre completo en caso de trabajo individual, o los nombres de los integrantes, en orden alfabético, separados con coma (,)                   </w:t>
    </w:r>
  </w:p>
  <w:p w:rsidR="002D3238" w:rsidRDefault="002D3238">
    <w:pPr>
      <w:pStyle w:val="Encabezado"/>
    </w:pPr>
    <w:r>
      <w:t xml:space="preserve">  </w:t>
    </w:r>
    <w:r w:rsidRPr="00AE1221">
      <w:rPr>
        <w:b/>
      </w:rPr>
      <w:t>Fecha:</w:t>
    </w:r>
    <w:r>
      <w:t xml:space="preserve"> (fecha de entrega)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07774" w:rsidRDefault="00B07774">
    <w:pPr>
      <w:pStyle w:val="Encabezado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96B"/>
    <w:rsid w:val="00044845"/>
    <w:rsid w:val="000A385E"/>
    <w:rsid w:val="000E4501"/>
    <w:rsid w:val="0011167E"/>
    <w:rsid w:val="001117A6"/>
    <w:rsid w:val="002D3238"/>
    <w:rsid w:val="00313F72"/>
    <w:rsid w:val="003236C7"/>
    <w:rsid w:val="00527032"/>
    <w:rsid w:val="00550F08"/>
    <w:rsid w:val="005F3AD6"/>
    <w:rsid w:val="005F5565"/>
    <w:rsid w:val="00623C21"/>
    <w:rsid w:val="00750213"/>
    <w:rsid w:val="007A474C"/>
    <w:rsid w:val="007D3FC4"/>
    <w:rsid w:val="00836B71"/>
    <w:rsid w:val="00844F69"/>
    <w:rsid w:val="008A3EF5"/>
    <w:rsid w:val="00905846"/>
    <w:rsid w:val="00906C6A"/>
    <w:rsid w:val="0094096B"/>
    <w:rsid w:val="009A2A12"/>
    <w:rsid w:val="00AE1221"/>
    <w:rsid w:val="00B07774"/>
    <w:rsid w:val="00BC397F"/>
    <w:rsid w:val="00DA5935"/>
    <w:rsid w:val="00DD6281"/>
    <w:rsid w:val="00DD73FE"/>
    <w:rsid w:val="00E75C63"/>
    <w:rsid w:val="00FB35AB"/>
  </w:rsids>
  <w:themeFontLang w:val="es-ES_tradnl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-ES_tradnl"/>
      </w:rPr>
    </w:rPrDefault>
    <w:pPrDefault/>
  </w:docDefaults>
  <w:latentStyles w:count="375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default="1" w:styleId="Normal" w:type="paragraph">
    <w:name w:val="Normal"/>
    <w:qFormat/>
  </w:style>
  <w:style w:default="1" w:styleId="Fuentedeprrafopredeter" w:type="character">
    <w:name w:val="Default Paragraph Font"/>
    <w:uiPriority w:val="1"/>
    <w:semiHidden/>
    <w:unhideWhenUsed/>
  </w:style>
  <w:style w:default="1" w:styleId="Tabla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Sinlista" w:type="numbering">
    <w:name w:val="No List"/>
    <w:uiPriority w:val="99"/>
    <w:semiHidden/>
    <w:unhideWhenUsed/>
  </w:style>
  <w:style w:styleId="Encabezado" w:type="paragraph">
    <w:name w:val="header"/>
    <w:basedOn w:val="Normal"/>
    <w:link w:val="EncabezadoCar"/>
    <w:uiPriority w:val="99"/>
    <w:unhideWhenUsed/>
    <w:rsid w:val="0094096B"/>
    <w:pPr>
      <w:tabs>
        <w:tab w:pos="4419" w:val="center"/>
        <w:tab w:pos="8838" w:val="right"/>
      </w:tabs>
    </w:pPr>
  </w:style>
  <w:style w:customStyle="1" w:styleId="EncabezadoCar" w:type="character">
    <w:name w:val="Encabezado Car"/>
    <w:basedOn w:val="Fuentedeprrafopredeter"/>
    <w:link w:val="Encabezado"/>
    <w:uiPriority w:val="99"/>
    <w:rsid w:val="0094096B"/>
  </w:style>
  <w:style w:styleId="Piedepgina" w:type="paragraph">
    <w:name w:val="footer"/>
    <w:basedOn w:val="Normal"/>
    <w:link w:val="PiedepginaCar"/>
    <w:uiPriority w:val="99"/>
    <w:unhideWhenUsed/>
    <w:rsid w:val="0094096B"/>
    <w:pPr>
      <w:tabs>
        <w:tab w:pos="4419" w:val="center"/>
        <w:tab w:pos="8838" w:val="right"/>
      </w:tabs>
    </w:pPr>
  </w:style>
  <w:style w:customStyle="1" w:styleId="PiedepginaCar" w:type="character">
    <w:name w:val="Pie de página Car"/>
    <w:basedOn w:val="Fuentedeprrafopredeter"/>
    <w:link w:val="Piedepgina"/>
    <w:uiPriority w:val="99"/>
    <w:rsid w:val="0094096B"/>
  </w:style>
  <w:style w:styleId="Nmerodelnea" w:type="character">
    <w:name w:val="line number"/>
    <w:basedOn w:val="Fuentedeprrafopredeter"/>
    <w:uiPriority w:val="99"/>
    <w:semiHidden/>
    <w:unhideWhenUsed/>
    <w:rsid w:val="002D3238"/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5" Target="numbering.xml" /><Relationship Type="http://schemas.openxmlformats.org/officeDocument/2006/relationships/styles" Id="rId14" Target="styles.xml" /><Relationship Type="http://schemas.openxmlformats.org/officeDocument/2006/relationships/settings" Id="rId13" Target="settings.xml" /><Relationship Type="http://schemas.openxmlformats.org/officeDocument/2006/relationships/webSettings" Id="rId12" Target="webSettings.xml" /><Relationship Type="http://schemas.openxmlformats.org/officeDocument/2006/relationships/fontTable" Id="rId11" Target="fontTable.xml" /><Relationship Type="http://schemas.openxmlformats.org/officeDocument/2006/relationships/theme" Id="rId10" Target="theme/theme1.xml" /><Relationship Type="http://schemas.openxmlformats.org/officeDocument/2006/relationships/footnotes" Id="rId9" Target="footnotes.xml" /><Relationship Type="http://schemas.openxmlformats.org/officeDocument/2006/relationships/comments" Id="rId8" Target="comments.xml" /><Relationship Id="rId7" Target="header2.xml" Type="http://schemas.openxmlformats.org/officeDocument/2006/relationships/header" /><Relationship Id="rId6" Target="header1.xml" Type="http://schemas.openxmlformats.org/officeDocument/2006/relationships/header" /><Relationship Type="http://schemas.openxmlformats.org/officeDocument/2006/relationships/image" Id="rId22" Target="media/rId22.png" /><Relationship Type="http://schemas.openxmlformats.org/officeDocument/2006/relationships/hyperlink" Id="rId50" Target="https://documents.worldbank.org/en/publication/documents-reports/documentdetail/367371592554743209/ecuador-covid-19-and-the-labor-market-impact-assessment" TargetMode="External" /><Relationship Type="http://schemas.openxmlformats.org/officeDocument/2006/relationships/hyperlink" Id="rId30" Target="https://doi.org/10.1086/345560" TargetMode="External" /><Relationship Type="http://schemas.openxmlformats.org/officeDocument/2006/relationships/hyperlink" Id="rId32" Target="https://doi.org/10.17141/mundosplurales.2.2020.4875" TargetMode="External" /><Relationship Type="http://schemas.openxmlformats.org/officeDocument/2006/relationships/hyperlink" Id="rId54" Target="https://drive.google.com/drive/folders/1TSY1tdASor8RpizbIoGGRecUWFzK74F0?usp=sharing" TargetMode="External" /><Relationship Type="http://schemas.openxmlformats.org/officeDocument/2006/relationships/hyperlink" Id="rId48" Target="https://ec.europa.eu/eurostat/documents/8131721/8131772/Stiglitz-Sen-Fitoussi-Report.pdf" TargetMode="External" /><Relationship Type="http://schemas.openxmlformats.org/officeDocument/2006/relationships/hyperlink" Id="rId46" Target="https://global.oup.com/academic/product/development-as-freedom-9780198284758" TargetMode="External" /><Relationship Type="http://schemas.openxmlformats.org/officeDocument/2006/relationships/hyperlink" Id="rId38" Target="https://hdr.undp.org/content/human-development-report-1990" TargetMode="External" /><Relationship Type="http://schemas.openxmlformats.org/officeDocument/2006/relationships/hyperlink" Id="rId40" Target="https://hdr.undp.org/content/human-development-report-2015" TargetMode="External" /><Relationship Type="http://schemas.openxmlformats.org/officeDocument/2006/relationships/hyperlink" Id="rId42" Target="https://hdr.undp.org/content/human-development-report-2023-24" TargetMode="External" /><Relationship Type="http://schemas.openxmlformats.org/officeDocument/2006/relationships/hyperlink" Id="rId36" Target="https://hdr.undp.org/content/measuring-human-development-21st-century" TargetMode="External" /><Relationship Type="http://schemas.openxmlformats.org/officeDocument/2006/relationships/hyperlink" Id="rId44" Target="https://www.cr.undp.org/content/costarica/es/home/library/human_development/notas-tecnicas--calculo-de-los-indices-de-desarrollo-humano---p.html" TargetMode="External" /><Relationship Type="http://schemas.openxmlformats.org/officeDocument/2006/relationships/hyperlink" Id="rId28" Target="https://www.ecuadorendifras.gob.ec/documentos/web-inec/Bibliotecas/Analitika/analitika_9/Analitika_9_Articulo_2.pdf" TargetMode="External" /><Relationship Type="http://schemas.openxmlformats.org/officeDocument/2006/relationships/hyperlink" Id="rId34" Target="https://www.ilo.org/global/publications/books/WCMS_853377/lang--es/index.ht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https://documents.worldbank.org/en/publication/documents-reports/documentdetail/367371592554743209/ecuador-covid-19-and-the-labor-market-impact-assessment" TargetMode="External" /><Relationship Type="http://schemas.openxmlformats.org/officeDocument/2006/relationships/hyperlink" Id="rId30" Target="https://doi.org/10.1086/345560" TargetMode="External" /><Relationship Type="http://schemas.openxmlformats.org/officeDocument/2006/relationships/hyperlink" Id="rId32" Target="https://doi.org/10.17141/mundosplurales.2.2020.4875" TargetMode="External" /><Relationship Type="http://schemas.openxmlformats.org/officeDocument/2006/relationships/hyperlink" Id="rId54" Target="https://drive.google.com/drive/folders/1TSY1tdASor8RpizbIoGGRecUWFzK74F0?usp=sharing" TargetMode="External" /><Relationship Type="http://schemas.openxmlformats.org/officeDocument/2006/relationships/hyperlink" Id="rId48" Target="https://ec.europa.eu/eurostat/documents/8131721/8131772/Stiglitz-Sen-Fitoussi-Report.pdf" TargetMode="External" /><Relationship Type="http://schemas.openxmlformats.org/officeDocument/2006/relationships/hyperlink" Id="rId46" Target="https://global.oup.com/academic/product/development-as-freedom-9780198284758" TargetMode="External" /><Relationship Type="http://schemas.openxmlformats.org/officeDocument/2006/relationships/hyperlink" Id="rId38" Target="https://hdr.undp.org/content/human-development-report-1990" TargetMode="External" /><Relationship Type="http://schemas.openxmlformats.org/officeDocument/2006/relationships/hyperlink" Id="rId40" Target="https://hdr.undp.org/content/human-development-report-2015" TargetMode="External" /><Relationship Type="http://schemas.openxmlformats.org/officeDocument/2006/relationships/hyperlink" Id="rId42" Target="https://hdr.undp.org/content/human-development-report-2023-24" TargetMode="External" /><Relationship Type="http://schemas.openxmlformats.org/officeDocument/2006/relationships/hyperlink" Id="rId36" Target="https://hdr.undp.org/content/measuring-human-development-21st-century" TargetMode="External" /><Relationship Type="http://schemas.openxmlformats.org/officeDocument/2006/relationships/hyperlink" Id="rId44" Target="https://www.cr.undp.org/content/costarica/es/home/library/human_development/notas-tecnicas--calculo-de-los-indices-de-desarrollo-humano---p.html" TargetMode="External" /><Relationship Type="http://schemas.openxmlformats.org/officeDocument/2006/relationships/hyperlink" Id="rId28" Target="https://www.ecuadorendifras.gob.ec/documentos/web-inec/Bibliotecas/Analitika/analitika_9/Analitika_9_Articulo_2.pdf" TargetMode="External" /><Relationship Type="http://schemas.openxmlformats.org/officeDocument/2006/relationships/hyperlink" Id="rId34" Target="https://www.ilo.org/global/publications/books/WCMS_853377/lang--es/index.htm" TargetMode="Externa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35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2026-05-17T22:14:38Z</dcterms:created>
  <dcterms:modified xsi:type="dcterms:W3CDTF">2026-05-17T22:14:38Z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>references.bib</vt:lpwstr>
  </property>
  <property fmtid="{D5CDD505-2E9C-101B-9397-08002B2CF9AE}" pid="4" name="crossref">
    <vt:lpwstr/>
  </property>
  <property fmtid="{D5CDD505-2E9C-101B-9397-08002B2CF9AE}" pid="5" name="csl">
    <vt:lpwstr>https://raw.githubusercontent.com/citation-style-language/styles/master/apa.csl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