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Erick Fabricio Condoy Seraquive</w:t>
      </w:r>
    </w:p>
    <w:bookmarkStart w:id="9" w:name="introducción"/>
    <w:p>
      <w:pPr>
        <w:pStyle w:val="Heading1"/>
      </w:pPr>
      <w:r>
        <w:t xml:space="preserve">Introducción</w:t>
      </w:r>
    </w:p>
    <w:p>
      <w:pPr>
        <w:pStyle w:val="FirstParagraph"/>
      </w:pPr>
      <w:r>
        <w:t xml:space="preserve">La evaluación de impacto de las políticas sociales es fundamental para determinar si los recursos públicos están cumpliendo sus objetivos de bienestar sin generar distorsiones negativas en el mercado laboral. En esta entrega, se analiza el</w:t>
      </w:r>
      <w:r>
        <w:t xml:space="preserve"> </w:t>
      </w:r>
      <w:r>
        <w:rPr>
          <w:b/>
          <w:bCs/>
        </w:rPr>
        <w:t xml:space="preserve">Bono de Desarrollo Humano (BDH)</w:t>
      </w:r>
      <w:r>
        <w:t xml:space="preserve">, una transferencia monetaria condicionada dirigida a los hogares en situación de vulnerabilidad extrema en Ecuador</w:t>
      </w:r>
      <w:r>
        <w:t xml:space="preserve"> </w:t>
      </w:r>
      <w:r>
        <w:t xml:space="preserve">(MIES 2024)</w:t>
      </w:r>
      <w:r>
        <w:t xml:space="preserve">. El objetivo central es identificar si la recepción de este subsidio correlaciona con la probabilidad de desempeñarse en el</w:t>
      </w:r>
      <w:r>
        <w:t xml:space="preserve"> </w:t>
      </w:r>
      <w:r>
        <w:rPr>
          <w:b/>
          <w:bCs/>
        </w:rPr>
        <w:t xml:space="preserve">sector informal</w:t>
      </w:r>
      <w:r>
        <w:t xml:space="preserve">.</w:t>
      </w:r>
    </w:p>
    <w:bookmarkEnd w:id="9"/>
    <w:bookmarkStart w:id="11" w:name="descripción-de-variables"/>
    <w:p>
      <w:pPr>
        <w:pStyle w:val="Heading1"/>
      </w:pPr>
      <w:r>
        <w:t xml:space="preserve">Descripción de Variables</w:t>
      </w:r>
    </w:p>
    <w:p>
      <w:pPr>
        <w:pStyle w:val="FirstParagraph"/>
      </w:pPr>
      <w:r>
        <w:t xml:space="preserve">Para la estimación del modelo de impacto, se han seleccionado variables sociodemográficas y de control económico extraídas y depuradas de la ENEMDU 2023-2024</w:t>
      </w:r>
      <w:r>
        <w:t xml:space="preserve"> </w:t>
      </w:r>
      <w:r>
        <w:t xml:space="preserve">(INEC 2024)</w:t>
      </w:r>
      <w:r>
        <w:t xml:space="preserve">, filtrando a la Población Económicamente Activa (PEA) de entre 15 y 65 años.</w:t>
      </w:r>
    </w:p>
    <w:tbl>
      <w:tblPr>
        <w:tblStyle w:val="Table"/>
        <w:tblW w:type="pct" w:w="5000"/>
        <w:tblLayout w:type="fixed"/>
        <w:tblLook w:firstRow="0" w:lastRow="0" w:firstColumn="0" w:lastColumn="0" w:noHBand="0" w:noVBand="0" w:val="0000"/>
      </w:tblPr>
      <w:tblGrid>
        <w:gridCol w:w="7920"/>
      </w:tblGrid>
      <w:tr>
        <w:tc>
          <w:tcPr/>
          <w:bookmarkStart w:id="10" w:name="tbl-variables"/>
          <w:p>
            <w:pPr>
              <w:jc w:val="center"/>
            </w:pPr>
            <w:pPr>
              <w:jc w:val="left"/>
              <w:spacing w:before="200"/>
              <w:pStyle w:val="ImageCaption"/>
            </w:pPr>
            <w:r>
              <w:t xml:space="preserve">Table 1: Variables del Modelo de Evaluación de Impacto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Variable</w:t>
                  </w:r>
                </w:p>
              </w:tc>
              <w:tc>
                <w:tcPr/>
                <w:p>
                  <w:pPr>
                    <w:pStyle w:val="Compact"/>
                    <w:jc w:val="left"/>
                    <w:jc w:val="center"/>
                  </w:pPr>
                  <w:r>
                    <w:t xml:space="preserve">Tipo</w:t>
                  </w:r>
                </w:p>
              </w:tc>
              <w:tc>
                <w:tcPr/>
                <w:p>
                  <w:pPr>
                    <w:pStyle w:val="Compact"/>
                    <w:jc w:val="left"/>
                    <w:jc w:val="center"/>
                  </w:pPr>
                  <w:r>
                    <w:t xml:space="preserve">Descripción</w:t>
                  </w:r>
                </w:p>
              </w:tc>
              <w:tc>
                <w:tcPr/>
                <w:p>
                  <w:pPr>
                    <w:pStyle w:val="Compact"/>
                    <w:jc w:val="left"/>
                    <w:jc w:val="center"/>
                  </w:pPr>
                  <w:r>
                    <w:t xml:space="preserve">Fuente</w:t>
                  </w:r>
                </w:p>
              </w:tc>
            </w:tr>
            <w:tr>
              <w:tc>
                <w:tcPr/>
                <w:p>
                  <w:pPr>
                    <w:pStyle w:val="Compact"/>
                    <w:jc w:val="left"/>
                    <w:jc w:val="center"/>
                  </w:pPr>
                  <w:r>
                    <w:rPr>
                      <w:rStyle w:val="VerbatimChar"/>
                    </w:rPr>
                    <w:t xml:space="preserve">age</w:t>
                  </w:r>
                </w:p>
              </w:tc>
              <w:tc>
                <w:tcPr/>
                <w:p>
                  <w:pPr>
                    <w:pStyle w:val="Compact"/>
                    <w:jc w:val="left"/>
                    <w:jc w:val="center"/>
                  </w:pPr>
                  <w:r>
                    <w:t xml:space="preserve">Entero</w:t>
                  </w:r>
                </w:p>
              </w:tc>
              <w:tc>
                <w:tcPr/>
                <w:p>
                  <w:pPr>
                    <w:pStyle w:val="Compact"/>
                    <w:jc w:val="left"/>
                    <w:jc w:val="center"/>
                  </w:pPr>
                  <w:r>
                    <w:t xml:space="preserve">Edad cronológica del encuestado (15-65 años)</w:t>
                  </w:r>
                </w:p>
              </w:tc>
              <w:tc>
                <w:tcPr/>
                <w:p>
                  <w:pPr>
                    <w:pStyle w:val="Compact"/>
                    <w:jc w:val="left"/>
                    <w:jc w:val="center"/>
                  </w:pPr>
                  <w:r>
                    <w:t xml:space="preserve">ENEMDU</w:t>
                  </w:r>
                </w:p>
              </w:tc>
            </w:tr>
            <w:tr>
              <w:tc>
                <w:tcPr/>
                <w:p>
                  <w:pPr>
                    <w:pStyle w:val="Compact"/>
                    <w:jc w:val="left"/>
                    <w:jc w:val="center"/>
                  </w:pPr>
                  <w:r>
                    <w:rPr>
                      <w:rStyle w:val="VerbatimChar"/>
                    </w:rPr>
                    <w:t xml:space="preserve">sex</w:t>
                  </w:r>
                </w:p>
              </w:tc>
              <w:tc>
                <w:tcPr/>
                <w:p>
                  <w:pPr>
                    <w:pStyle w:val="Compact"/>
                    <w:jc w:val="left"/>
                    <w:jc w:val="center"/>
                  </w:pPr>
                  <w:r>
                    <w:t xml:space="preserve">Binaria</w:t>
                  </w:r>
                </w:p>
              </w:tc>
              <w:tc>
                <w:tcPr/>
                <w:p>
                  <w:pPr>
                    <w:pStyle w:val="Compact"/>
                    <w:jc w:val="left"/>
                    <w:jc w:val="center"/>
                  </w:pPr>
                  <w:r>
                    <w:t xml:space="preserve">Género (1: Hombre; 0: Mujer)</w:t>
                  </w:r>
                </w:p>
              </w:tc>
              <w:tc>
                <w:tcPr/>
                <w:p>
                  <w:pPr>
                    <w:pStyle w:val="Compact"/>
                    <w:jc w:val="left"/>
                    <w:jc w:val="center"/>
                  </w:pPr>
                  <w:r>
                    <w:t xml:space="preserve">ENEMDU</w:t>
                  </w:r>
                </w:p>
              </w:tc>
            </w:tr>
            <w:tr>
              <w:tc>
                <w:tcPr/>
                <w:p>
                  <w:pPr>
                    <w:pStyle w:val="Compact"/>
                    <w:jc w:val="left"/>
                    <w:jc w:val="center"/>
                  </w:pPr>
                  <w:r>
                    <w:rPr>
                      <w:rStyle w:val="VerbatimChar"/>
                    </w:rPr>
                    <w:t xml:space="preserve">edu</w:t>
                  </w:r>
                </w:p>
              </w:tc>
              <w:tc>
                <w:tcPr/>
                <w:p>
                  <w:pPr>
                    <w:pStyle w:val="Compact"/>
                    <w:jc w:val="left"/>
                    <w:jc w:val="center"/>
                  </w:pPr>
                  <w:r>
                    <w:t xml:space="preserve">Categórica</w:t>
                  </w:r>
                </w:p>
              </w:tc>
              <w:tc>
                <w:tcPr/>
                <w:p>
                  <w:pPr>
                    <w:pStyle w:val="Compact"/>
                    <w:jc w:val="left"/>
                    <w:jc w:val="center"/>
                  </w:pPr>
                  <w:r>
                    <w:t xml:space="preserve">Nivel de instrucción formal alcanzado</w:t>
                  </w:r>
                </w:p>
              </w:tc>
              <w:tc>
                <w:tcPr/>
                <w:p>
                  <w:pPr>
                    <w:pStyle w:val="Compact"/>
                    <w:jc w:val="left"/>
                    <w:jc w:val="center"/>
                  </w:pPr>
                  <w:r>
                    <w:t xml:space="preserve">ENEMDU</w:t>
                  </w:r>
                </w:p>
              </w:tc>
            </w:tr>
            <w:tr>
              <w:tc>
                <w:tcPr/>
                <w:p>
                  <w:pPr>
                    <w:pStyle w:val="Compact"/>
                    <w:jc w:val="left"/>
                    <w:jc w:val="center"/>
                  </w:pPr>
                  <w:r>
                    <w:rPr>
                      <w:rStyle w:val="VerbatimChar"/>
                    </w:rPr>
                    <w:t xml:space="preserve">hh_size</w:t>
                  </w:r>
                </w:p>
              </w:tc>
              <w:tc>
                <w:tcPr/>
                <w:p>
                  <w:pPr>
                    <w:pStyle w:val="Compact"/>
                    <w:jc w:val="left"/>
                    <w:jc w:val="center"/>
                  </w:pPr>
                  <w:r>
                    <w:t xml:space="preserve">Entero</w:t>
                  </w:r>
                </w:p>
              </w:tc>
              <w:tc>
                <w:tcPr/>
                <w:p>
                  <w:pPr>
                    <w:pStyle w:val="Compact"/>
                    <w:jc w:val="left"/>
                    <w:jc w:val="center"/>
                  </w:pPr>
                  <w:r>
                    <w:t xml:space="preserve">Número de miembros que integran el hogar</w:t>
                  </w:r>
                </w:p>
              </w:tc>
              <w:tc>
                <w:tcPr/>
                <w:p>
                  <w:pPr>
                    <w:pStyle w:val="Compact"/>
                    <w:jc w:val="left"/>
                    <w:jc w:val="center"/>
                  </w:pPr>
                  <w:r>
                    <w:t xml:space="preserve">ENEMDU</w:t>
                  </w:r>
                </w:p>
              </w:tc>
            </w:tr>
            <w:tr>
              <w:tc>
                <w:tcPr/>
                <w:p>
                  <w:pPr>
                    <w:pStyle w:val="Compact"/>
                    <w:jc w:val="left"/>
                    <w:jc w:val="center"/>
                  </w:pPr>
                  <w:r>
                    <w:rPr>
                      <w:rStyle w:val="VerbatimChar"/>
                    </w:rPr>
                    <w:t xml:space="preserve">area</w:t>
                  </w:r>
                </w:p>
              </w:tc>
              <w:tc>
                <w:tcPr/>
                <w:p>
                  <w:pPr>
                    <w:pStyle w:val="Compact"/>
                    <w:jc w:val="left"/>
                    <w:jc w:val="center"/>
                  </w:pPr>
                  <w:r>
                    <w:t xml:space="preserve">Binaria</w:t>
                  </w:r>
                </w:p>
              </w:tc>
              <w:tc>
                <w:tcPr/>
                <w:p>
                  <w:pPr>
                    <w:pStyle w:val="Compact"/>
                    <w:jc w:val="left"/>
                    <w:jc w:val="center"/>
                  </w:pPr>
                  <w:r>
                    <w:t xml:space="preserve">Ubicación geográfica (1: Urbana; 0: Rural)</w:t>
                  </w:r>
                </w:p>
              </w:tc>
              <w:tc>
                <w:tcPr/>
                <w:p>
                  <w:pPr>
                    <w:pStyle w:val="Compact"/>
                    <w:jc w:val="left"/>
                    <w:jc w:val="center"/>
                  </w:pPr>
                  <w:r>
                    <w:t xml:space="preserve">ENEMDU</w:t>
                  </w:r>
                </w:p>
              </w:tc>
            </w:tr>
            <w:tr>
              <w:tc>
                <w:tcPr/>
                <w:p>
                  <w:pPr>
                    <w:pStyle w:val="Compact"/>
                    <w:jc w:val="left"/>
                    <w:jc w:val="center"/>
                  </w:pPr>
                  <w:r>
                    <w:rPr>
                      <w:rStyle w:val="VerbatimChar"/>
                    </w:rPr>
                    <w:t xml:space="preserve">treated</w:t>
                  </w:r>
                </w:p>
              </w:tc>
              <w:tc>
                <w:tcPr/>
                <w:p>
                  <w:pPr>
                    <w:pStyle w:val="Compact"/>
                    <w:jc w:val="left"/>
                    <w:jc w:val="center"/>
                  </w:pPr>
                  <w:r>
                    <w:t xml:space="preserve">Binaria</w:t>
                  </w:r>
                </w:p>
              </w:tc>
              <w:tc>
                <w:tcPr/>
                <w:p>
                  <w:pPr>
                    <w:pStyle w:val="Compact"/>
                    <w:jc w:val="left"/>
                    <w:jc w:val="center"/>
                  </w:pPr>
                  <w:r>
                    <w:t xml:space="preserve">Receptor del Bono de Desarrollo Humano (Tratamiento)</w:t>
                  </w:r>
                </w:p>
              </w:tc>
              <w:tc>
                <w:tcPr/>
                <w:p>
                  <w:pPr>
                    <w:pStyle w:val="Compact"/>
                    <w:jc w:val="left"/>
                    <w:jc w:val="center"/>
                  </w:pPr>
                  <w:r>
                    <w:t xml:space="preserve">ENEMDU</w:t>
                  </w:r>
                </w:p>
              </w:tc>
            </w:tr>
            <w:tr>
              <w:tc>
                <w:tcPr/>
                <w:p>
                  <w:pPr>
                    <w:pStyle w:val="Compact"/>
                    <w:jc w:val="left"/>
                    <w:jc w:val="center"/>
                  </w:pPr>
                  <w:r>
                    <w:rPr>
                      <w:rStyle w:val="VerbatimChar"/>
                    </w:rPr>
                    <w:t xml:space="preserve">informal</w:t>
                  </w:r>
                </w:p>
              </w:tc>
              <w:tc>
                <w:tcPr/>
                <w:p>
                  <w:pPr>
                    <w:pStyle w:val="Compact"/>
                    <w:jc w:val="left"/>
                    <w:jc w:val="center"/>
                  </w:pPr>
                  <w:r>
                    <w:t xml:space="preserve">Binaria</w:t>
                  </w:r>
                </w:p>
              </w:tc>
              <w:tc>
                <w:tcPr/>
                <w:p>
                  <w:pPr>
                    <w:pStyle w:val="Compact"/>
                    <w:jc w:val="left"/>
                    <w:jc w:val="center"/>
                  </w:pPr>
                  <w:r>
                    <w:t xml:space="preserve">Pertenencia al sector informal (Variable de Resultado)</w:t>
                  </w:r>
                </w:p>
              </w:tc>
              <w:tc>
                <w:tcPr/>
                <w:p>
                  <w:pPr>
                    <w:pStyle w:val="Compact"/>
                    <w:jc w:val="left"/>
                    <w:jc w:val="center"/>
                  </w:pPr>
                  <w:r>
                    <w:t xml:space="preserve">Construcción Propia</w:t>
                  </w:r>
                </w:p>
              </w:tc>
            </w:tr>
          </w:tbl>
          <w:bookmarkEnd w:id="10"/>
          <w:p/>
        </w:tc>
      </w:tr>
    </w:tbl>
    <w:bookmarkEnd w:id="11"/>
    <w:bookmarkStart w:id="12" w:name="metodología"/>
    <w:p>
      <w:pPr>
        <w:pStyle w:val="Heading1"/>
      </w:pPr>
      <w:r>
        <w:t xml:space="preserve">Metodología</w:t>
      </w:r>
    </w:p>
    <w:p>
      <w:pPr>
        <w:pStyle w:val="FirstParagraph"/>
      </w:pPr>
      <w:r>
        <w:t xml:space="preserve">Debido a que el BDH no se asigna de forma aleatoria, se emplea el modelo de</w:t>
      </w:r>
      <w:r>
        <w:t xml:space="preserve"> </w:t>
      </w:r>
      <w:r>
        <w:rPr>
          <w:b/>
          <w:bCs/>
        </w:rPr>
        <w:t xml:space="preserve">Propensity Score Matching (PSM)</w:t>
      </w:r>
      <w:r>
        <w:t xml:space="preserve"> </w:t>
      </w:r>
      <w:r>
        <w:t xml:space="preserve">para corregir el sesgo de selección</w:t>
      </w:r>
      <w:r>
        <w:t xml:space="preserve"> </w:t>
      </w:r>
      <w:r>
        <w:t xml:space="preserve">(Shmueli 2010)</w:t>
      </w:r>
      <w:r>
        <w:t xml:space="preserve">. Se estima el</w:t>
      </w:r>
      <w:r>
        <w:t xml:space="preserve"> </w:t>
      </w:r>
      <w:r>
        <w:rPr>
          <w:i/>
          <w:iCs/>
        </w:rPr>
        <w:t xml:space="preserve">Propensity Score</w:t>
      </w:r>
      <w:r>
        <w:t xml:space="preserve"> </w:t>
      </w:r>
      <w:r>
        <w:t xml:space="preserve">mediante un modelo Logit, controlando por las variables descritas en la</w:t>
      </w:r>
      <w:r>
        <w:t xml:space="preserve"> </w:t>
      </w:r>
      <w:hyperlink w:anchor="tbl-variables">
        <w:r>
          <w:rPr>
            <w:rStyle w:val="Hyperlink"/>
          </w:rPr>
          <w:t xml:space="preserve">Table 1</w:t>
        </w:r>
      </w:hyperlink>
      <w:r>
        <w:t xml:space="preserve">. El emparejamiento se realiza mediante el algoritmo de</w:t>
      </w:r>
      <w:r>
        <w:t xml:space="preserve"> </w:t>
      </w:r>
      <w:r>
        <w:rPr>
          <w:b/>
          <w:bCs/>
        </w:rPr>
        <w:t xml:space="preserve">Vecino más Cercano (1:1)</w:t>
      </w:r>
      <w:r>
        <w:t xml:space="preserve"> </w:t>
      </w:r>
      <w:r>
        <w:t xml:space="preserve">con un</w:t>
      </w:r>
      <w:r>
        <w:t xml:space="preserve"> </w:t>
      </w:r>
      <w:r>
        <w:rPr>
          <w:i/>
          <w:iCs/>
        </w:rPr>
        <w:t xml:space="preserve">caliper</w:t>
      </w:r>
      <w:r>
        <w:t xml:space="preserve"> </w:t>
      </w:r>
      <w:r>
        <w:t xml:space="preserve">de</w:t>
      </w:r>
      <w:r>
        <w:t xml:space="preserve"> </w:t>
      </w:r>
      <m:oMath>
        <m:r>
          <m:t>0.25</m:t>
        </m:r>
        <m:r>
          <m:t>σ</m:t>
        </m:r>
      </m:oMath>
      <w:r>
        <w:t xml:space="preserve">.</w:t>
      </w:r>
    </w:p>
    <w:bookmarkEnd w:id="12"/>
    <w:bookmarkStart w:id="23" w:name="resultados"/>
    <w:p>
      <w:pPr>
        <w:pStyle w:val="Heading1"/>
      </w:pPr>
      <w:r>
        <w:t xml:space="preserve">Resultados</w:t>
      </w:r>
    </w:p>
    <w:bookmarkStart w:id="13" w:name="efecto-medio-del-tratamiento-att"/>
    <w:p>
      <w:pPr>
        <w:pStyle w:val="Heading2"/>
      </w:pPr>
      <w:r>
        <w:t xml:space="preserve">Efecto Medio del Tratamiento (ATT)</w:t>
      </w:r>
    </w:p>
    <w:p>
      <w:pPr>
        <w:pStyle w:val="FirstParagraph"/>
      </w:pPr>
      <w:r>
        <w:t xml:space="preserve">Tras el matching, se obtuvo un</w:t>
      </w:r>
      <w:r>
        <w:t xml:space="preserve"> </w:t>
      </w:r>
      <w:r>
        <w:rPr>
          <w:b/>
          <w:bCs/>
        </w:rPr>
        <w:t xml:space="preserve">ATT (Average Treatment Effect on the Treated)</w:t>
      </w:r>
      <w:r>
        <w:t xml:space="preserve"> </w:t>
      </w:r>
      <w:r>
        <w:t xml:space="preserve">de</w:t>
      </w:r>
      <w:r>
        <w:t xml:space="preserve"> </w:t>
      </w:r>
      <w:r>
        <w:rPr>
          <w:b/>
          <w:bCs/>
        </w:rPr>
        <w:t xml:space="preserve">+39.32%</w:t>
      </w:r>
      <w:r>
        <w:t xml:space="preserve">. Esto indica que los beneficiarios del BDH tienen una probabilidad significativamente mayor de trabajar en la informalidad que el grupo de control comparable.</w:t>
      </w:r>
    </w:p>
    <w:bookmarkEnd w:id="13"/>
    <w:bookmarkStart w:id="22" w:name="soporte-común-y-balance"/>
    <w:p>
      <w:pPr>
        <w:pStyle w:val="Heading2"/>
      </w:pPr>
      <w:r>
        <w:t xml:space="preserve">Soporte Común y Balance</w:t>
      </w:r>
    </w:p>
    <w:p>
      <w:pPr>
        <w:pStyle w:val="FirstParagraph"/>
      </w:pPr>
      <w:r>
        <w:t xml:space="preserve">En la</w:t>
      </w:r>
      <w:r>
        <w:t xml:space="preserve"> </w:t>
      </w:r>
      <w:hyperlink w:anchor="fig-pscore">
        <w:r>
          <w:rPr>
            <w:rStyle w:val="Hyperlink"/>
          </w:rPr>
          <w:t xml:space="preserve">Figure 1</w:t>
        </w:r>
      </w:hyperlink>
      <w:r>
        <w:t xml:space="preserve"> </w:t>
      </w:r>
      <w:r>
        <w:t xml:space="preserve">se presenta la distribución del P-Score, confirmando un soporte común adecuado. Asimismo, la</w:t>
      </w:r>
      <w:r>
        <w:t xml:space="preserve"> </w:t>
      </w:r>
      <w:hyperlink w:anchor="fig-balance">
        <w:r>
          <w:rPr>
            <w:rStyle w:val="Hyperlink"/>
          </w:rPr>
          <w:t xml:space="preserve">Figure 2</w:t>
        </w:r>
      </w:hyperlink>
      <w:r>
        <w:t xml:space="preserve"> </w:t>
      </w:r>
      <w:r>
        <w:t xml:space="preserve">muestra el balance de la variable edad tras el emparejamiento.</w:t>
      </w:r>
    </w:p>
    <w:tbl>
      <w:tblPr>
        <w:tblStyle w:val="Table"/>
        <w:tblW w:type="pct" w:w="5000"/>
        <w:tblLayout w:type="fixed"/>
        <w:tblLook w:firstRow="0" w:lastRow="0" w:firstColumn="0" w:lastColumn="0" w:noHBand="0" w:noVBand="0" w:val="0000"/>
      </w:tblPr>
      <w:tblGrid>
        <w:gridCol w:w="7920"/>
      </w:tblGrid>
      <w:tr>
        <w:tc>
          <w:tcPr/>
          <w:bookmarkStart w:id="17" w:name="fig-pscore"/>
          <w:p>
            <w:pPr>
              <w:pStyle w:val="Compact"/>
              <w:jc w:val="center"/>
            </w:pPr>
            <w:r>
              <w:drawing>
                <wp:inline>
                  <wp:extent cx="4000500" cy="2400300"/>
                  <wp:effectExtent b="0" l="0" r="0" t="0"/>
                  <wp:docPr descr="" title="" id="15" name="Picture"/>
                  <a:graphic>
                    <a:graphicData uri="http://schemas.openxmlformats.org/drawingml/2006/picture">
                      <pic:pic>
                        <pic:nvPicPr>
                          <pic:cNvPr descr="plots/common_support_bdh.png" id="16" name="Picture"/>
                          <pic:cNvPicPr>
                            <a:picLocks noChangeArrowheads="1" noChangeAspect="1"/>
                          </pic:cNvPicPr>
                        </pic:nvPicPr>
                        <pic:blipFill>
                          <a:blip r:embed="rId14"/>
                          <a:stretch>
                            <a:fillRect/>
                          </a:stretch>
                        </pic:blipFill>
                        <pic:spPr bwMode="auto">
                          <a:xfrm>
                            <a:off x="0" y="0"/>
                            <a:ext cx="4000500" cy="24003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Distribución de Propensity Score (Soporte Común)</w:t>
            </w:r>
          </w:p>
          <w:bookmarkEnd w:id="1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 w:name="fig-balance"/>
          <w:p>
            <w:pPr>
              <w:pStyle w:val="Compact"/>
              <w:jc w:val="center"/>
            </w:pPr>
            <w:r>
              <w:drawing>
                <wp:inline>
                  <wp:extent cx="4000500" cy="2400300"/>
                  <wp:effectExtent b="0" l="0" r="0" t="0"/>
                  <wp:docPr descr="" title="" id="19" name="Picture"/>
                  <a:graphic>
                    <a:graphicData uri="http://schemas.openxmlformats.org/drawingml/2006/picture">
                      <pic:pic>
                        <pic:nvPicPr>
                          <pic:cNvPr descr="plots/age_balance_post.png" id="20" name="Picture"/>
                          <pic:cNvPicPr>
                            <a:picLocks noChangeArrowheads="1" noChangeAspect="1"/>
                          </pic:cNvPicPr>
                        </pic:nvPicPr>
                        <pic:blipFill>
                          <a:blip r:embed="rId18"/>
                          <a:stretch>
                            <a:fillRect/>
                          </a:stretch>
                        </pic:blipFill>
                        <pic:spPr bwMode="auto">
                          <a:xfrm>
                            <a:off x="0" y="0"/>
                            <a:ext cx="4000500" cy="24003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Balance de Covariables: Edad Post-Matching</w:t>
            </w:r>
          </w:p>
          <w:bookmarkEnd w:id="21"/>
        </w:tc>
      </w:tr>
    </w:tbl>
    <w:bookmarkEnd w:id="22"/>
    <w:bookmarkEnd w:id="23"/>
    <w:bookmarkStart w:id="24" w:name="conclusión"/>
    <w:p>
      <w:pPr>
        <w:pStyle w:val="Heading1"/>
      </w:pPr>
      <w:r>
        <w:t xml:space="preserve">Conclusión</w:t>
      </w:r>
    </w:p>
    <w:p>
      <w:pPr>
        <w:pStyle w:val="FirstParagraph"/>
      </w:pPr>
      <w:r>
        <w:t xml:space="preserve">Los resultados sugieren que el BDH puede estar actuando como un desincentivo a la formalización laboral en el margen de la pobreza extrema, fenómeno conocido como la</w:t>
      </w:r>
      <w:r>
        <w:t xml:space="preserve"> </w:t>
      </w:r>
      <w:r>
        <w:t xml:space="preserve">“Trampa de Informalidad”</w:t>
      </w:r>
      <w:r>
        <w:t xml:space="preserve">. Se recomienda una revisión de las condicionalidades del programa para fomentar la transición hacia empleos de mayor productividad.</w:t>
      </w:r>
    </w:p>
    <w:bookmarkEnd w:id="24"/>
    <w:bookmarkStart w:id="29" w:name="referencias"/>
    <w:p>
      <w:pPr>
        <w:pStyle w:val="Heading1"/>
      </w:pPr>
      <w:r>
        <w:t xml:space="preserve">Referencias</w:t>
      </w:r>
    </w:p>
    <w:bookmarkStart w:id="28" w:name="refs"/>
    <w:bookmarkStart w:id="25" w:name="ref-enemdu2024"/>
    <w:p>
      <w:pPr>
        <w:pStyle w:val="Bibliography"/>
      </w:pPr>
      <w:r>
        <w:t xml:space="preserve">INEC. 2024.</w:t>
      </w:r>
      <w:r>
        <w:t xml:space="preserve"> </w:t>
      </w:r>
      <w:r>
        <w:rPr>
          <w:i/>
          <w:iCs/>
        </w:rPr>
        <w:t xml:space="preserve">Encuesta Nacional de Empleo, Desempleo y Subempleo (ENEMDU): Metodología de Cálculo de La Informalidad</w:t>
      </w:r>
      <w:r>
        <w:t xml:space="preserve">. Instituto Nacional de Estadística y Censos de Ecuador.</w:t>
      </w:r>
    </w:p>
    <w:bookmarkEnd w:id="25"/>
    <w:bookmarkStart w:id="26" w:name="ref-bdh2024"/>
    <w:p>
      <w:pPr>
        <w:pStyle w:val="Bibliography"/>
      </w:pPr>
      <w:r>
        <w:t xml:space="preserve">MIES. 2024.</w:t>
      </w:r>
      <w:r>
        <w:t xml:space="preserve"> </w:t>
      </w:r>
      <w:r>
        <w:rPr>
          <w:i/>
          <w:iCs/>
        </w:rPr>
        <w:t xml:space="preserve">Bono de Desarrollo Humano: Impacto En El Bienestar y Mercado Laboral</w:t>
      </w:r>
      <w:r>
        <w:t xml:space="preserve">. Ministerio de Inclusión Económica y Social de Ecuador.</w:t>
      </w:r>
    </w:p>
    <w:bookmarkEnd w:id="26"/>
    <w:bookmarkStart w:id="27" w:name="ref-shmueli2010"/>
    <w:p>
      <w:pPr>
        <w:pStyle w:val="Bibliography"/>
      </w:pPr>
      <w:r>
        <w:t xml:space="preserve">Shmueli, Galit. 2010.</w:t>
      </w:r>
      <w:r>
        <w:t xml:space="preserve"> </w:t>
      </w:r>
      <w:r>
        <w:t xml:space="preserve">“To Explain or to Predict?”</w:t>
      </w:r>
      <w:r>
        <w:t xml:space="preserve"> </w:t>
      </w:r>
      <w:r>
        <w:rPr>
          <w:i/>
          <w:iCs/>
        </w:rPr>
        <w:t xml:space="preserve">Statistical Science</w:t>
      </w:r>
      <w:r>
        <w:t xml:space="preserve"> </w:t>
      </w:r>
      <w:r>
        <w:t xml:space="preserve">25 (3): 289–310.</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Erick Fabricio Condoy Seraquive</dc:creator>
  <cp:keywords/>
  <dcterms:created xsi:type="dcterms:W3CDTF">2026-04-20T16:16:17Z</dcterms:created>
  <dcterms:modified xsi:type="dcterms:W3CDTF">2026-04-20T16:16:17Z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ignment">
    <vt:lpwstr>ACD1: Evaluación de Impacto — Bono de Desarrollo Humano (BDH)</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ourse">
    <vt:lpwstr>Econometría Aplicada</vt:lpwstr>
  </property>
  <property fmtid="{D5CDD505-2E9C-101B-9397-08002B2CF9AE}" pid="8" name="engines">
    <vt:lpwstr/>
  </property>
  <property fmtid="{D5CDD505-2E9C-101B-9397-08002B2CF9AE}" pid="9" name="faculty">
    <vt:lpwstr>Facultad Jurídica, Social y Administrativa</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professor">
    <vt:lpwstr>Eco. José Rafael Alvarado López</vt:lpwstr>
  </property>
  <property fmtid="{D5CDD505-2E9C-101B-9397-08002B2CF9AE}" pid="15" name="school">
    <vt:lpwstr>Carrera de Economía</vt:lpwstr>
  </property>
  <property fmtid="{D5CDD505-2E9C-101B-9397-08002B2CF9AE}" pid="16" name="submission_date">
    <vt:lpwstr>20 de abril de 2026</vt:lpwstr>
  </property>
  <property fmtid="{D5CDD505-2E9C-101B-9397-08002B2CF9AE}" pid="17" name="toc-title">
    <vt:lpwstr>Table of contents</vt:lpwstr>
  </property>
  <property fmtid="{D5CDD505-2E9C-101B-9397-08002B2CF9AE}" pid="18" name="university">
    <vt:lpwstr>Universidad Nacional de Loja</vt:lpwstr>
  </property>
</Properties>
</file>