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8"/>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AA1: Modelado de Series de Tiempo</w:t>
      </w:r>
      <w:r>
        <w:rPr>
          <w:rFonts w:ascii="Times New Roman" w:hAnsi="Times New Roman" w:eastAsia="Times New Roman" w:cs="Times New Roman"/>
          <w:color w:val="000000" w:themeColor="text1"/>
          <w:sz w:val="22"/>
          <w:szCs w:val="22"/>
          <w:lang w:val="es-ES"/>
        </w:rPr>
      </w:r>
    </w:p>
    <w:p>
      <w:pPr>
        <w:pStyle w:val="690"/>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Unidad 1 - Econometría Aplicada</w:t>
      </w:r>
      <w:r>
        <w:rPr>
          <w:rFonts w:ascii="Times New Roman" w:hAnsi="Times New Roman" w:eastAsia="Times New Roman" w:cs="Times New Roman"/>
          <w:color w:val="000000" w:themeColor="text1"/>
          <w:sz w:val="22"/>
          <w:szCs w:val="22"/>
          <w:lang w:val="es-ES"/>
        </w:rPr>
      </w:r>
    </w:p>
    <w:p>
      <w:pPr>
        <w:pStyle w:val="692"/>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Erick Fabricio Condoy Seraquive</w:t>
      </w:r>
      <w:r>
        <w:rPr>
          <w:rFonts w:ascii="Times New Roman" w:hAnsi="Times New Roman" w:eastAsia="Times New Roman" w:cs="Times New Roman"/>
          <w:color w:val="000000" w:themeColor="text1"/>
          <w:sz w:val="22"/>
          <w:szCs w:val="22"/>
          <w:lang w:val="es-ES"/>
        </w:rPr>
      </w:r>
    </w:p>
    <w:p>
      <w:pPr>
        <w:pStyle w:val="693"/>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2026-05-11</w:t>
      </w:r>
      <w:r>
        <w:rPr>
          <w:rFonts w:ascii="Times New Roman" w:hAnsi="Times New Roman" w:eastAsia="Times New Roman" w:cs="Times New Roman"/>
          <w:color w:val="000000" w:themeColor="text1"/>
          <w:sz w:val="22"/>
          <w:szCs w:val="22"/>
          <w:lang w:val="es-ES"/>
        </w:rPr>
      </w:r>
    </w:p>
    <w:p>
      <w:pPr>
        <w:pStyle w:val="697"/>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9" w:name="problema-de-investigación"/>
      <w:r>
        <w:rPr>
          <w:rFonts w:ascii="Times New Roman" w:hAnsi="Times New Roman" w:eastAsia="Times New Roman" w:cs="Times New Roman"/>
          <w:b/>
          <w:bCs/>
          <w:color w:val="000000" w:themeColor="text1"/>
          <w:sz w:val="22"/>
          <w:szCs w:val="22"/>
          <w:lang w:val="es-ES"/>
        </w:rPr>
        <w:t xml:space="preserve">1. Problema de Investigación</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La economía ecuatoriana, caracterizada por ser una estructura pequeña, abierta y dolarizada, presenta una dependencia estructural de las importaciones para el abastecimiento de bienes de capital, materias primas</w:t>
      </w:r>
      <w:r>
        <w:rPr>
          <w:rFonts w:ascii="Times New Roman" w:hAnsi="Times New Roman" w:eastAsia="Times New Roman" w:cs="Times New Roman"/>
          <w:color w:val="000000" w:themeColor="text1"/>
          <w:sz w:val="22"/>
          <w:szCs w:val="22"/>
          <w:lang w:val="es-ES"/>
        </w:rPr>
        <w:t xml:space="preserve"> y bienes de consumo final. Un desafío recurrente en la gestión macroeconómica es la vulnerabilidad de la balanza comercial ante las fluctuaciones del ingreso nacional, ya que una elevada propensión marginal a importar puede restringir el crecimiento econó</w:t>
      </w:r>
      <w:r>
        <w:rPr>
          <w:rFonts w:ascii="Times New Roman" w:hAnsi="Times New Roman" w:eastAsia="Times New Roman" w:cs="Times New Roman"/>
          <w:color w:val="000000" w:themeColor="text1"/>
          <w:sz w:val="22"/>
          <w:szCs w:val="22"/>
          <w:lang w:val="es-ES"/>
        </w:rPr>
        <w:t xml:space="preserve">mico mediante limitaciones en la balanza de pagos. Por esta razón, resulta imperativo cuantificar la dinámica de esta relación a través de modelos econométricos que capturen la persistencia temporal y la inercia en las decisiones de los agentes económicos.</w:t>
      </w:r>
      <w:r>
        <w:rPr>
          <w:rFonts w:ascii="Times New Roman" w:hAnsi="Times New Roman" w:eastAsia="Times New Roman" w:cs="Times New Roman"/>
          <w:color w:val="000000" w:themeColor="text1"/>
          <w:sz w:val="22"/>
          <w:szCs w:val="22"/>
          <w:lang w:val="es-ES"/>
        </w:rPr>
      </w:r>
      <w:r>
        <w:rPr>
          <w:rFonts w:ascii="Times New Roman" w:hAnsi="Times New Roman" w:eastAsia="Times New Roman" w:cs="Times New Roman"/>
          <w:color w:val="000000" w:themeColor="text1"/>
          <w:sz w:val="22"/>
          <w:szCs w:val="22"/>
          <w:lang w:val="es-ES"/>
        </w:rPr>
      </w:r>
      <w:r>
        <w:rPr>
          <w:rFonts w:ascii="Times New Roman" w:hAnsi="Times New Roman" w:eastAsia="Times New Roman" w:cs="Times New Roman"/>
          <w:color w:val="000000" w:themeColor="text1"/>
          <w:sz w:val="22"/>
          <w:szCs w:val="22"/>
          <w:lang w:val="es-ES"/>
        </w:rPr>
      </w:r>
      <w:r>
        <w:rPr>
          <w:rFonts w:ascii="Times New Roman" w:hAnsi="Times New Roman" w:cs="Times New Roman"/>
          <w:color w:val="000000" w:themeColor="text1"/>
          <w:sz w:val="22"/>
          <w:szCs w:val="22"/>
        </w:rPr>
      </w:r>
    </w:p>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br w:type="page" w:clear="all"/>
      </w:r>
      <w:bookmarkEnd w:id="9"/>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p>
      <w:pPr>
        <w:pStyle w:val="697"/>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11" w:name="teoría"/>
      <w:r>
        <w:rPr>
          <w:rFonts w:ascii="Times New Roman" w:hAnsi="Times New Roman" w:eastAsia="Times New Roman" w:cs="Times New Roman"/>
          <w:b/>
          <w:bCs/>
          <w:color w:val="000000" w:themeColor="text1"/>
          <w:sz w:val="22"/>
          <w:szCs w:val="22"/>
          <w:lang w:val="es-ES"/>
        </w:rPr>
        <w:t xml:space="preserve">2. Teoría</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La </w:t>
      </w:r>
      <w:r>
        <w:rPr>
          <w:rFonts w:ascii="Times New Roman" w:hAnsi="Times New Roman" w:eastAsia="Times New Roman" w:cs="Times New Roman"/>
          <w:color w:val="000000" w:themeColor="text1"/>
          <w:sz w:val="22"/>
          <w:szCs w:val="22"/>
          <w:lang w:val="es-ES"/>
        </w:rPr>
        <w:t xml:space="preserve">demanda de importaciones se fundamenta teóricamente en el enfoque de absorción, donde el volumen de compras externas está condicionado primordialmente por el nivel de ingreso nacional y los precios relativos. Esta relación económica se formaliza mediante u</w:t>
      </w:r>
      <w:r>
        <w:rPr>
          <w:rFonts w:ascii="Times New Roman" w:hAnsi="Times New Roman" w:eastAsia="Times New Roman" w:cs="Times New Roman"/>
          <w:color w:val="000000" w:themeColor="text1"/>
          <w:sz w:val="22"/>
          <w:szCs w:val="22"/>
          <w:lang w:val="es-ES"/>
        </w:rPr>
        <w:t xml:space="preserve">na función donde el ingreso real actúa como el determinante de la capacidad de gasto de los agentes, sugiriendo que un incremento en el producto interno bruto desplaza la restricción presupuestaria y eleva sistemáticamente la demanda de bienes extranjeros.</w:t>
      </w:r>
      <w:r>
        <w:rPr>
          <w:rFonts w:ascii="Times New Roman" w:hAnsi="Times New Roman" w:eastAsia="Times New Roman" w:cs="Times New Roman"/>
          <w:color w:val="000000" w:themeColor="text1"/>
          <w:sz w:val="22"/>
          <w:szCs w:val="22"/>
          <w:lang w:val="es-ES"/>
        </w:rPr>
      </w:r>
    </w:p>
    <w:p>
      <w:pPr>
        <w:pStyle w:val="685"/>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10" w:name="eq-teoria"/>
      <w:r>
        <w:rPr>
          <w:rFonts w:ascii="Times New Roman" w:hAnsi="Times New Roman" w:eastAsia="Times New Roman" w:cs="Times New Roman"/>
          <w:color w:val="000000" w:themeColor="text1"/>
          <w:sz w:val="22"/>
          <w:szCs w:val="22"/>
          <w:lang w:val="es-ES" w:bidi="es-ES"/>
        </w:rPr>
      </w:r>
      <m:oMathPara>
        <m:oMathParaPr>
          <m:jc m:val="centerGroup"/>
        </m:oMathParaPr>
        <m:oMath>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M</m:t>
              </m:r>
            </m:e>
            <m:sub>
              <m:r>
                <w:rPr>
                  <w:rFonts w:hint="default" w:ascii="Cambria Math" w:hAnsi="Cambria Math" w:eastAsia="Cambria Math" w:cs="Cambria Math"/>
                  <w:color w:val="000000" w:themeColor="text1"/>
                  <w:sz w:val="22"/>
                  <w:szCs w:val="22"/>
                  <w:lang w:val="es-ES" w:bidi="es-ES"/>
                </w:rPr>
                <m:rPr/>
                <m:t>t</m:t>
              </m:r>
            </m:sub>
          </m:sSub>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β</m:t>
              </m:r>
            </m:e>
            <m:sub>
              <m:r>
                <w:rPr>
                  <w:rFonts w:hint="default" w:ascii="Cambria Math" w:hAnsi="Cambria Math" w:eastAsia="Cambria Math" w:cs="Cambria Math"/>
                  <w:color w:val="000000" w:themeColor="text1"/>
                  <w:sz w:val="22"/>
                  <w:szCs w:val="22"/>
                  <w:lang w:val="es-ES" w:bidi="es-ES"/>
                </w:rPr>
                <m:rPr/>
                <m:t>0</m:t>
              </m:r>
            </m:sub>
          </m:sSub>
          <m:sSubSup>
            <m:sSubSupPr>
              <m:alnScr m:val="off"/>
              <m:ctrlPr>
                <w:rPr>
                  <w:rFonts w:hint="default" w:ascii="Cambria Math" w:hAnsi="Cambria Math" w:eastAsia="Cambria Math" w:cs="Cambria Math"/>
                  <w:color w:val="000000" w:themeColor="text1"/>
                  <w:sz w:val="22"/>
                </w:rPr>
              </m:ctrlPr>
            </m:sSubSupPr>
            <m:e>
              <m:r>
                <w:rPr>
                  <w:rFonts w:hint="default" w:ascii="Cambria Math" w:hAnsi="Cambria Math" w:eastAsia="Cambria Math" w:cs="Cambria Math"/>
                  <w:color w:val="000000" w:themeColor="text1"/>
                  <w:sz w:val="22"/>
                  <w:szCs w:val="22"/>
                  <w:lang w:val="es-ES" w:bidi="es-ES"/>
                </w:rPr>
                <m:rPr/>
                <m:t>Y</m:t>
              </m:r>
            </m:e>
            <m:sub>
              <m:r>
                <w:rPr>
                  <w:rFonts w:hint="default" w:ascii="Cambria Math" w:hAnsi="Cambria Math" w:eastAsia="Cambria Math" w:cs="Cambria Math"/>
                  <w:color w:val="000000" w:themeColor="text1"/>
                  <w:sz w:val="22"/>
                  <w:szCs w:val="22"/>
                  <w:lang w:val="es-ES" w:bidi="es-ES"/>
                </w:rPr>
                <m:rPr/>
                <m:t>t</m:t>
              </m:r>
            </m:sub>
            <m:sup>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β</m:t>
                  </m:r>
                </m:e>
                <m:sub>
                  <m:r>
                    <w:rPr>
                      <w:rFonts w:hint="default" w:ascii="Cambria Math" w:hAnsi="Cambria Math" w:eastAsia="Cambria Math" w:cs="Cambria Math"/>
                      <w:color w:val="000000" w:themeColor="text1"/>
                      <w:sz w:val="22"/>
                      <w:szCs w:val="22"/>
                      <w:lang w:val="es-ES" w:bidi="es-ES"/>
                    </w:rPr>
                    <m:rPr/>
                    <m:t>1</m:t>
                  </m:r>
                </m:sub>
              </m:sSub>
            </m:sup>
          </m:sSubSup>
          <m:sSup>
            <m:sSupPr>
              <m:ctrlPr>
                <w:rPr>
                  <w:rFonts w:hint="default" w:ascii="Cambria Math" w:hAnsi="Cambria Math" w:eastAsia="Cambria Math" w:cs="Cambria Math"/>
                  <w:color w:val="000000" w:themeColor="text1"/>
                  <w:sz w:val="22"/>
                </w:rPr>
              </m:ctrlPr>
            </m:sSupPr>
            <m:e>
              <m:r>
                <w:rPr>
                  <w:rFonts w:hint="default" w:ascii="Cambria Math" w:hAnsi="Cambria Math" w:eastAsia="Cambria Math" w:cs="Cambria Math"/>
                  <w:color w:val="000000" w:themeColor="text1"/>
                  <w:sz w:val="22"/>
                  <w:szCs w:val="22"/>
                  <w:lang w:val="es-ES" w:bidi="es-ES"/>
                </w:rPr>
                <m:rPr/>
                <m:t>e</m:t>
              </m:r>
            </m:e>
            <m:sup>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ε</m:t>
                  </m:r>
                </m:e>
                <m:sub>
                  <m:r>
                    <w:rPr>
                      <w:rFonts w:hint="default" w:ascii="Cambria Math" w:hAnsi="Cambria Math" w:eastAsia="Cambria Math" w:cs="Cambria Math"/>
                      <w:color w:val="000000" w:themeColor="text1"/>
                      <w:sz w:val="22"/>
                      <w:szCs w:val="22"/>
                      <w:lang w:val="es-ES" w:bidi="es-ES"/>
                    </w:rPr>
                    <m:rPr/>
                    <m:t>t</m:t>
                  </m:r>
                </m:sub>
              </m:sSub>
            </m:sup>
          </m:sSup>
          <m:r>
            <w:rPr>
              <w:rFonts w:hint="default" w:ascii="Cambria Math" w:hAnsi="Cambria Math" w:eastAsia="Cambria Math" w:cs="Cambria Math"/>
              <w:color w:val="000000" w:themeColor="text1"/>
              <w:sz w:val="22"/>
              <w:szCs w:val="22"/>
              <w:lang w:val="es-ES" w:bidi="es-ES"/>
            </w:rPr>
            <m:rPr/>
            <m:t>  </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1</m:t>
          </m:r>
          <m:r>
            <w:rPr>
              <w:rFonts w:hint="default" w:ascii="Cambria Math" w:hAnsi="Cambria Math" w:eastAsia="Cambria Math" w:cs="Cambria Math"/>
              <w:color w:val="000000" w:themeColor="text1"/>
              <w:sz w:val="22"/>
              <w:szCs w:val="22"/>
              <w:lang w:val="es-ES" w:bidi="es-ES"/>
            </w:rPr>
            <m:rPr>
              <m:sty m:val="p"/>
            </m:rPr>
            <m:t>)</m:t>
          </m:r>
        </m:oMath>
      </m:oMathPara>
      <w:r>
        <w:rPr>
          <w:rFonts w:ascii="Times New Roman" w:hAnsi="Times New Roman" w:eastAsia="Times New Roman" w:cs="Times New Roman"/>
          <w:color w:val="000000" w:themeColor="text1"/>
          <w:sz w:val="22"/>
          <w:szCs w:val="22"/>
          <w:lang w:val="es-ES" w:bidi="es-ES"/>
        </w:rPr>
      </w:r>
      <w:bookmarkEnd w:id="10"/>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La dinámica de esta relación implica que el ajuste hacia el equilibrio estable no es instantáneo debido a la presencia de rigideces contractuales, costos de transacción e inercia en los hábitos de consumo. Por tanto, la teoría moderna de series de tiem</w:t>
      </w:r>
      <w:r>
        <w:rPr>
          <w:rFonts w:ascii="Times New Roman" w:hAnsi="Times New Roman" w:eastAsia="Times New Roman" w:cs="Times New Roman"/>
          <w:color w:val="000000" w:themeColor="text1"/>
          <w:sz w:val="22"/>
          <w:szCs w:val="22"/>
          <w:lang w:val="es-ES"/>
        </w:rPr>
        <w:t xml:space="preserve">po sugiere que la función de importaciones debe modelarse bajo una estructura de ajuste parcial, donde los niveles actuales de comercio exterior están influenciados por su propio comportamiento pasado, justificando así el uso de especificaciones dinámicas.</w:t>
      </w:r>
      <w:r>
        <w:rPr>
          <w:rFonts w:ascii="Times New Roman" w:hAnsi="Times New Roman" w:eastAsia="Times New Roman" w:cs="Times New Roman"/>
          <w:color w:val="000000" w:themeColor="text1"/>
          <w:sz w:val="22"/>
          <w:szCs w:val="22"/>
          <w:lang w:val="es-ES"/>
        </w:rPr>
      </w:r>
    </w:p>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br w:type="page" w:clear="all"/>
      </w:r>
      <w:bookmarkEnd w:id="11"/>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p>
      <w:pPr>
        <w:pStyle w:val="697"/>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17" w:name="especificación-de-variables-y-modelo"/>
      <w:r>
        <w:rPr>
          <w:rFonts w:ascii="Times New Roman" w:hAnsi="Times New Roman" w:eastAsia="Times New Roman" w:cs="Times New Roman"/>
          <w:b/>
          <w:bCs/>
          <w:color w:val="000000" w:themeColor="text1"/>
          <w:sz w:val="22"/>
          <w:szCs w:val="22"/>
          <w:lang w:val="es-ES"/>
        </w:rPr>
        <w:t xml:space="preserve">3. Especificación de Variables y Modelo</w:t>
      </w:r>
      <w:r>
        <w:rPr>
          <w:rFonts w:ascii="Times New Roman" w:hAnsi="Times New Roman" w:eastAsia="Times New Roman" w:cs="Times New Roman"/>
          <w:b/>
          <w:bCs/>
          <w:color w:val="000000" w:themeColor="text1"/>
          <w:sz w:val="22"/>
          <w:szCs w:val="22"/>
          <w:lang w:val="es-ES"/>
        </w:rPr>
      </w:r>
    </w:p>
    <w:p>
      <w:pPr>
        <w:pStyle w:val="698"/>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13" w:name="definición-de-variables-y-fuentes"/>
      <w:r>
        <w:rPr>
          <w:rFonts w:ascii="Times New Roman" w:hAnsi="Times New Roman" w:eastAsia="Times New Roman" w:cs="Times New Roman"/>
          <w:b/>
          <w:bCs/>
          <w:color w:val="000000" w:themeColor="text1"/>
          <w:sz w:val="22"/>
          <w:szCs w:val="22"/>
          <w:lang w:val="es-ES"/>
        </w:rPr>
        <w:t xml:space="preserve">3.1  Definición de Variables y Fuentes</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El estudio de la demanda de importaciones utiliza una especificación pentavariante que integra determinantes estructurales de la inversión, el sector extractivo y la estabilidad macroeconómica (</w:t>
      </w:r>
      <w:hyperlink w:tooltip="#tbl-variables" w:anchor="tbl-variables" w:history="1">
        <w:r>
          <w:rPr>
            <w:rStyle w:val="731"/>
            <w:rFonts w:ascii="Times New Roman" w:hAnsi="Times New Roman" w:eastAsia="Times New Roman" w:cs="Times New Roman"/>
            <w:color w:val="000000" w:themeColor="text1"/>
            <w:sz w:val="22"/>
            <w:szCs w:val="22"/>
            <w:lang w:val="es-ES"/>
          </w:rPr>
          <w:t xml:space="preserve">Table 1</w:t>
        </w:r>
      </w:hyperlink>
      <w:r>
        <w:rPr>
          <w:rFonts w:ascii="Times New Roman" w:hAnsi="Times New Roman" w:eastAsia="Times New Roman" w:cs="Times New Roman"/>
          <w:color w:val="000000" w:themeColor="text1"/>
          <w:sz w:val="22"/>
          <w:szCs w:val="22"/>
          <w:lang w:val="es-ES"/>
        </w:rPr>
        <w:t xml:space="preserve">). Las series abarcan el periodo 1970-2021, lo que permite capturar divers</w:t>
      </w:r>
      <w:r>
        <w:rPr>
          <w:rFonts w:ascii="Times New Roman" w:hAnsi="Times New Roman" w:eastAsia="Times New Roman" w:cs="Times New Roman"/>
          <w:color w:val="000000" w:themeColor="text1"/>
          <w:sz w:val="22"/>
          <w:szCs w:val="22"/>
          <w:lang w:val="es-ES"/>
        </w:rPr>
        <w:t xml:space="preserve">os ciclos económicos y cambios en el régimen monetario de la economía ecuatoriana. Los datos han sido deflactados y transformados logarítmicamente para asegurar la interpretación de los parámetros como elasticidades y estabilizar la varianza de las series.</w:t>
      </w:r>
      <w:r>
        <w:rPr>
          <w:rFonts w:ascii="Times New Roman" w:hAnsi="Times New Roman" w:eastAsia="Times New Roman" w:cs="Times New Roman"/>
          <w:color w:val="000000" w:themeColor="text1"/>
          <w:sz w:val="22"/>
          <w:szCs w:val="22"/>
          <w:lang w:val="es-ES"/>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12" w:name="tbl-variables"/>
            <w:r>
              <w:rPr>
                <w:rFonts w:ascii="Times New Roman" w:hAnsi="Times New Roman" w:eastAsia="Times New Roman" w:cs="Times New Roman"/>
                <w:color w:val="000000" w:themeColor="text1"/>
                <w:sz w:val="22"/>
                <w:szCs w:val="22"/>
                <w:lang w:val="es-ES"/>
              </w:rPr>
              <w:t xml:space="preserve">Table 1: Definición de Variables, Símbolos y Fuentes de Información.</w:t>
            </w:r>
            <w:r>
              <w:rPr>
                <w:rFonts w:ascii="Times New Roman" w:hAnsi="Times New Roman" w:eastAsia="Times New Roman" w:cs="Times New Roman"/>
                <w:color w:val="000000" w:themeColor="text1"/>
                <w:sz w:val="22"/>
                <w:szCs w:val="22"/>
                <w:lang w:val="es-ES"/>
              </w:rPr>
            </w:r>
          </w:p>
          <w:tbl>
            <w:tblPr>
              <w:tblStyle w:val="719"/>
              <w:tblW w:w="5000" w:type="pct"/>
              <w:tblBorders/>
              <w:tblLayout w:type="fixed"/>
              <w:tblLook w:val="0020" w:firstRow="1" w:lastRow="0" w:firstColumn="0" w:lastColumn="0" w:noHBand="0" w:noVBand="0"/>
            </w:tblPr>
            <w:tblGrid>
              <w:gridCol w:w="1863"/>
              <w:gridCol w:w="2329"/>
              <w:gridCol w:w="1863"/>
              <w:gridCol w:w="1863"/>
            </w:tblGrid>
            <w:tr>
              <w:trPr>
                <w:tblHeade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Variable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Símbolo</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Descripción Técnica</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Fuente</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Log-Import.</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Para>
                    <m:oMathParaPr>
                      <m:jc m:val="centerGroup"/>
                    </m:oMathParaPr>
                    <m:oMath>
                      <m:r>
                        <w:rPr>
                          <w:rFonts w:hint="default" w:ascii="Cambria Math" w:hAnsi="Cambria Math" w:eastAsia="Cambria Math" w:cs="Cambria Math"/>
                          <w:color w:val="000000" w:themeColor="text1"/>
                          <w:sz w:val="22"/>
                          <w:szCs w:val="22"/>
                          <w:lang w:val="es-ES" w:bidi="es-ES"/>
                        </w:rPr>
                        <m:rPr>
                          <m:sty m:val="p"/>
                        </m:rPr>
                        <m:t>ln</m:t>
                      </m:r>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M</m:t>
                          </m:r>
                        </m:e>
                        <m:sub>
                          <m:r>
                            <w:rPr>
                              <w:rFonts w:hint="default" w:ascii="Cambria Math" w:hAnsi="Cambria Math" w:eastAsia="Cambria Math" w:cs="Cambria Math"/>
                              <w:color w:val="000000" w:themeColor="text1"/>
                              <w:sz w:val="22"/>
                              <w:szCs w:val="22"/>
                              <w:lang w:val="es-ES" w:bidi="es-ES"/>
                            </w:rPr>
                            <m:rPr/>
                            <m:t>t</m:t>
                          </m:r>
                        </m:sub>
                      </m:sSub>
                      <m:r>
                        <w:rPr>
                          <w:rFonts w:hint="default" w:ascii="Cambria Math" w:hAnsi="Cambria Math" w:eastAsia="Cambria Math" w:cs="Cambria Math"/>
                          <w:color w:val="000000" w:themeColor="text1"/>
                          <w:sz w:val="22"/>
                          <w:szCs w:val="22"/>
                          <w:lang w:val="es-ES" w:bidi="es-ES"/>
                        </w:rPr>
                        <m:rPr>
                          <m:sty m:val="p"/>
                        </m:rPr>
                        <m:t>)</m:t>
                      </m:r>
                    </m:oMath>
                  </m:oMathPara>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Importaciones de bienes y servicios (Log USD)</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Banco Mundial</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Log-PIB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Para>
                    <m:oMathParaPr>
                      <m:jc m:val="centerGroup"/>
                    </m:oMathParaPr>
                    <m:oMath>
                      <m:r>
                        <w:rPr>
                          <w:rFonts w:hint="default" w:ascii="Cambria Math" w:hAnsi="Cambria Math" w:eastAsia="Cambria Math" w:cs="Cambria Math"/>
                          <w:color w:val="000000" w:themeColor="text1"/>
                          <w:sz w:val="22"/>
                          <w:szCs w:val="22"/>
                          <w:lang w:val="es-ES" w:bidi="es-ES"/>
                        </w:rPr>
                        <m:rPr>
                          <m:sty m:val="p"/>
                        </m:rPr>
                        <m:t>ln</m:t>
                      </m:r>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Y</m:t>
                          </m:r>
                        </m:e>
                        <m:sub>
                          <m:r>
                            <w:rPr>
                              <w:rFonts w:hint="default" w:ascii="Cambria Math" w:hAnsi="Cambria Math" w:eastAsia="Cambria Math" w:cs="Cambria Math"/>
                              <w:color w:val="000000" w:themeColor="text1"/>
                              <w:sz w:val="22"/>
                              <w:szCs w:val="22"/>
                              <w:lang w:val="es-ES" w:bidi="es-ES"/>
                            </w:rPr>
                            <m:rPr/>
                            <m:t>t</m:t>
                          </m:r>
                        </m:sub>
                      </m:sSub>
                      <m:r>
                        <w:rPr>
                          <w:rFonts w:hint="default" w:ascii="Cambria Math" w:hAnsi="Cambria Math" w:eastAsia="Cambria Math" w:cs="Cambria Math"/>
                          <w:color w:val="000000" w:themeColor="text1"/>
                          <w:sz w:val="22"/>
                          <w:szCs w:val="22"/>
                          <w:lang w:val="es-ES" w:bidi="es-ES"/>
                        </w:rPr>
                        <m:rPr>
                          <m:sty m:val="p"/>
                        </m:rPr>
                        <m:t>)</m:t>
                      </m:r>
                    </m:oMath>
                  </m:oMathPara>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Producto Interno Bruto Real (Log USD constantes)</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Banco Mundial</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Inversión</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Para>
                    <m:oMathParaPr>
                      <m:jc m:val="centerGroup"/>
                    </m:oMathParaPr>
                    <m:oMath>
                      <m:r>
                        <w:rPr>
                          <w:rFonts w:hint="default" w:ascii="Cambria Math" w:hAnsi="Cambria Math" w:eastAsia="Cambria Math" w:cs="Cambria Math"/>
                          <w:color w:val="000000" w:themeColor="text1"/>
                          <w:sz w:val="22"/>
                          <w:szCs w:val="22"/>
                          <w:lang w:val="es-ES" w:bidi="es-ES"/>
                        </w:rPr>
                        <m:rPr/>
                        <m:t>I</m:t>
                      </m:r>
                      <m:r>
                        <w:rPr>
                          <w:rFonts w:hint="default" w:ascii="Cambria Math" w:hAnsi="Cambria Math" w:eastAsia="Cambria Math" w:cs="Cambria Math"/>
                          <w:color w:val="000000" w:themeColor="text1"/>
                          <w:sz w:val="22"/>
                          <w:szCs w:val="22"/>
                          <w:lang w:val="es-ES" w:bidi="es-ES"/>
                        </w:rPr>
                        <m:rPr/>
                        <m:t>E</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D</m:t>
                          </m:r>
                        </m:e>
                        <m:sub>
                          <m:r>
                            <w:rPr>
                              <w:rFonts w:hint="default" w:ascii="Cambria Math" w:hAnsi="Cambria Math" w:eastAsia="Cambria Math" w:cs="Cambria Math"/>
                              <w:color w:val="000000" w:themeColor="text1"/>
                              <w:sz w:val="22"/>
                              <w:szCs w:val="22"/>
                              <w:lang w:val="es-ES" w:bidi="es-ES"/>
                            </w:rPr>
                            <m:rPr/>
                            <m:t>t</m:t>
                          </m:r>
                        </m:sub>
                      </m:sSub>
                    </m:oMath>
                  </m:oMathPara>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Flujos netos de Inversión Extranjera (%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WDI / QOG</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Petróleo</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Para>
                    <m:oMathParaPr>
                      <m:jc m:val="centerGroup"/>
                    </m:oMathParaPr>
                    <m:oMath>
                      <m:r>
                        <w:rPr>
                          <w:rFonts w:hint="default" w:ascii="Cambria Math" w:hAnsi="Cambria Math" w:eastAsia="Cambria Math" w:cs="Cambria Math"/>
                          <w:color w:val="000000" w:themeColor="text1"/>
                          <w:sz w:val="22"/>
                          <w:szCs w:val="22"/>
                          <w:lang w:val="es-ES" w:bidi="es-ES"/>
                        </w:rPr>
                        <m:rPr/>
                        <m:t>P</m:t>
                      </m:r>
                      <m:r>
                        <w:rPr>
                          <w:rFonts w:hint="default" w:ascii="Cambria Math" w:hAnsi="Cambria Math" w:eastAsia="Cambria Math" w:cs="Cambria Math"/>
                          <w:color w:val="000000" w:themeColor="text1"/>
                          <w:sz w:val="22"/>
                          <w:szCs w:val="22"/>
                          <w:lang w:val="es-ES" w:bidi="es-ES"/>
                        </w:rPr>
                        <m:rPr/>
                        <m:t>e</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t</m:t>
                          </m:r>
                        </m:e>
                        <m:sub>
                          <m:r>
                            <w:rPr>
                              <w:rFonts w:hint="default" w:ascii="Cambria Math" w:hAnsi="Cambria Math" w:eastAsia="Cambria Math" w:cs="Cambria Math"/>
                              <w:color w:val="000000" w:themeColor="text1"/>
                              <w:sz w:val="22"/>
                              <w:szCs w:val="22"/>
                              <w:lang w:val="es-ES" w:bidi="es-ES"/>
                            </w:rPr>
                            <m:rPr/>
                            <m:t>t</m:t>
                          </m:r>
                        </m:sub>
                      </m:sSub>
                    </m:oMath>
                  </m:oMathPara>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Rentas provenientes del petróleo (%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WDI / QOG</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Estabilidad</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Para>
                    <m:oMathParaPr>
                      <m:jc m:val="centerGroup"/>
                    </m:oMathParaPr>
                    <m:oMath>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π</m:t>
                          </m:r>
                        </m:e>
                        <m:sub>
                          <m:r>
                            <w:rPr>
                              <w:rFonts w:hint="default" w:ascii="Cambria Math" w:hAnsi="Cambria Math" w:eastAsia="Cambria Math" w:cs="Cambria Math"/>
                              <w:color w:val="000000" w:themeColor="text1"/>
                              <w:sz w:val="22"/>
                              <w:szCs w:val="22"/>
                              <w:lang w:val="es-ES" w:bidi="es-ES"/>
                            </w:rPr>
                            <m:rPr/>
                            <m:t>t</m:t>
                          </m:r>
                        </m:sub>
                      </m:sSub>
                    </m:oMath>
                  </m:oMathPara>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Inflación, precios al consumidor (% anual)</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WDI / QOG</w:t>
                  </w:r>
                  <w:bookmarkEnd w:id="12"/>
                  <w:r>
                    <w:rPr>
                      <w:rFonts w:ascii="Times New Roman" w:hAnsi="Times New Roman" w:eastAsia="Times New Roman" w:cs="Times New Roman"/>
                      <w:color w:val="000000" w:themeColor="text1"/>
                      <w:sz w:val="22"/>
                      <w:szCs w:val="22"/>
                      <w:lang w:val="es-ES"/>
                    </w:rPr>
                  </w:r>
                </w:p>
              </w:tc>
            </w:tr>
          </w:tbl>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End w:id="13"/>
            <w:r>
              <w:rPr>
                <w:rFonts w:ascii="Times New Roman" w:hAnsi="Times New Roman" w:eastAsia="Times New Roman" w:cs="Times New Roman"/>
                <w:color w:val="000000" w:themeColor="text1"/>
                <w:sz w:val="22"/>
                <w:szCs w:val="22"/>
                <w:lang w:val="es-ES"/>
              </w:rPr>
            </w:r>
          </w:p>
        </w:tc>
      </w:tr>
    </w:tbl>
    <w:p>
      <w:pPr>
        <w:pStyle w:val="698"/>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15" w:name="especificación-del-modelo-econométrico"/>
      <w:r>
        <w:rPr>
          <w:rFonts w:ascii="Times New Roman" w:hAnsi="Times New Roman" w:eastAsia="Times New Roman" w:cs="Times New Roman"/>
          <w:color w:val="000000" w:themeColor="text1"/>
          <w:sz w:val="22"/>
          <w:szCs w:val="22"/>
          <w:lang w:val="es-ES"/>
        </w:rPr>
        <w:t xml:space="preserve">3.2 3.2. Especificación del Modelo Econométrico</w:t>
      </w:r>
      <w:r>
        <w:rPr>
          <w:rFonts w:ascii="Times New Roman" w:hAnsi="Times New Roman" w:eastAsia="Times New Roman" w:cs="Times New Roman"/>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La modelización dinámica se realiza mediante un modelo Autoregresivo con Rezagos Distribuidos (ARDL 1, 0), el cual permite cuantificar tanto la elasticidad ingr</w:t>
      </w:r>
      <w:r>
        <w:rPr>
          <w:rFonts w:ascii="Times New Roman" w:hAnsi="Times New Roman" w:eastAsia="Times New Roman" w:cs="Times New Roman"/>
          <w:color w:val="000000" w:themeColor="text1"/>
          <w:sz w:val="22"/>
          <w:szCs w:val="22"/>
          <w:lang w:val="es-ES"/>
        </w:rPr>
        <w:t xml:space="preserve">eso inmediata como el efecto de persistencia intertemporal. Esta especificación es adecuada para series que presentan cointegración y permite derivar el Modelo de Corrección de Errores para evaluar la velocidad de ajuste hacia el equilibrio de largo plazo:</w:t>
      </w:r>
      <w:r>
        <w:rPr>
          <w:rFonts w:ascii="Times New Roman" w:hAnsi="Times New Roman" w:eastAsia="Times New Roman" w:cs="Times New Roman"/>
          <w:color w:val="000000" w:themeColor="text1"/>
          <w:sz w:val="22"/>
          <w:szCs w:val="22"/>
          <w:lang w:val="es-ES"/>
        </w:rPr>
      </w:r>
    </w:p>
    <w:p>
      <w:pPr>
        <w:pStyle w:val="685"/>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14" w:name="eq-ardl"/>
      <w:r>
        <w:rPr>
          <w:rFonts w:ascii="Times New Roman" w:hAnsi="Times New Roman" w:eastAsia="Times New Roman" w:cs="Times New Roman"/>
          <w:color w:val="000000" w:themeColor="text1"/>
          <w:sz w:val="22"/>
          <w:szCs w:val="22"/>
          <w:lang w:val="es-ES" w:bidi="es-ES"/>
        </w:rPr>
      </w:r>
      <m:oMathPara>
        <m:oMathParaPr>
          <m:jc m:val="centerGroup"/>
        </m:oMathParaPr>
        <m:oMath>
          <m:r>
            <w:rPr>
              <w:rFonts w:hint="default" w:ascii="Cambria Math" w:hAnsi="Cambria Math" w:eastAsia="Cambria Math" w:cs="Cambria Math"/>
              <w:color w:val="000000" w:themeColor="text1"/>
              <w:sz w:val="22"/>
              <w:szCs w:val="22"/>
              <w:lang w:val="es-ES" w:bidi="es-ES"/>
            </w:rPr>
            <m:rPr>
              <m:sty m:val="p"/>
            </m:rPr>
            <m:t>ln</m:t>
          </m:r>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M</m:t>
              </m:r>
            </m:e>
            <m:sub>
              <m:r>
                <w:rPr>
                  <w:rFonts w:hint="default" w:ascii="Cambria Math" w:hAnsi="Cambria Math" w:eastAsia="Cambria Math" w:cs="Cambria Math"/>
                  <w:color w:val="000000" w:themeColor="text1"/>
                  <w:sz w:val="22"/>
                  <w:szCs w:val="22"/>
                  <w:lang w:val="es-ES" w:bidi="es-ES"/>
                </w:rPr>
                <m:rPr/>
                <m:t>t</m:t>
              </m:r>
            </m:sub>
          </m:sSub>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α</m:t>
          </m:r>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β</m:t>
              </m:r>
            </m:e>
            <m:sub>
              <m:r>
                <w:rPr>
                  <w:rFonts w:hint="default" w:ascii="Cambria Math" w:hAnsi="Cambria Math" w:eastAsia="Cambria Math" w:cs="Cambria Math"/>
                  <w:color w:val="000000" w:themeColor="text1"/>
                  <w:sz w:val="22"/>
                  <w:szCs w:val="22"/>
                  <w:lang w:val="es-ES" w:bidi="es-ES"/>
                </w:rPr>
                <m:rPr/>
                <m:t>1</m:t>
              </m:r>
            </m:sub>
          </m:sSub>
          <m:r>
            <w:rPr>
              <w:rFonts w:hint="default" w:ascii="Cambria Math" w:hAnsi="Cambria Math" w:eastAsia="Cambria Math" w:cs="Cambria Math"/>
              <w:color w:val="000000" w:themeColor="text1"/>
              <w:sz w:val="22"/>
              <w:szCs w:val="22"/>
              <w:lang w:val="es-ES" w:bidi="es-ES"/>
            </w:rPr>
            <m:rPr>
              <m:sty m:val="p"/>
            </m:rPr>
            <m:t>ln</m:t>
          </m:r>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Y</m:t>
              </m:r>
            </m:e>
            <m:sub>
              <m:r>
                <w:rPr>
                  <w:rFonts w:hint="default" w:ascii="Cambria Math" w:hAnsi="Cambria Math" w:eastAsia="Cambria Math" w:cs="Cambria Math"/>
                  <w:color w:val="000000" w:themeColor="text1"/>
                  <w:sz w:val="22"/>
                  <w:szCs w:val="22"/>
                  <w:lang w:val="es-ES" w:bidi="es-ES"/>
                </w:rPr>
                <m:rPr/>
                <m:t>t</m:t>
              </m:r>
            </m:sub>
          </m:sSub>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γ</m:t>
          </m:r>
          <m:r>
            <w:rPr>
              <w:rFonts w:hint="default" w:ascii="Cambria Math" w:hAnsi="Cambria Math" w:eastAsia="Cambria Math" w:cs="Cambria Math"/>
              <w:color w:val="000000" w:themeColor="text1"/>
              <w:sz w:val="22"/>
              <w:szCs w:val="22"/>
              <w:lang w:val="es-ES" w:bidi="es-ES"/>
            </w:rPr>
            <m:rPr>
              <m:sty m:val="p"/>
            </m:rPr>
            <m:t>ln</m:t>
          </m:r>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M</m:t>
              </m:r>
            </m:e>
            <m:sub>
              <m:r>
                <w:rPr>
                  <w:rFonts w:hint="default" w:ascii="Cambria Math" w:hAnsi="Cambria Math" w:eastAsia="Cambria Math" w:cs="Cambria Math"/>
                  <w:color w:val="000000" w:themeColor="text1"/>
                  <w:sz w:val="22"/>
                  <w:szCs w:val="22"/>
                  <w:lang w:val="es-ES" w:bidi="es-ES"/>
                </w:rPr>
                <m:rPr/>
                <m:t>t</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1</m:t>
              </m:r>
            </m:sub>
          </m:sSub>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β</m:t>
              </m:r>
            </m:e>
            <m:sub>
              <m:r>
                <w:rPr>
                  <w:rFonts w:hint="default" w:ascii="Cambria Math" w:hAnsi="Cambria Math" w:eastAsia="Cambria Math" w:cs="Cambria Math"/>
                  <w:color w:val="000000" w:themeColor="text1"/>
                  <w:sz w:val="22"/>
                  <w:szCs w:val="22"/>
                  <w:lang w:val="es-ES" w:bidi="es-ES"/>
                </w:rPr>
                <m:rPr/>
                <m:t>2</m:t>
              </m:r>
            </m:sub>
          </m:sSub>
          <m:r>
            <w:rPr>
              <w:rFonts w:hint="default" w:ascii="Cambria Math" w:hAnsi="Cambria Math" w:eastAsia="Cambria Math" w:cs="Cambria Math"/>
              <w:color w:val="000000" w:themeColor="text1"/>
              <w:sz w:val="22"/>
              <w:szCs w:val="22"/>
              <w:lang w:val="es-ES" w:bidi="es-ES"/>
            </w:rPr>
            <m:rPr/>
            <m:t>I</m:t>
          </m:r>
          <m:r>
            <w:rPr>
              <w:rFonts w:hint="default" w:ascii="Cambria Math" w:hAnsi="Cambria Math" w:eastAsia="Cambria Math" w:cs="Cambria Math"/>
              <w:color w:val="000000" w:themeColor="text1"/>
              <w:sz w:val="22"/>
              <w:szCs w:val="22"/>
              <w:lang w:val="es-ES" w:bidi="es-ES"/>
            </w:rPr>
            <m:rPr/>
            <m:t>E</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D</m:t>
              </m:r>
            </m:e>
            <m:sub>
              <m:r>
                <w:rPr>
                  <w:rFonts w:hint="default" w:ascii="Cambria Math" w:hAnsi="Cambria Math" w:eastAsia="Cambria Math" w:cs="Cambria Math"/>
                  <w:color w:val="000000" w:themeColor="text1"/>
                  <w:sz w:val="22"/>
                  <w:szCs w:val="22"/>
                  <w:lang w:val="es-ES" w:bidi="es-ES"/>
                </w:rPr>
                <m:rPr/>
                <m:t>t</m:t>
              </m:r>
            </m:sub>
          </m:sSub>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β</m:t>
              </m:r>
            </m:e>
            <m:sub>
              <m:r>
                <w:rPr>
                  <w:rFonts w:hint="default" w:ascii="Cambria Math" w:hAnsi="Cambria Math" w:eastAsia="Cambria Math" w:cs="Cambria Math"/>
                  <w:color w:val="000000" w:themeColor="text1"/>
                  <w:sz w:val="22"/>
                  <w:szCs w:val="22"/>
                  <w:lang w:val="es-ES" w:bidi="es-ES"/>
                </w:rPr>
                <m:rPr/>
                <m:t>3</m:t>
              </m:r>
            </m:sub>
          </m:sSub>
          <m:r>
            <w:rPr>
              <w:rFonts w:hint="default" w:ascii="Cambria Math" w:hAnsi="Cambria Math" w:eastAsia="Cambria Math" w:cs="Cambria Math"/>
              <w:color w:val="000000" w:themeColor="text1"/>
              <w:sz w:val="22"/>
              <w:szCs w:val="22"/>
              <w:lang w:val="es-ES" w:bidi="es-ES"/>
            </w:rPr>
            <m:rPr/>
            <m:t>P</m:t>
          </m:r>
          <m:r>
            <w:rPr>
              <w:rFonts w:hint="default" w:ascii="Cambria Math" w:hAnsi="Cambria Math" w:eastAsia="Cambria Math" w:cs="Cambria Math"/>
              <w:color w:val="000000" w:themeColor="text1"/>
              <w:sz w:val="22"/>
              <w:szCs w:val="22"/>
              <w:lang w:val="es-ES" w:bidi="es-ES"/>
            </w:rPr>
            <m:rPr/>
            <m:t>e</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t</m:t>
              </m:r>
            </m:e>
            <m:sub>
              <m:r>
                <w:rPr>
                  <w:rFonts w:hint="default" w:ascii="Cambria Math" w:hAnsi="Cambria Math" w:eastAsia="Cambria Math" w:cs="Cambria Math"/>
                  <w:color w:val="000000" w:themeColor="text1"/>
                  <w:sz w:val="22"/>
                  <w:szCs w:val="22"/>
                  <w:lang w:val="es-ES" w:bidi="es-ES"/>
                </w:rPr>
                <m:rPr/>
                <m:t>t</m:t>
              </m:r>
            </m:sub>
          </m:sSub>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β</m:t>
              </m:r>
            </m:e>
            <m:sub>
              <m:r>
                <w:rPr>
                  <w:rFonts w:hint="default" w:ascii="Cambria Math" w:hAnsi="Cambria Math" w:eastAsia="Cambria Math" w:cs="Cambria Math"/>
                  <w:color w:val="000000" w:themeColor="text1"/>
                  <w:sz w:val="22"/>
                  <w:szCs w:val="22"/>
                  <w:lang w:val="es-ES" w:bidi="es-ES"/>
                </w:rPr>
                <m:rPr/>
                <m:t>4</m:t>
              </m:r>
            </m:sub>
          </m:sSub>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π</m:t>
              </m:r>
            </m:e>
            <m:sub>
              <m:r>
                <w:rPr>
                  <w:rFonts w:hint="default" w:ascii="Cambria Math" w:hAnsi="Cambria Math" w:eastAsia="Cambria Math" w:cs="Cambria Math"/>
                  <w:color w:val="000000" w:themeColor="text1"/>
                  <w:sz w:val="22"/>
                  <w:szCs w:val="22"/>
                  <w:lang w:val="es-ES" w:bidi="es-ES"/>
                </w:rPr>
                <m:rPr/>
                <m:t>t</m:t>
              </m:r>
            </m:sub>
          </m:sSub>
          <m:r>
            <w:rPr>
              <w:rFonts w:hint="default" w:ascii="Cambria Math" w:hAnsi="Cambria Math" w:eastAsia="Cambria Math" w:cs="Cambria Math"/>
              <w:color w:val="000000" w:themeColor="text1"/>
              <w:sz w:val="22"/>
              <w:szCs w:val="22"/>
              <w:lang w:val="es-ES" w:bidi="es-ES"/>
            </w:rPr>
            <m:rPr>
              <m:sty m:val="p"/>
            </m:rPr>
            <m:t>+</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t>ε</m:t>
              </m:r>
            </m:e>
            <m:sub>
              <m:r>
                <w:rPr>
                  <w:rFonts w:hint="default" w:ascii="Cambria Math" w:hAnsi="Cambria Math" w:eastAsia="Cambria Math" w:cs="Cambria Math"/>
                  <w:color w:val="000000" w:themeColor="text1"/>
                  <w:sz w:val="22"/>
                  <w:szCs w:val="22"/>
                  <w:lang w:val="es-ES" w:bidi="es-ES"/>
                </w:rPr>
                <m:rPr/>
                <m:t>t</m:t>
              </m:r>
            </m:sub>
          </m:sSub>
          <m:r>
            <w:rPr>
              <w:rFonts w:hint="default" w:ascii="Cambria Math" w:hAnsi="Cambria Math" w:eastAsia="Cambria Math" w:cs="Cambria Math"/>
              <w:color w:val="000000" w:themeColor="text1"/>
              <w:sz w:val="22"/>
              <w:szCs w:val="22"/>
              <w:lang w:val="es-ES" w:bidi="es-ES"/>
            </w:rPr>
            <m:rPr/>
            <m:t>  </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2</m:t>
          </m:r>
          <m:r>
            <w:rPr>
              <w:rFonts w:hint="default" w:ascii="Cambria Math" w:hAnsi="Cambria Math" w:eastAsia="Cambria Math" w:cs="Cambria Math"/>
              <w:color w:val="000000" w:themeColor="text1"/>
              <w:sz w:val="22"/>
              <w:szCs w:val="22"/>
              <w:lang w:val="es-ES" w:bidi="es-ES"/>
            </w:rPr>
            <m:rPr>
              <m:sty m:val="p"/>
            </m:rPr>
            <m:t>)</m:t>
          </m:r>
        </m:oMath>
      </m:oMathPara>
      <w:r>
        <w:rPr>
          <w:rFonts w:ascii="Times New Roman" w:hAnsi="Times New Roman" w:eastAsia="Times New Roman" w:cs="Times New Roman"/>
          <w:color w:val="000000" w:themeColor="text1"/>
          <w:sz w:val="22"/>
          <w:szCs w:val="22"/>
          <w:lang w:val="es-ES" w:bidi="es-ES"/>
        </w:rPr>
      </w:r>
      <w:bookmarkEnd w:id="14"/>
      <w:r>
        <w:rPr>
          <w:rFonts w:ascii="Times New Roman" w:hAnsi="Times New Roman" w:eastAsia="Times New Roman" w:cs="Times New Roman"/>
          <w:color w:val="000000" w:themeColor="text1"/>
          <w:sz w:val="22"/>
          <w:szCs w:val="22"/>
          <w:lang w:val="es-ES" w:bidi="es-ES"/>
        </w:rPr>
      </w:r>
      <w:bookmarkEnd w:id="15"/>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p>
      <w:pPr>
        <w:pStyle w:val="698"/>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16" w:name="hipótesis-de-investigación"/>
      <w:r>
        <w:rPr>
          <w:rFonts w:ascii="Times New Roman" w:hAnsi="Times New Roman" w:eastAsia="Times New Roman" w:cs="Times New Roman"/>
          <w:b/>
          <w:bCs/>
          <w:color w:val="000000" w:themeColor="text1"/>
          <w:sz w:val="22"/>
          <w:szCs w:val="22"/>
          <w:lang w:val="es-ES"/>
        </w:rPr>
        <w:t xml:space="preserve">3.3 . Hipótesis de Investigación</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La investigación se fundamenta en la premisa de que el ingreso nacional ejerce un impacto positivo y significativo sobre la demanda de importaciones, con una elasticidad de largo plazo que refleja la dependencia es</w:t>
      </w:r>
      <w:r>
        <w:rPr>
          <w:rFonts w:ascii="Times New Roman" w:hAnsi="Times New Roman" w:eastAsia="Times New Roman" w:cs="Times New Roman"/>
          <w:color w:val="000000" w:themeColor="text1"/>
          <w:sz w:val="22"/>
          <w:szCs w:val="22"/>
          <w:lang w:val="es-ES"/>
        </w:rPr>
        <w:t xml:space="preserve">tructural de la economía. Asimismo, se postula que las importaciones exhiben una inercia temporal considerable, indicando que las decisiones comerciales actuales están condicionadas por los flujos y contratos del periodo previo. Finalmente, se asume que la</w:t>
      </w:r>
      <w:r>
        <w:rPr>
          <w:rFonts w:ascii="Times New Roman" w:hAnsi="Times New Roman" w:eastAsia="Times New Roman" w:cs="Times New Roman"/>
          <w:color w:val="000000" w:themeColor="text1"/>
          <w:sz w:val="22"/>
          <w:szCs w:val="22"/>
          <w:lang w:val="es-ES"/>
        </w:rPr>
        <w:t xml:space="preserve">s variables de control estructural, como la renta petrolera y la inversión extranjera, actúan como impulsores de la demanda externa, mientras que la inflación ejerce una presión contractiva sobre el volumen de bienes adquiridos en el mercado internacional.</w:t>
      </w:r>
      <w:r>
        <w:rPr>
          <w:rFonts w:ascii="Times New Roman" w:hAnsi="Times New Roman" w:eastAsia="Times New Roman" w:cs="Times New Roman"/>
          <w:color w:val="000000" w:themeColor="text1"/>
          <w:sz w:val="22"/>
          <w:szCs w:val="22"/>
          <w:lang w:val="es-ES"/>
        </w:rPr>
      </w:r>
    </w:p>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br w:type="page" w:clear="all"/>
      </w:r>
      <w:bookmarkEnd w:id="16"/>
      <w:r>
        <w:rPr>
          <w:rFonts w:ascii="Times New Roman" w:hAnsi="Times New Roman" w:eastAsia="Times New Roman" w:cs="Times New Roman"/>
          <w:color w:val="000000" w:themeColor="text1"/>
          <w:sz w:val="22"/>
          <w:szCs w:val="22"/>
          <w:lang w:val="es-ES" w:bidi="es-ES"/>
        </w:rPr>
      </w:r>
      <w:bookmarkEnd w:id="17"/>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p>
      <w:pPr>
        <w:pStyle w:val="697"/>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23" w:name="análisis-gráfico-de-las-series"/>
      <w:r>
        <w:rPr>
          <w:rFonts w:ascii="Times New Roman" w:hAnsi="Times New Roman" w:eastAsia="Times New Roman" w:cs="Times New Roman"/>
          <w:b/>
          <w:bCs/>
          <w:color w:val="000000" w:themeColor="text1"/>
          <w:sz w:val="22"/>
          <w:szCs w:val="22"/>
          <w:lang w:val="es-ES"/>
        </w:rPr>
        <w:t xml:space="preserve">4. Gráfico </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La identificación visual de patrones de tendencia, estacionalidad y quiebres estructurales es fundamental para comprender la naturaleza estocástica de las series macroeconómicas ecuatorianas (</w:t>
      </w:r>
      <w:hyperlink w:tooltip="#fig-series" w:anchor="fig-series" w:history="1">
        <w:r>
          <w:rPr>
            <w:rStyle w:val="731"/>
            <w:rFonts w:ascii="Times New Roman" w:hAnsi="Times New Roman" w:eastAsia="Times New Roman" w:cs="Times New Roman"/>
            <w:color w:val="000000" w:themeColor="text1"/>
            <w:sz w:val="22"/>
            <w:szCs w:val="22"/>
            <w:lang w:val="es-ES"/>
          </w:rPr>
          <w:t xml:space="preserve">Figure 1</w:t>
        </w:r>
      </w:hyperlink>
      <w:r>
        <w:rPr>
          <w:rFonts w:ascii="Times New Roman" w:hAnsi="Times New Roman" w:eastAsia="Times New Roman" w:cs="Times New Roman"/>
          <w:color w:val="000000" w:themeColor="text1"/>
          <w:sz w:val="22"/>
          <w:szCs w:val="22"/>
          <w:lang w:val="es-ES"/>
        </w:rPr>
        <w:t xml:space="preserve">). La evolución de las variables durante el periodo 1970-2021 revela comportamientos diferenciados que condicionan la especificación del modelo dinámico.</w:t>
      </w:r>
      <w:r>
        <w:rPr>
          <w:rFonts w:ascii="Times New Roman" w:hAnsi="Times New Roman" w:eastAsia="Times New Roman" w:cs="Times New Roman"/>
          <w:color w:val="000000" w:themeColor="text1"/>
          <w:sz w:val="22"/>
          <w:szCs w:val="22"/>
          <w:lang w:val="es-ES"/>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21" w:name="fig-series"/>
            <w:r>
              <w:rPr>
                <w:rFonts w:ascii="Times New Roman" w:hAnsi="Times New Roman" w:eastAsia="Times New Roman" w:cs="Times New Roman"/>
                <w:color w:val="000000" w:themeColor="text1"/>
                <w:sz w:val="22"/>
                <w:szCs w:val="22"/>
                <w:lang w:val="es-ES"/>
              </w:rPr>
            </w:r>
            <w:r>
              <w:rPr>
                <w:rFonts w:ascii="Times New Roman" w:hAnsi="Times New Roman" w:eastAsia="Times New Roman" w:cs="Times New Roman"/>
                <w:color w:val="000000" w:themeColor="text1"/>
                <w:sz w:val="22"/>
                <w:szCs w:val="22"/>
                <w:lang w:val="es-ES"/>
              </w:rPr>
              <mc:AlternateContent>
                <mc:Choice Requires="wpg">
                  <w:drawing>
                    <wp:inline xmlns:wp="http://schemas.openxmlformats.org/drawingml/2006/wordprocessingDrawing" distT="0" distB="0" distL="0" distR="0">
                      <wp:extent cx="5334000" cy="44450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4001" name="Picture" descr="assets/time_series_plot.png"/>
                              <pic:cNvPicPr>
                                <a:picLocks noChangeAspect="1" noChangeArrowheads="1"/>
                              </pic:cNvPicPr>
                              <pic:nvPr/>
                            </pic:nvPicPr>
                            <pic:blipFill rotWithShape="1">
                              <a:blip r:embed="rId9"/>
                              <a:stretch/>
                            </pic:blipFill>
                            <pic:spPr bwMode="auto">
                              <a:xfrm>
                                <a:off x="0" y="0"/>
                                <a:ext cx="5333999" cy="4444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350.00pt;mso-wrap-distance-left:0.00pt;mso-wrap-distance-top:0.00pt;mso-wrap-distance-right:0.00pt;mso-wrap-distance-bottom:0.00pt;z-index:1;" stroked="f" strokeweight="0.75pt">
                      <v:imagedata r:id="rId9" o:title=""/>
                      <o:lock v:ext="edit" rotation="t"/>
                    </v:shape>
                  </w:pict>
                </mc:Fallback>
              </mc:AlternateContent>
            </w:r>
            <w:r>
              <w:rPr>
                <w:rFonts w:ascii="Times New Roman" w:hAnsi="Times New Roman" w:eastAsia="Times New Roman" w:cs="Times New Roman"/>
                <w:color w:val="000000" w:themeColor="text1"/>
                <w:sz w:val="22"/>
                <w:szCs w:val="22"/>
                <w:lang w:val="es-ES"/>
              </w:rPr>
            </w:r>
            <w:r>
              <w:rPr>
                <w:rFonts w:ascii="Times New Roman" w:hAnsi="Times New Roman" w:eastAsia="Times New Roman" w:cs="Times New Roman"/>
                <w:color w:val="000000" w:themeColor="text1"/>
                <w:sz w:val="22"/>
                <w:szCs w:val="22"/>
                <w:lang w:val="es-ES"/>
              </w:rPr>
            </w:r>
          </w:p>
          <w:p>
            <w:pPr>
              <w:pStyle w:val="724"/>
              <w:pBdr/>
              <w:spacing w:before="200"/>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Figure 1: Evolución Temporal de las Variables del Modelo (1970-2021).</w:t>
            </w:r>
            <w:bookmarkEnd w:id="21"/>
            <w:r>
              <w:rPr>
                <w:rFonts w:ascii="Times New Roman" w:hAnsi="Times New Roman" w:eastAsia="Times New Roman" w:cs="Times New Roman"/>
                <w:color w:val="000000" w:themeColor="text1"/>
                <w:sz w:val="22"/>
                <w:szCs w:val="22"/>
                <w:lang w:val="es-ES"/>
              </w:rPr>
            </w:r>
          </w:p>
        </w:tc>
      </w:tr>
    </w:tbl>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Las importaciones y el producto interno bruto real exh</w:t>
      </w:r>
      <w:r>
        <w:rPr>
          <w:rFonts w:ascii="Times New Roman" w:hAnsi="Times New Roman" w:eastAsia="Times New Roman" w:cs="Times New Roman"/>
          <w:color w:val="000000" w:themeColor="text1"/>
          <w:sz w:val="22"/>
          <w:szCs w:val="22"/>
          <w:lang w:val="es-ES"/>
        </w:rPr>
        <w:t xml:space="preserve">iben una tendencia determinística creciente de largo plazo, lo cual sugiere la presencia de procesos no estacionarios que requieren validación mediante pruebas de raíz unitaria. Por su parte, la Inversión Extranjera Directa y la Renta Petrolera muestran un</w:t>
      </w:r>
      <w:r>
        <w:rPr>
          <w:rFonts w:ascii="Times New Roman" w:hAnsi="Times New Roman" w:eastAsia="Times New Roman" w:cs="Times New Roman"/>
          <w:color w:val="000000" w:themeColor="text1"/>
          <w:sz w:val="22"/>
          <w:szCs w:val="22"/>
          <w:lang w:val="es-ES"/>
        </w:rPr>
        <w:t xml:space="preserve">a volatilidad significativamente mayor, característica de las economías dependientes de la exportación de materias primas. Los picos registrados en la renta petrolera durante los periodos de altos precios internacionales coinciden visualmente con las fases</w:t>
      </w:r>
      <w:r>
        <w:rPr>
          <w:rFonts w:ascii="Times New Roman" w:hAnsi="Times New Roman" w:eastAsia="Times New Roman" w:cs="Times New Roman"/>
          <w:color w:val="000000" w:themeColor="text1"/>
          <w:sz w:val="22"/>
          <w:szCs w:val="22"/>
          <w:lang w:val="es-ES"/>
        </w:rPr>
        <w:t xml:space="preserve"> de expansión en la demanda de bienes externos. Finalmente, la inflación presenta una volatilidad extrema hasta el año 2000, momento en el que el esquema de dolarización estabiliza la serie y elimina la incertidumbre nominal en la función de importaciones.</w:t>
      </w:r>
      <w:r>
        <w:rPr>
          <w:rFonts w:ascii="Times New Roman" w:hAnsi="Times New Roman" w:eastAsia="Times New Roman" w:cs="Times New Roman"/>
          <w:color w:val="000000" w:themeColor="text1"/>
          <w:sz w:val="22"/>
          <w:szCs w:val="22"/>
          <w:lang w:val="es-ES"/>
        </w:rPr>
      </w:r>
    </w:p>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br w:type="page" w:clear="all"/>
      </w:r>
      <w:bookmarkEnd w:id="22"/>
      <w:r>
        <w:rPr>
          <w:rFonts w:ascii="Times New Roman" w:hAnsi="Times New Roman" w:eastAsia="Times New Roman" w:cs="Times New Roman"/>
          <w:color w:val="000000" w:themeColor="text1"/>
          <w:sz w:val="22"/>
          <w:szCs w:val="22"/>
          <w:lang w:val="es-ES" w:bidi="es-ES"/>
        </w:rPr>
      </w:r>
      <w:bookmarkEnd w:id="23"/>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p>
      <w:pPr>
        <w:pStyle w:val="697"/>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27" w:name="estadísticos-descriptivos"/>
      <w:r>
        <w:rPr>
          <w:rFonts w:ascii="Times New Roman" w:hAnsi="Times New Roman" w:eastAsia="Times New Roman" w:cs="Times New Roman"/>
          <w:b/>
          <w:bCs/>
          <w:color w:val="000000" w:themeColor="text1"/>
          <w:sz w:val="22"/>
          <w:szCs w:val="22"/>
          <w:lang w:val="es-ES"/>
        </w:rPr>
        <w:t xml:space="preserve">5. Estadísticos Descriptivos</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El análisis descriptivo presenta los momentos estadísticos de las series macroeconómicas fundamentales para el periodo 1970-2021 (n=52), detallados en la</w:t>
      </w:r>
      <w:r>
        <w:rPr>
          <w:rFonts w:ascii="Times New Roman" w:hAnsi="Times New Roman" w:eastAsia="Times New Roman" w:cs="Times New Roman"/>
          <w:color w:val="000000" w:themeColor="text1"/>
          <w:sz w:val="22"/>
          <w:szCs w:val="22"/>
          <w:lang w:val="es-ES"/>
        </w:rPr>
        <w:t xml:space="preserve"> </w:t>
      </w:r>
      <w:hyperlink w:tooltip="#tbl-stats" w:anchor="tbl-stats" w:history="1">
        <w:r>
          <w:rPr>
            <w:rStyle w:val="731"/>
            <w:rFonts w:ascii="Times New Roman" w:hAnsi="Times New Roman" w:eastAsia="Times New Roman" w:cs="Times New Roman"/>
            <w:color w:val="000000" w:themeColor="text1"/>
            <w:sz w:val="22"/>
            <w:szCs w:val="22"/>
            <w:lang w:val="es-ES"/>
          </w:rPr>
          <w:t xml:space="preserve">Table 2</w:t>
        </w:r>
      </w:hyperlink>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24" w:name="tbl-stats"/>
            <w:r>
              <w:rPr>
                <w:rFonts w:ascii="Times New Roman" w:hAnsi="Times New Roman" w:eastAsia="Times New Roman" w:cs="Times New Roman"/>
                <w:color w:val="000000" w:themeColor="text1"/>
                <w:sz w:val="22"/>
                <w:szCs w:val="22"/>
                <w:lang w:val="es-ES"/>
              </w:rPr>
              <w:t xml:space="preserve">Table 2: Estadísticos Descriptivos de las Variables de Estudio (1970-2021).</w:t>
            </w:r>
            <w:r>
              <w:rPr>
                <w:rFonts w:ascii="Times New Roman" w:hAnsi="Times New Roman" w:eastAsia="Times New Roman" w:cs="Times New Roman"/>
                <w:color w:val="000000" w:themeColor="text1"/>
                <w:sz w:val="22"/>
                <w:szCs w:val="22"/>
                <w:lang w:val="es-ES"/>
              </w:rPr>
            </w:r>
          </w:p>
          <w:tbl>
            <w:tblPr>
              <w:tblStyle w:val="719"/>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Variable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Media</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Desv. Est.</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Mín.</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Máx.</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Para>
                    <m:oMathParaPr>
                      <m:jc m:val="centerGroup"/>
                    </m:oMathParaPr>
                    <m:oMath>
                      <m:r>
                        <w:rPr>
                          <w:rFonts w:hint="default" w:ascii="Cambria Math" w:hAnsi="Cambria Math" w:eastAsia="Cambria Math" w:cs="Cambria Math"/>
                          <w:color w:val="000000" w:themeColor="text1"/>
                          <w:sz w:val="22"/>
                          <w:szCs w:val="22"/>
                          <w:lang w:val="es-ES" w:bidi="es-ES"/>
                        </w:rPr>
                        <m:rPr/>
                        <m:t>l</m:t>
                      </m:r>
                      <m:r>
                        <w:rPr>
                          <w:rFonts w:hint="default" w:ascii="Cambria Math" w:hAnsi="Cambria Math" w:eastAsia="Cambria Math" w:cs="Cambria Math"/>
                          <w:color w:val="000000" w:themeColor="text1"/>
                          <w:sz w:val="22"/>
                          <w:szCs w:val="22"/>
                          <w:lang w:val="es-ES" w:bidi="es-ES"/>
                        </w:rPr>
                        <m:rPr/>
                        <m:t>n</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M</m:t>
                      </m:r>
                      <m:r>
                        <w:rPr>
                          <w:rFonts w:hint="default" w:ascii="Cambria Math" w:hAnsi="Cambria Math" w:eastAsia="Cambria Math" w:cs="Cambria Math"/>
                          <w:color w:val="000000" w:themeColor="text1"/>
                          <w:sz w:val="22"/>
                          <w:szCs w:val="22"/>
                          <w:lang w:val="es-ES" w:bidi="es-ES"/>
                        </w:rPr>
                        <m:rPr>
                          <m:sty m:val="p"/>
                        </m:rPr>
                        <m:t>)</m:t>
                      </m:r>
                    </m:oMath>
                  </m:oMathPara>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23.22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0.52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22.00</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24.01</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Para>
                    <m:oMathParaPr>
                      <m:jc m:val="centerGroup"/>
                    </m:oMathParaPr>
                    <m:oMath>
                      <m:r>
                        <w:rPr>
                          <w:rFonts w:hint="default" w:ascii="Cambria Math" w:hAnsi="Cambria Math" w:eastAsia="Cambria Math" w:cs="Cambria Math"/>
                          <w:color w:val="000000" w:themeColor="text1"/>
                          <w:sz w:val="22"/>
                          <w:szCs w:val="22"/>
                          <w:lang w:val="es-ES" w:bidi="es-ES"/>
                        </w:rPr>
                        <m:rPr/>
                        <m:t>l</m:t>
                      </m:r>
                      <m:r>
                        <w:rPr>
                          <w:rFonts w:hint="default" w:ascii="Cambria Math" w:hAnsi="Cambria Math" w:eastAsia="Cambria Math" w:cs="Cambria Math"/>
                          <w:color w:val="000000" w:themeColor="text1"/>
                          <w:sz w:val="22"/>
                          <w:szCs w:val="22"/>
                          <w:lang w:val="es-ES" w:bidi="es-ES"/>
                        </w:rPr>
                        <m:rPr/>
                        <m:t>n</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Y</m:t>
                      </m:r>
                      <m:r>
                        <w:rPr>
                          <w:rFonts w:hint="default" w:ascii="Cambria Math" w:hAnsi="Cambria Math" w:eastAsia="Cambria Math" w:cs="Cambria Math"/>
                          <w:color w:val="000000" w:themeColor="text1"/>
                          <w:sz w:val="22"/>
                          <w:szCs w:val="22"/>
                          <w:lang w:val="es-ES" w:bidi="es-ES"/>
                        </w:rPr>
                        <m:rPr>
                          <m:sty m:val="p"/>
                        </m:rPr>
                        <m:t>)</m:t>
                      </m:r>
                    </m:oMath>
                  </m:oMathPara>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24.63</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0.50</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23.55</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25.40</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
                    <m:r>
                      <w:rPr>
                        <w:rFonts w:hint="default" w:ascii="Cambria Math" w:hAnsi="Cambria Math" w:eastAsia="Cambria Math" w:cs="Cambria Math"/>
                        <w:color w:val="000000" w:themeColor="text1"/>
                        <w:sz w:val="22"/>
                        <w:szCs w:val="22"/>
                        <w:lang w:val="es-ES" w:bidi="es-ES"/>
                      </w:rPr>
                      <m:rPr/>
                      <m:t>I</m:t>
                    </m:r>
                    <m:r>
                      <w:rPr>
                        <w:rFonts w:hint="default" w:ascii="Cambria Math" w:hAnsi="Cambria Math" w:eastAsia="Cambria Math" w:cs="Cambria Math"/>
                        <w:color w:val="000000" w:themeColor="text1"/>
                        <w:sz w:val="22"/>
                        <w:szCs w:val="22"/>
                        <w:lang w:val="es-ES" w:bidi="es-ES"/>
                      </w:rPr>
                      <m:rPr/>
                      <m:t>E</m:t>
                    </m:r>
                    <m:r>
                      <w:rPr>
                        <w:rFonts w:hint="default" w:ascii="Cambria Math" w:hAnsi="Cambria Math" w:eastAsia="Cambria Math" w:cs="Cambria Math"/>
                        <w:color w:val="000000" w:themeColor="text1"/>
                        <w:sz w:val="22"/>
                        <w:szCs w:val="22"/>
                        <w:lang w:val="es-ES" w:bidi="es-ES"/>
                      </w:rPr>
                      <m:rPr/>
                      <m:t>D</m:t>
                    </m:r>
                  </m:oMath>
                  <w:r>
                    <w:rPr>
                      <w:rFonts w:ascii="Times New Roman" w:hAnsi="Times New Roman" w:eastAsia="Times New Roman" w:cs="Times New Roman"/>
                      <w:color w:val="000000" w:themeColor="text1"/>
                      <w:sz w:val="22"/>
                      <w:szCs w:val="22"/>
                      <w:lang w:val="es-ES"/>
                    </w:rPr>
                    <w:t xml:space="preserve"> </w:t>
                  </w:r>
                  <w:r>
                    <w:rPr>
                      <w:rFonts w:ascii="Times New Roman" w:hAnsi="Times New Roman" w:eastAsia="Times New Roman" w:cs="Times New Roman"/>
                      <w:color w:val="000000" w:themeColor="text1"/>
                      <w:sz w:val="22"/>
                      <w:szCs w:val="22"/>
                      <w:lang w:val="es-ES"/>
                    </w:rPr>
                    <w:t xml:space="preserve">(%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1.28</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1.13</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-0.21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5.88</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
                    <m:r>
                      <w:rPr>
                        <w:rFonts w:hint="default" w:ascii="Cambria Math" w:hAnsi="Cambria Math" w:eastAsia="Cambria Math" w:cs="Cambria Math"/>
                        <w:color w:val="000000" w:themeColor="text1"/>
                        <w:sz w:val="22"/>
                        <w:szCs w:val="22"/>
                        <w:lang w:val="es-ES" w:bidi="es-ES"/>
                      </w:rPr>
                      <m:rPr/>
                      <m:t>P</m:t>
                    </m:r>
                    <m:r>
                      <w:rPr>
                        <w:rFonts w:hint="default" w:ascii="Cambria Math" w:hAnsi="Cambria Math" w:eastAsia="Cambria Math" w:cs="Cambria Math"/>
                        <w:color w:val="000000" w:themeColor="text1"/>
                        <w:sz w:val="22"/>
                        <w:szCs w:val="22"/>
                        <w:lang w:val="es-ES" w:bidi="es-ES"/>
                      </w:rPr>
                      <m:rPr/>
                      <m:t>e</m:t>
                    </m:r>
                    <m:r>
                      <w:rPr>
                        <w:rFonts w:hint="default" w:ascii="Cambria Math" w:hAnsi="Cambria Math" w:eastAsia="Cambria Math" w:cs="Cambria Math"/>
                        <w:color w:val="000000" w:themeColor="text1"/>
                        <w:sz w:val="22"/>
                        <w:szCs w:val="22"/>
                        <w:lang w:val="es-ES" w:bidi="es-ES"/>
                      </w:rPr>
                      <m:rPr/>
                      <m:t>t</m:t>
                    </m:r>
                  </m:oMath>
                  <w:r>
                    <w:rPr>
                      <w:rFonts w:ascii="Times New Roman" w:hAnsi="Times New Roman" w:eastAsia="Times New Roman" w:cs="Times New Roman"/>
                      <w:color w:val="000000" w:themeColor="text1"/>
                      <w:sz w:val="22"/>
                      <w:szCs w:val="22"/>
                      <w:lang w:val="es-ES"/>
                    </w:rPr>
                    <w:t xml:space="preserve"> </w:t>
                  </w:r>
                  <w:r>
                    <w:rPr>
                      <w:rFonts w:ascii="Times New Roman" w:hAnsi="Times New Roman" w:eastAsia="Times New Roman" w:cs="Times New Roman"/>
                      <w:color w:val="000000" w:themeColor="text1"/>
                      <w:sz w:val="22"/>
                      <w:szCs w:val="22"/>
                      <w:lang w:val="es-ES"/>
                    </w:rPr>
                    <w:t xml:space="preserve">(%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8.05</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4.47</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18.65</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
                    <m:r>
                      <w:rPr>
                        <w:rFonts w:hint="default" w:ascii="Cambria Math" w:hAnsi="Cambria Math" w:eastAsia="Cambria Math" w:cs="Cambria Math"/>
                        <w:color w:val="000000" w:themeColor="text1"/>
                        <w:sz w:val="22"/>
                        <w:szCs w:val="22"/>
                        <w:lang w:val="es-ES" w:bidi="es-ES"/>
                      </w:rPr>
                      <m:rPr/>
                      <m:t>π</m:t>
                    </m:r>
                  </m:oMath>
                  <w:r>
                    <w:rPr>
                      <w:rFonts w:ascii="Times New Roman" w:hAnsi="Times New Roman" w:eastAsia="Times New Roman" w:cs="Times New Roman"/>
                      <w:color w:val="000000" w:themeColor="text1"/>
                      <w:sz w:val="22"/>
                      <w:szCs w:val="22"/>
                      <w:lang w:val="es-ES"/>
                    </w:rPr>
                    <w:t xml:space="preserve"> </w:t>
                  </w:r>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20.15</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21.39</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-0.33</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96.09</w:t>
                  </w:r>
                  <w:bookmarkEnd w:id="24"/>
                  <w:r>
                    <w:rPr>
                      <w:rFonts w:ascii="Times New Roman" w:hAnsi="Times New Roman" w:eastAsia="Times New Roman" w:cs="Times New Roman"/>
                      <w:color w:val="000000" w:themeColor="text1"/>
                      <w:sz w:val="22"/>
                      <w:szCs w:val="22"/>
                      <w:lang w:val="es-ES"/>
                    </w:rPr>
                  </w:r>
                </w:p>
              </w:tc>
            </w:tr>
          </w:tbl>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r>
    </w:tbl>
    <w:p>
      <w:pPr>
        <w:pStyle w:val="698"/>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26" w:name="diagnóstico-de-multicolinealidad-vif"/>
      <w:r>
        <w:rPr>
          <w:rFonts w:ascii="Times New Roman" w:hAnsi="Times New Roman" w:eastAsia="Times New Roman" w:cs="Times New Roman"/>
          <w:b/>
          <w:bCs/>
          <w:color w:val="000000" w:themeColor="text1"/>
          <w:sz w:val="22"/>
          <w:szCs w:val="22"/>
          <w:lang w:val="es-ES"/>
        </w:rPr>
        <w:t xml:space="preserve">5.1 Diagnóstico de Multicolinealidad (VIF)</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Para asegurar la independencia de los regresores, se evalúa el Factor de Inflación de la Varianza (</w:t>
      </w:r>
      <w:hyperlink w:tooltip="#tbl-vif" w:anchor="tbl-vif" w:history="1">
        <w:r>
          <w:rPr>
            <w:rStyle w:val="731"/>
            <w:rFonts w:ascii="Times New Roman" w:hAnsi="Times New Roman" w:eastAsia="Times New Roman" w:cs="Times New Roman"/>
            <w:color w:val="000000" w:themeColor="text1"/>
            <w:sz w:val="22"/>
            <w:szCs w:val="22"/>
            <w:lang w:val="es-ES"/>
          </w:rPr>
          <w:t xml:space="preserve">Table 3</w:t>
        </w:r>
      </w:hyperlink>
      <w:r>
        <w:rPr>
          <w:rFonts w:ascii="Times New Roman" w:hAnsi="Times New Roman" w:eastAsia="Times New Roman" w:cs="Times New Roman"/>
          <w:color w:val="000000" w:themeColor="text1"/>
          <w:sz w:val="22"/>
          <w:szCs w:val="22"/>
          <w:lang w:val="es-ES"/>
        </w:rPr>
        <w:t xml:space="preserve">). Los resultados indican una multicolinealidad aceptable para las variables de control, mientras que el PIB y el rezago de las importaciones presentan valores esperados para series altamente persistentes.</w:t>
      </w:r>
      <w:r>
        <w:rPr>
          <w:rFonts w:ascii="Times New Roman" w:hAnsi="Times New Roman" w:eastAsia="Times New Roman" w:cs="Times New Roman"/>
          <w:color w:val="000000" w:themeColor="text1"/>
          <w:sz w:val="22"/>
          <w:szCs w:val="22"/>
          <w:lang w:val="es-ES"/>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25" w:name="tbl-vif"/>
            <w:r>
              <w:rPr>
                <w:rFonts w:ascii="Times New Roman" w:hAnsi="Times New Roman" w:eastAsia="Times New Roman" w:cs="Times New Roman"/>
                <w:color w:val="000000" w:themeColor="text1"/>
                <w:sz w:val="22"/>
                <w:szCs w:val="22"/>
                <w:lang w:val="es-ES"/>
              </w:rPr>
              <w:t xml:space="preserve">Table 3: Resultados del Factor de Inflación de la Varianza.</w:t>
            </w:r>
            <w:r>
              <w:rPr>
                <w:rFonts w:ascii="Times New Roman" w:hAnsi="Times New Roman" w:eastAsia="Times New Roman" w:cs="Times New Roman"/>
                <w:color w:val="000000" w:themeColor="text1"/>
                <w:sz w:val="22"/>
                <w:szCs w:val="22"/>
                <w:lang w:val="es-ES"/>
              </w:rPr>
            </w:r>
          </w:p>
          <w:tbl>
            <w:tblPr>
              <w:tblStyle w:val="719"/>
              <w:tblW w:w="0" w:type="auto"/>
              <w:tblBorders/>
              <w:tblLook w:val="0020" w:firstRow="1" w:lastRow="0" w:firstColumn="0" w:lastColumn="0" w:noHBand="0" w:noVBand="0"/>
            </w:tblPr>
            <w:tblGrid>
              <w:gridCol w:w="2640"/>
              <w:gridCol w:w="2640"/>
              <w:gridCol w:w="2640"/>
            </w:tblGrid>
            <w:tr>
              <w:trPr>
                <w:tblHeade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Variable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VIF</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1/VIF</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Log-Import. (</w:t>
                  </w:r>
                  <m:oMath>
                    <m:r>
                      <w:rPr>
                        <w:rFonts w:hint="default" w:ascii="Cambria Math" w:hAnsi="Cambria Math" w:eastAsia="Cambria Math" w:cs="Cambria Math"/>
                        <w:color w:val="000000" w:themeColor="text1"/>
                        <w:sz w:val="22"/>
                        <w:szCs w:val="22"/>
                        <w:lang w:val="es-ES" w:bidi="es-ES"/>
                      </w:rPr>
                      <m:rPr/>
                      <m:t>t</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1</m:t>
                    </m:r>
                  </m:oMath>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18.80</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0.0532</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Log-PIB (</w:t>
                  </w:r>
                  <m:oMath>
                    <m:r>
                      <w:rPr>
                        <w:rFonts w:hint="default" w:ascii="Cambria Math" w:hAnsi="Cambria Math" w:eastAsia="Cambria Math" w:cs="Cambria Math"/>
                        <w:color w:val="000000" w:themeColor="text1"/>
                        <w:sz w:val="22"/>
                        <w:szCs w:val="22"/>
                        <w:lang w:val="es-ES" w:bidi="es-ES"/>
                      </w:rPr>
                      <m:rPr/>
                      <m:t>l</m:t>
                    </m:r>
                    <m:r>
                      <w:rPr>
                        <w:rFonts w:hint="default" w:ascii="Cambria Math" w:hAnsi="Cambria Math" w:eastAsia="Cambria Math" w:cs="Cambria Math"/>
                        <w:color w:val="000000" w:themeColor="text1"/>
                        <w:sz w:val="22"/>
                        <w:szCs w:val="22"/>
                        <w:lang w:val="es-ES" w:bidi="es-ES"/>
                      </w:rPr>
                      <m:rPr/>
                      <m:t>n</m:t>
                    </m:r>
                    <m:r>
                      <w:rPr>
                        <w:rFonts w:hint="default" w:ascii="Cambria Math" w:hAnsi="Cambria Math" w:eastAsia="Cambria Math" w:cs="Cambria Math"/>
                        <w:color w:val="000000" w:themeColor="text1"/>
                        <w:sz w:val="22"/>
                        <w:szCs w:val="22"/>
                        <w:lang w:val="es-ES" w:bidi="es-ES"/>
                      </w:rPr>
                      <m:rPr>
                        <m:sty m:val="p"/>
                      </m:rPr>
                      <m:t>_</m:t>
                    </m:r>
                    <m:r>
                      <w:rPr>
                        <w:rFonts w:hint="default" w:ascii="Cambria Math" w:hAnsi="Cambria Math" w:eastAsia="Cambria Math" w:cs="Cambria Math"/>
                        <w:color w:val="000000" w:themeColor="text1"/>
                        <w:sz w:val="22"/>
                        <w:szCs w:val="22"/>
                        <w:lang w:val="es-ES" w:bidi="es-ES"/>
                      </w:rPr>
                      <m:rPr/>
                      <m:t>Y</m:t>
                    </m:r>
                  </m:oMath>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17.27</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0.0579</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Inflación (</w:t>
                  </w:r>
                  <m:oMath>
                    <m:r>
                      <w:rPr>
                        <w:rFonts w:hint="default" w:ascii="Cambria Math" w:hAnsi="Cambria Math" w:eastAsia="Cambria Math" w:cs="Cambria Math"/>
                        <w:color w:val="000000" w:themeColor="text1"/>
                        <w:sz w:val="22"/>
                        <w:szCs w:val="22"/>
                        <w:lang w:val="es-ES" w:bidi="es-ES"/>
                      </w:rPr>
                      <m:rPr/>
                      <m:t>π</m:t>
                    </m:r>
                  </m:oMath>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1.33</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0.7497</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Renta Pet. (</w:t>
                  </w:r>
                  <m:oMath>
                    <m:r>
                      <w:rPr>
                        <w:rFonts w:hint="default" w:ascii="Cambria Math" w:hAnsi="Cambria Math" w:eastAsia="Cambria Math" w:cs="Cambria Math"/>
                        <w:color w:val="000000" w:themeColor="text1"/>
                        <w:sz w:val="22"/>
                        <w:szCs w:val="22"/>
                        <w:lang w:val="es-ES" w:bidi="es-ES"/>
                      </w:rPr>
                      <m:rPr/>
                      <m:t>P</m:t>
                    </m:r>
                    <m:r>
                      <w:rPr>
                        <w:rFonts w:hint="default" w:ascii="Cambria Math" w:hAnsi="Cambria Math" w:eastAsia="Cambria Math" w:cs="Cambria Math"/>
                        <w:color w:val="000000" w:themeColor="text1"/>
                        <w:sz w:val="22"/>
                        <w:szCs w:val="22"/>
                        <w:lang w:val="es-ES" w:bidi="es-ES"/>
                      </w:rPr>
                      <m:rPr/>
                      <m:t>e</m:t>
                    </m:r>
                    <m:r>
                      <w:rPr>
                        <w:rFonts w:hint="default" w:ascii="Cambria Math" w:hAnsi="Cambria Math" w:eastAsia="Cambria Math" w:cs="Cambria Math"/>
                        <w:color w:val="000000" w:themeColor="text1"/>
                        <w:sz w:val="22"/>
                        <w:szCs w:val="22"/>
                        <w:lang w:val="es-ES" w:bidi="es-ES"/>
                      </w:rPr>
                      <m:rPr/>
                      <m:t>t</m:t>
                    </m:r>
                  </m:oMath>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1.27</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0.7877</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IED (%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1.25</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0.8021</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lang w:val="es-ES"/>
                    </w:rPr>
                    <w:t xml:space="preserve">Media VIF</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lang w:val="es-ES"/>
                    </w:rPr>
                    <w:t xml:space="preserve">7.98</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End w:id="25"/>
                  <w:r>
                    <w:rPr>
                      <w:rFonts w:ascii="Times New Roman" w:hAnsi="Times New Roman" w:eastAsia="Times New Roman" w:cs="Times New Roman"/>
                      <w:color w:val="000000" w:themeColor="text1"/>
                      <w:sz w:val="22"/>
                      <w:szCs w:val="22"/>
                      <w:lang w:val="es-ES"/>
                    </w:rPr>
                  </w:r>
                </w:p>
              </w:tc>
            </w:tr>
          </w:tbl>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r>
    </w:tbl>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br w:type="page" w:clear="all"/>
      </w:r>
      <w:bookmarkEnd w:id="26"/>
      <w:r>
        <w:rPr>
          <w:rFonts w:ascii="Times New Roman" w:hAnsi="Times New Roman" w:eastAsia="Times New Roman" w:cs="Times New Roman"/>
          <w:color w:val="000000" w:themeColor="text1"/>
          <w:sz w:val="22"/>
          <w:szCs w:val="22"/>
          <w:lang w:val="es-ES" w:bidi="es-ES"/>
        </w:rPr>
      </w:r>
      <w:bookmarkEnd w:id="27"/>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p>
      <w:pPr>
        <w:pStyle w:val="697"/>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38" w:name="estimación-y-resultados"/>
      <w:r>
        <w:rPr>
          <w:rFonts w:ascii="Times New Roman" w:hAnsi="Times New Roman" w:eastAsia="Times New Roman" w:cs="Times New Roman"/>
          <w:b/>
          <w:bCs/>
          <w:color w:val="000000" w:themeColor="text1"/>
          <w:sz w:val="22"/>
          <w:szCs w:val="22"/>
          <w:lang w:val="es-ES"/>
        </w:rPr>
        <w:t xml:space="preserve">6. Estimación y Resultados</w:t>
      </w:r>
      <w:r>
        <w:rPr>
          <w:rFonts w:ascii="Times New Roman" w:hAnsi="Times New Roman" w:eastAsia="Times New Roman" w:cs="Times New Roman"/>
          <w:b/>
          <w:bCs/>
          <w:color w:val="000000" w:themeColor="text1"/>
          <w:sz w:val="22"/>
          <w:szCs w:val="22"/>
          <w:lang w:val="es-ES"/>
        </w:rPr>
      </w:r>
    </w:p>
    <w:p>
      <w:pPr>
        <w:pStyle w:val="698"/>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30" w:name="diagnóstico-de-series-pre-estimación"/>
      <w:r>
        <w:rPr>
          <w:rFonts w:ascii="Times New Roman" w:hAnsi="Times New Roman" w:eastAsia="Times New Roman" w:cs="Times New Roman"/>
          <w:b/>
          <w:bCs/>
          <w:color w:val="000000" w:themeColor="text1"/>
          <w:sz w:val="22"/>
          <w:szCs w:val="22"/>
          <w:lang w:val="es-ES"/>
        </w:rPr>
        <w:t xml:space="preserve">6.1  Diagnóstico de Series </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Antes de proceder con la estimación estructural, se valida la naturaleza estocástica de las series mediante pruebas de raíz unitaria (</w:t>
      </w:r>
      <w:hyperlink w:tooltip="#tbl-roots" w:anchor="tbl-roots" w:history="1">
        <w:r>
          <w:rPr>
            <w:rStyle w:val="731"/>
            <w:rFonts w:ascii="Times New Roman" w:hAnsi="Times New Roman" w:eastAsia="Times New Roman" w:cs="Times New Roman"/>
            <w:color w:val="000000" w:themeColor="text1"/>
            <w:sz w:val="22"/>
            <w:szCs w:val="22"/>
            <w:lang w:val="es-ES"/>
          </w:rPr>
          <w:t xml:space="preserve">Table 4</w:t>
        </w:r>
      </w:hyperlink>
      <w:r>
        <w:rPr>
          <w:rFonts w:ascii="Times New Roman" w:hAnsi="Times New Roman" w:eastAsia="Times New Roman" w:cs="Times New Roman"/>
          <w:color w:val="000000" w:themeColor="text1"/>
          <w:sz w:val="22"/>
          <w:szCs w:val="22"/>
          <w:lang w:val="es-ES"/>
        </w:rPr>
        <w:t xml:space="preserve">). Los resultados confirman que las series fundamentales son integradas de orden uno I(1), lo que justifica el uso de modelos de cointegración.</w:t>
      </w:r>
      <w:r>
        <w:rPr>
          <w:rFonts w:ascii="Times New Roman" w:hAnsi="Times New Roman" w:eastAsia="Times New Roman" w:cs="Times New Roman"/>
          <w:color w:val="000000" w:themeColor="text1"/>
          <w:sz w:val="22"/>
          <w:szCs w:val="22"/>
          <w:lang w:val="es-ES"/>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28" w:name="tbl-roots"/>
            <w:r>
              <w:rPr>
                <w:rFonts w:ascii="Times New Roman" w:hAnsi="Times New Roman" w:eastAsia="Times New Roman" w:cs="Times New Roman"/>
                <w:color w:val="000000" w:themeColor="text1"/>
                <w:sz w:val="22"/>
                <w:szCs w:val="22"/>
                <w:lang w:val="es-ES"/>
              </w:rPr>
              <w:t xml:space="preserve">Table 4: Pruebas de Estacionariedad (Niveles). Nota: * p&lt;0.1, ** p&lt;0.05.</w:t>
            </w:r>
            <w:r>
              <w:rPr>
                <w:rFonts w:ascii="Times New Roman" w:hAnsi="Times New Roman" w:eastAsia="Times New Roman" w:cs="Times New Roman"/>
                <w:color w:val="000000" w:themeColor="text1"/>
                <w:sz w:val="22"/>
                <w:szCs w:val="22"/>
                <w:lang w:val="es-ES"/>
              </w:rPr>
            </w:r>
          </w:p>
          <w:tbl>
            <w:tblPr>
              <w:tblStyle w:val="719"/>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Variable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ADF (p-valor)</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PP (p-valor)</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Orden</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Log-Import. (</w:t>
                  </w:r>
                  <m:oMath>
                    <m:r>
                      <w:rPr>
                        <w:rFonts w:hint="default" w:ascii="Cambria Math" w:hAnsi="Cambria Math" w:eastAsia="Cambria Math" w:cs="Cambria Math"/>
                        <w:color w:val="000000" w:themeColor="text1"/>
                        <w:sz w:val="22"/>
                        <w:szCs w:val="22"/>
                        <w:lang w:val="es-ES" w:bidi="es-ES"/>
                      </w:rPr>
                      <m:rPr/>
                      <m:t>l</m:t>
                    </m:r>
                    <m:r>
                      <w:rPr>
                        <w:rFonts w:hint="default" w:ascii="Cambria Math" w:hAnsi="Cambria Math" w:eastAsia="Cambria Math" w:cs="Cambria Math"/>
                        <w:color w:val="000000" w:themeColor="text1"/>
                        <w:sz w:val="22"/>
                        <w:szCs w:val="22"/>
                        <w:lang w:val="es-ES" w:bidi="es-ES"/>
                      </w:rPr>
                      <m:rPr/>
                      <m:t>n</m:t>
                    </m:r>
                    <m:r>
                      <w:rPr>
                        <w:rFonts w:hint="default" w:ascii="Cambria Math" w:hAnsi="Cambria Math" w:eastAsia="Cambria Math" w:cs="Cambria Math"/>
                        <w:color w:val="000000" w:themeColor="text1"/>
                        <w:sz w:val="22"/>
                        <w:szCs w:val="22"/>
                        <w:lang w:val="es-ES" w:bidi="es-ES"/>
                      </w:rPr>
                      <m:rPr>
                        <m:sty m:val="p"/>
                      </m:rPr>
                      <m:t>_</m:t>
                    </m:r>
                    <m:r>
                      <w:rPr>
                        <w:rFonts w:hint="default" w:ascii="Cambria Math" w:hAnsi="Cambria Math" w:eastAsia="Cambria Math" w:cs="Cambria Math"/>
                        <w:color w:val="000000" w:themeColor="text1"/>
                        <w:sz w:val="22"/>
                        <w:szCs w:val="22"/>
                        <w:lang w:val="es-ES" w:bidi="es-ES"/>
                      </w:rPr>
                      <m:rPr/>
                      <m:t>M</m:t>
                    </m:r>
                  </m:oMath>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0.0814</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0.0877</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I(1)</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Log-PIB (</w:t>
                  </w:r>
                  <m:oMath>
                    <m:r>
                      <w:rPr>
                        <w:rFonts w:hint="default" w:ascii="Cambria Math" w:hAnsi="Cambria Math" w:eastAsia="Cambria Math" w:cs="Cambria Math"/>
                        <w:color w:val="000000" w:themeColor="text1"/>
                        <w:sz w:val="22"/>
                        <w:szCs w:val="22"/>
                        <w:lang w:val="es-ES" w:bidi="es-ES"/>
                      </w:rPr>
                      <m:rPr/>
                      <m:t>l</m:t>
                    </m:r>
                    <m:r>
                      <w:rPr>
                        <w:rFonts w:hint="default" w:ascii="Cambria Math" w:hAnsi="Cambria Math" w:eastAsia="Cambria Math" w:cs="Cambria Math"/>
                        <w:color w:val="000000" w:themeColor="text1"/>
                        <w:sz w:val="22"/>
                        <w:szCs w:val="22"/>
                        <w:lang w:val="es-ES" w:bidi="es-ES"/>
                      </w:rPr>
                      <m:rPr/>
                      <m:t>n</m:t>
                    </m:r>
                    <m:r>
                      <w:rPr>
                        <w:rFonts w:hint="default" w:ascii="Cambria Math" w:hAnsi="Cambria Math" w:eastAsia="Cambria Math" w:cs="Cambria Math"/>
                        <w:color w:val="000000" w:themeColor="text1"/>
                        <w:sz w:val="22"/>
                        <w:szCs w:val="22"/>
                        <w:lang w:val="es-ES" w:bidi="es-ES"/>
                      </w:rPr>
                      <m:rPr>
                        <m:sty m:val="p"/>
                      </m:rPr>
                      <m:t>_</m:t>
                    </m:r>
                    <m:r>
                      <w:rPr>
                        <w:rFonts w:hint="default" w:ascii="Cambria Math" w:hAnsi="Cambria Math" w:eastAsia="Cambria Math" w:cs="Cambria Math"/>
                        <w:color w:val="000000" w:themeColor="text1"/>
                        <w:sz w:val="22"/>
                        <w:szCs w:val="22"/>
                        <w:lang w:val="es-ES" w:bidi="es-ES"/>
                      </w:rPr>
                      <m:rPr/>
                      <m:t>Y</m:t>
                    </m:r>
                  </m:oMath>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0.1148</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0.1156</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I(1)</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IED (%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0.0222**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0.0422**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I(0)</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Renta Pet. (%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0.0821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0.1173</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I(1)</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Inflación (%)</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0.2202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0.2385</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I(0)</w:t>
                  </w:r>
                  <w:bookmarkEnd w:id="28"/>
                  <w:r>
                    <w:rPr>
                      <w:rFonts w:ascii="Times New Roman" w:hAnsi="Times New Roman" w:eastAsia="Times New Roman" w:cs="Times New Roman"/>
                      <w:color w:val="000000" w:themeColor="text1"/>
                      <w:sz w:val="22"/>
                      <w:szCs w:val="22"/>
                      <w:lang w:val="es-ES"/>
                    </w:rPr>
                  </w:r>
                </w:p>
              </w:tc>
            </w:tr>
          </w:tbl>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r>
    </w:tbl>
    <w:p>
      <w:pPr>
        <w:pStyle w:val="685"/>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Adicionalmente, el test de causalidad de Granger (</w:t>
      </w:r>
      <w:hyperlink w:tooltip="#tbl-granger" w:anchor="tbl-granger" w:history="1">
        <w:r>
          <w:rPr>
            <w:rStyle w:val="731"/>
            <w:rFonts w:ascii="Times New Roman" w:hAnsi="Times New Roman" w:eastAsia="Times New Roman" w:cs="Times New Roman"/>
            <w:color w:val="000000" w:themeColor="text1"/>
            <w:sz w:val="22"/>
            <w:szCs w:val="22"/>
            <w:lang w:val="es-ES"/>
          </w:rPr>
          <w:t xml:space="preserve">Table 5</w:t>
        </w:r>
      </w:hyperlink>
      <w:r>
        <w:rPr>
          <w:rFonts w:ascii="Times New Roman" w:hAnsi="Times New Roman" w:eastAsia="Times New Roman" w:cs="Times New Roman"/>
          <w:color w:val="000000" w:themeColor="text1"/>
          <w:sz w:val="22"/>
          <w:szCs w:val="22"/>
          <w:lang w:val="es-ES"/>
        </w:rPr>
        <w:t xml:space="preserve">) revela una precedencia temporal significativa de todas las variables independientes hacia las importaciones, descartando relaciones espurias.</w:t>
      </w:r>
      <w:r>
        <w:rPr>
          <w:rFonts w:ascii="Times New Roman" w:hAnsi="Times New Roman" w:eastAsia="Times New Roman" w:cs="Times New Roman"/>
          <w:color w:val="000000" w:themeColor="text1"/>
          <w:sz w:val="22"/>
          <w:szCs w:val="22"/>
          <w:lang w:val="es-ES"/>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29" w:name="tbl-granger"/>
            <w:r>
              <w:rPr>
                <w:rFonts w:ascii="Times New Roman" w:hAnsi="Times New Roman" w:eastAsia="Times New Roman" w:cs="Times New Roman"/>
                <w:color w:val="000000" w:themeColor="text1"/>
                <w:sz w:val="22"/>
                <w:szCs w:val="22"/>
                <w:lang w:val="es-ES"/>
              </w:rPr>
              <w:t xml:space="preserve">Table 5: Test de Causalidad de Granger hacia las Importaciones.</w:t>
            </w:r>
            <w:r>
              <w:rPr>
                <w:rFonts w:ascii="Times New Roman" w:hAnsi="Times New Roman" w:eastAsia="Times New Roman" w:cs="Times New Roman"/>
                <w:color w:val="000000" w:themeColor="text1"/>
                <w:sz w:val="22"/>
                <w:szCs w:val="22"/>
                <w:lang w:val="es-ES"/>
              </w:rPr>
            </w:r>
          </w:p>
          <w:tbl>
            <w:tblPr>
              <w:tblStyle w:val="719"/>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Variable Excluida</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Chi2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gl</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Prob &gt; Chi2</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Log-PIB (</w:t>
                  </w:r>
                  <m:oMath>
                    <m:r>
                      <w:rPr>
                        <w:rFonts w:hint="default" w:ascii="Cambria Math" w:hAnsi="Cambria Math" w:eastAsia="Cambria Math" w:cs="Cambria Math"/>
                        <w:color w:val="000000" w:themeColor="text1"/>
                        <w:sz w:val="22"/>
                        <w:szCs w:val="22"/>
                        <w:lang w:val="es-ES" w:bidi="es-ES"/>
                      </w:rPr>
                      <m:rPr/>
                      <m:t>l</m:t>
                    </m:r>
                    <m:r>
                      <w:rPr>
                        <w:rFonts w:hint="default" w:ascii="Cambria Math" w:hAnsi="Cambria Math" w:eastAsia="Cambria Math" w:cs="Cambria Math"/>
                        <w:color w:val="000000" w:themeColor="text1"/>
                        <w:sz w:val="22"/>
                        <w:szCs w:val="22"/>
                        <w:lang w:val="es-ES" w:bidi="es-ES"/>
                      </w:rPr>
                      <m:rPr/>
                      <m:t>n</m:t>
                    </m:r>
                    <m:r>
                      <w:rPr>
                        <w:rFonts w:hint="default" w:ascii="Cambria Math" w:hAnsi="Cambria Math" w:eastAsia="Cambria Math" w:cs="Cambria Math"/>
                        <w:color w:val="000000" w:themeColor="text1"/>
                        <w:sz w:val="22"/>
                        <w:szCs w:val="22"/>
                        <w:lang w:val="es-ES" w:bidi="es-ES"/>
                      </w:rPr>
                      <m:rPr>
                        <m:sty m:val="p"/>
                      </m:rPr>
                      <m:t>_</m:t>
                    </m:r>
                    <m:r>
                      <w:rPr>
                        <w:rFonts w:hint="default" w:ascii="Cambria Math" w:hAnsi="Cambria Math" w:eastAsia="Cambria Math" w:cs="Cambria Math"/>
                        <w:color w:val="000000" w:themeColor="text1"/>
                        <w:sz w:val="22"/>
                        <w:szCs w:val="22"/>
                        <w:lang w:val="es-ES" w:bidi="es-ES"/>
                      </w:rPr>
                      <m:rPr/>
                      <m:t>Y</m:t>
                    </m:r>
                  </m:oMath>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31.75</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0.000***</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IED (%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6.41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0.011**</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Renta Pet. (%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7.04</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0.008***</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Inflación (%)</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23.39</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0.000***</w:t>
                  </w:r>
                  <w:bookmarkEnd w:id="29"/>
                  <w:r>
                    <w:rPr>
                      <w:rFonts w:ascii="Times New Roman" w:hAnsi="Times New Roman" w:eastAsia="Times New Roman" w:cs="Times New Roman"/>
                      <w:color w:val="000000" w:themeColor="text1"/>
                      <w:sz w:val="22"/>
                      <w:szCs w:val="22"/>
                      <w:lang w:val="es-ES"/>
                    </w:rPr>
                  </w:r>
                </w:p>
              </w:tc>
            </w:tr>
          </w:tbl>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End w:id="30"/>
            <w:r>
              <w:rPr>
                <w:rFonts w:ascii="Times New Roman" w:hAnsi="Times New Roman" w:eastAsia="Times New Roman" w:cs="Times New Roman"/>
                <w:color w:val="000000" w:themeColor="text1"/>
                <w:sz w:val="22"/>
                <w:szCs w:val="22"/>
                <w:lang w:val="es-ES"/>
              </w:rPr>
            </w:r>
          </w:p>
        </w:tc>
      </w:tr>
    </w:tbl>
    <w:p>
      <w:pPr>
        <w:pStyle w:val="698"/>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32" w:name="comparación-de-modelos-de-estimación"/>
      <w:r>
        <w:rPr>
          <w:rFonts w:ascii="Times New Roman" w:hAnsi="Times New Roman" w:eastAsia="Times New Roman" w:cs="Times New Roman"/>
          <w:b/>
          <w:bCs/>
          <w:color w:val="000000" w:themeColor="text1"/>
          <w:sz w:val="22"/>
          <w:szCs w:val="22"/>
          <w:lang w:val="es-ES"/>
        </w:rPr>
        <w:t xml:space="preserve">6.2 5.2. Comparación de Modelos de Estimación</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Se evalúan cuatro especificaciones para garantizar la robustez de los hallazgos (</w:t>
      </w:r>
      <w:hyperlink w:tooltip="#tbl-results" w:anchor="tbl-results" w:history="1">
        <w:r>
          <w:rPr>
            <w:rStyle w:val="731"/>
            <w:rFonts w:ascii="Times New Roman" w:hAnsi="Times New Roman" w:eastAsia="Times New Roman" w:cs="Times New Roman"/>
            <w:color w:val="000000" w:themeColor="text1"/>
            <w:sz w:val="22"/>
            <w:szCs w:val="22"/>
            <w:lang w:val="es-ES"/>
          </w:rPr>
          <w:t xml:space="preserve">Table 6</w:t>
        </w:r>
      </w:hyperlink>
      <w:r>
        <w:rPr>
          <w:rFonts w:ascii="Times New Roman" w:hAnsi="Times New Roman" w:eastAsia="Times New Roman" w:cs="Times New Roman"/>
          <w:color w:val="000000" w:themeColor="text1"/>
          <w:sz w:val="22"/>
          <w:szCs w:val="22"/>
          <w:lang w:val="es-ES"/>
        </w:rPr>
        <w:t xml:space="preserve">). El modelo ARDL (3) y el ECM (4) proporcionan la mejor descripción de la dinámica económica del país.</w:t>
      </w:r>
      <w:r>
        <w:rPr>
          <w:rFonts w:ascii="Times New Roman" w:hAnsi="Times New Roman" w:eastAsia="Times New Roman" w:cs="Times New Roman"/>
          <w:color w:val="000000" w:themeColor="text1"/>
          <w:sz w:val="22"/>
          <w:szCs w:val="22"/>
          <w:lang w:val="es-ES"/>
        </w:rPr>
      </w:r>
    </w:p>
    <w:tbl>
      <w:tblPr>
        <w:tblStyle w:val="719"/>
        <w:tblW w:w="5000" w:type="pct"/>
        <w:tblBorders/>
        <w:tblLayout w:type="fixed"/>
        <w:tblLook w:val="0000" w:firstRow="0" w:lastRow="0" w:firstColumn="0" w:lastColumn="0" w:noHBand="0" w:noVBand="0"/>
      </w:tblPr>
      <w:tblGrid>
        <w:gridCol w:w="7920"/>
      </w:tblGrid>
      <w:tr>
        <w:trPr/>
        <w:tc>
          <w:tcPr>
            <w:tcBorders/>
          </w:tcPr>
          <w:p>
            <w:pPr>
              <w:pStyle w:val="724"/>
              <w:pBdr/>
              <w:spacing w:before="200"/>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Start w:id="31" w:name="tbl-results"/>
            <w:r>
              <w:rPr>
                <w:rFonts w:ascii="Times New Roman" w:hAnsi="Times New Roman" w:eastAsia="Times New Roman" w:cs="Times New Roman"/>
                <w:color w:val="000000" w:themeColor="text1"/>
                <w:sz w:val="22"/>
                <w:szCs w:val="22"/>
                <w:lang w:val="es-ES"/>
              </w:rPr>
              <w:t xml:space="preserve">Table 6: Resultados Comparativos de Estimación. Nota: * p&lt;0.1, ** p&lt;0.05, *** p&lt;0.01.</w:t>
            </w:r>
            <w:r>
              <w:rPr>
                <w:rFonts w:ascii="Times New Roman" w:hAnsi="Times New Roman" w:eastAsia="Times New Roman" w:cs="Times New Roman"/>
                <w:color w:val="000000" w:themeColor="text1"/>
                <w:sz w:val="22"/>
                <w:szCs w:val="22"/>
                <w:lang w:val="es-ES"/>
              </w:rPr>
            </w:r>
          </w:p>
          <w:tbl>
            <w:tblPr>
              <w:tblStyle w:val="719"/>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Variable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Model 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Model 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Model 3</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Model 4</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(Lineal)</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(Log-Log)</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(ARDL)</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(ECM)</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PIB (</w:t>
                  </w:r>
                  <m:oMath>
                    <m:r>
                      <w:rPr>
                        <w:rFonts w:hint="default" w:ascii="Cambria Math" w:hAnsi="Cambria Math" w:eastAsia="Cambria Math" w:cs="Cambria Math"/>
                        <w:color w:val="000000" w:themeColor="text1"/>
                        <w:sz w:val="22"/>
                        <w:szCs w:val="22"/>
                        <w:lang w:val="es-ES" w:bidi="es-ES"/>
                      </w:rPr>
                      <m:rPr/>
                      <m:t>l</m:t>
                    </m:r>
                    <m:r>
                      <w:rPr>
                        <w:rFonts w:hint="default" w:ascii="Cambria Math" w:hAnsi="Cambria Math" w:eastAsia="Cambria Math" w:cs="Cambria Math"/>
                        <w:color w:val="000000" w:themeColor="text1"/>
                        <w:sz w:val="22"/>
                        <w:szCs w:val="22"/>
                        <w:lang w:val="es-ES" w:bidi="es-ES"/>
                      </w:rPr>
                      <m:rPr/>
                      <m:t>n</m:t>
                    </m:r>
                    <m:r>
                      <w:rPr>
                        <w:rFonts w:hint="default" w:ascii="Cambria Math" w:hAnsi="Cambria Math" w:eastAsia="Cambria Math" w:cs="Cambria Math"/>
                        <w:color w:val="000000" w:themeColor="text1"/>
                        <w:sz w:val="22"/>
                        <w:szCs w:val="22"/>
                        <w:lang w:val="es-ES" w:bidi="es-ES"/>
                      </w:rPr>
                      <m:rPr>
                        <m:sty m:val="p"/>
                      </m:rPr>
                      <m:t>_</m:t>
                    </m:r>
                    <m:r>
                      <w:rPr>
                        <w:rFonts w:hint="default" w:ascii="Cambria Math" w:hAnsi="Cambria Math" w:eastAsia="Cambria Math" w:cs="Cambria Math"/>
                        <w:color w:val="000000" w:themeColor="text1"/>
                        <w:sz w:val="22"/>
                        <w:szCs w:val="22"/>
                        <w:lang w:val="es-ES" w:bidi="es-ES"/>
                      </w:rPr>
                      <m:rPr/>
                      <m:t>Y</m:t>
                    </m:r>
                  </m:oMath>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0.228***</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0.920***</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0.626***</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1.661***</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Para>
                    <m:oMathParaPr>
                      <m:jc m:val="centerGroup"/>
                    </m:oMathParaPr>
                    <m:oMath>
                      <m:r>
                        <w:rPr>
                          <w:rFonts w:hint="default" w:ascii="Cambria Math" w:hAnsi="Cambria Math" w:eastAsia="Cambria Math" w:cs="Cambria Math"/>
                          <w:color w:val="000000" w:themeColor="text1"/>
                          <w:sz w:val="22"/>
                          <w:szCs w:val="22"/>
                          <w:lang w:val="es-ES" w:bidi="es-ES"/>
                        </w:rPr>
                        <m:rPr/>
                        <m:t>l</m:t>
                      </m:r>
                      <m:r>
                        <w:rPr>
                          <w:rFonts w:hint="default" w:ascii="Cambria Math" w:hAnsi="Cambria Math" w:eastAsia="Cambria Math" w:cs="Cambria Math"/>
                          <w:color w:val="000000" w:themeColor="text1"/>
                          <w:sz w:val="22"/>
                          <w:szCs w:val="22"/>
                          <w:lang w:val="es-ES" w:bidi="es-ES"/>
                        </w:rPr>
                        <m:rPr/>
                        <m:t>n</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M</m:t>
                      </m:r>
                      <m:sSub>
                        <m:sSubPr>
                          <m:ctrlPr>
                            <w:rPr>
                              <w:rFonts w:hint="default" w:ascii="Cambria Math" w:hAnsi="Cambria Math" w:eastAsia="Cambria Math" w:cs="Cambria Math"/>
                              <w:color w:val="000000" w:themeColor="text1"/>
                              <w:sz w:val="22"/>
                            </w:rPr>
                          </m:ctrlPr>
                        </m:sSubPr>
                        <m:e>
                          <m:r>
                            <w:rPr>
                              <w:rFonts w:hint="default" w:ascii="Cambria Math" w:hAnsi="Cambria Math" w:eastAsia="Cambria Math" w:cs="Cambria Math"/>
                              <w:color w:val="000000" w:themeColor="text1"/>
                              <w:sz w:val="22"/>
                              <w:szCs w:val="22"/>
                              <w:lang w:val="es-ES" w:bidi="es-ES"/>
                            </w:rPr>
                            <m:rPr>
                              <m:sty m:val="p"/>
                            </m:rPr>
                            <m:t>)</m:t>
                          </m:r>
                        </m:e>
                        <m:sub>
                          <m:r>
                            <w:rPr>
                              <w:rFonts w:hint="default" w:ascii="Cambria Math" w:hAnsi="Cambria Math" w:eastAsia="Cambria Math" w:cs="Cambria Math"/>
                              <w:color w:val="000000" w:themeColor="text1"/>
                              <w:sz w:val="22"/>
                              <w:szCs w:val="22"/>
                              <w:lang w:val="es-ES" w:bidi="es-ES"/>
                            </w:rPr>
                            <m:rPr/>
                            <m:t>t</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1</m:t>
                          </m:r>
                        </m:sub>
                      </m:sSub>
                    </m:oMath>
                  </m:oMathPara>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0.284**</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IED (% PIB)</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-2.7e8*</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-0.034**</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-0.020</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0.014</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Renta Pet.</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1.16e+08***</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0.006*</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0.006*</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-0.000</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Inflación</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-4.58e+07***</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-0.003***</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-0.003***</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-0.001</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Resid. (</w:t>
                  </w:r>
                  <m:oMath>
                    <m:r>
                      <w:rPr>
                        <w:rFonts w:hint="default" w:ascii="Cambria Math" w:hAnsi="Cambria Math" w:eastAsia="Cambria Math" w:cs="Cambria Math"/>
                        <w:color w:val="000000" w:themeColor="text1"/>
                        <w:sz w:val="22"/>
                        <w:szCs w:val="22"/>
                        <w:lang w:val="es-ES" w:bidi="es-ES"/>
                      </w:rPr>
                      <m:rPr/>
                      <m:t>t</m:t>
                    </m:r>
                    <m:r>
                      <w:rPr>
                        <w:rFonts w:hint="default" w:ascii="Cambria Math" w:hAnsi="Cambria Math" w:eastAsia="Cambria Math" w:cs="Cambria Math"/>
                        <w:color w:val="000000" w:themeColor="text1"/>
                        <w:sz w:val="22"/>
                        <w:szCs w:val="22"/>
                        <w:lang w:val="es-ES" w:bidi="es-ES"/>
                      </w:rPr>
                      <m:rPr>
                        <m:sty m:val="p"/>
                      </m:rPr>
                      <m:t>−</m:t>
                    </m:r>
                    <m:r>
                      <w:rPr>
                        <w:rFonts w:hint="default" w:ascii="Cambria Math" w:hAnsi="Cambria Math" w:eastAsia="Cambria Math" w:cs="Cambria Math"/>
                        <w:color w:val="000000" w:themeColor="text1"/>
                        <w:sz w:val="22"/>
                        <w:szCs w:val="22"/>
                        <w:lang w:val="es-ES" w:bidi="es-ES"/>
                      </w:rPr>
                      <m:rPr/>
                      <m:t>1</m:t>
                    </m:r>
                  </m:oMath>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-0.794***</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Constant</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1.36e+09**</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0.6287</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1.2508*</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-0.0224</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m:oMathPara>
                    <m:oMathParaPr>
                      <m:jc m:val="centerGroup"/>
                    </m:oMathParaPr>
                    <m:oMath>
                      <m:r>
                        <w:rPr>
                          <w:rFonts w:hint="default" w:ascii="Cambria Math" w:hAnsi="Cambria Math" w:eastAsia="Cambria Math" w:cs="Cambria Math"/>
                          <w:color w:val="000000" w:themeColor="text1"/>
                          <w:sz w:val="22"/>
                          <w:szCs w:val="22"/>
                          <w:lang w:val="es-ES" w:bidi="es-ES"/>
                        </w:rPr>
                        <m:rPr/>
                        <m:t>N</m:t>
                      </m:r>
                    </m:oMath>
                  </m:oMathPara>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52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52</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51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50</w:t>
                  </w:r>
                  <w:r>
                    <w:rPr>
                      <w:rFonts w:ascii="Times New Roman" w:hAnsi="Times New Roman" w:eastAsia="Times New Roman" w:cs="Times New Roman"/>
                      <w:color w:val="000000" w:themeColor="text1"/>
                      <w:sz w:val="22"/>
                      <w:szCs w:val="22"/>
                      <w:lang w:val="es-ES"/>
                    </w:rPr>
                  </w:r>
                </w:p>
              </w:tc>
            </w:tr>
            <w:tr>
              <w:trPr/>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Adj.</w:t>
                  </w:r>
                  <w:r>
                    <w:rPr>
                      <w:rFonts w:ascii="Times New Roman" w:hAnsi="Times New Roman" w:eastAsia="Times New Roman" w:cs="Times New Roman"/>
                      <w:color w:val="000000" w:themeColor="text1"/>
                      <w:sz w:val="22"/>
                      <w:szCs w:val="22"/>
                      <w:lang w:val="es-ES"/>
                    </w:rPr>
                    <w:t xml:space="preserve"> </w:t>
                  </w:r>
                  <m:oMath>
                    <m:sSup>
                      <m:sSupPr>
                        <m:ctrlPr>
                          <w:rPr>
                            <w:rFonts w:hint="default" w:ascii="Cambria Math" w:hAnsi="Cambria Math" w:eastAsia="Cambria Math" w:cs="Cambria Math"/>
                            <w:color w:val="000000" w:themeColor="text1"/>
                            <w:sz w:val="22"/>
                          </w:rPr>
                        </m:ctrlPr>
                      </m:sSupPr>
                      <m:e>
                        <m:r>
                          <w:rPr>
                            <w:rFonts w:hint="default" w:ascii="Cambria Math" w:hAnsi="Cambria Math" w:eastAsia="Cambria Math" w:cs="Cambria Math"/>
                            <w:color w:val="000000" w:themeColor="text1"/>
                            <w:sz w:val="22"/>
                            <w:szCs w:val="22"/>
                            <w:lang w:val="es-ES" w:bidi="es-ES"/>
                          </w:rPr>
                          <m:rPr/>
                          <m:t>R</m:t>
                        </m:r>
                      </m:e>
                      <m:sup>
                        <m:r>
                          <w:rPr>
                            <w:rFonts w:hint="default" w:ascii="Cambria Math" w:hAnsi="Cambria Math" w:eastAsia="Cambria Math" w:cs="Cambria Math"/>
                            <w:color w:val="000000" w:themeColor="text1"/>
                            <w:sz w:val="22"/>
                            <w:szCs w:val="22"/>
                            <w:lang w:val="es-ES" w:bidi="es-ES"/>
                          </w:rPr>
                          <m:rPr/>
                          <m:t>2</m:t>
                        </m:r>
                      </m:sup>
                    </m:sSup>
                  </m:oMath>
                  <w:r>
                    <w:rPr>
                      <w:rFonts w:ascii="Times New Roman" w:hAnsi="Times New Roman" w:eastAsia="Times New Roman" w:cs="Times New Roman"/>
                      <w:color w:val="000000" w:themeColor="text1"/>
                      <w:sz w:val="22"/>
                      <w:szCs w:val="22"/>
                      <w:lang w:val="es-ES" w:bidi="es-ES"/>
                    </w:rPr>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0.9721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0.9641</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0.9669</w:t>
                  </w:r>
                  <w:r>
                    <w:rPr>
                      <w:rFonts w:ascii="Times New Roman" w:hAnsi="Times New Roman" w:eastAsia="Times New Roman" w:cs="Times New Roman"/>
                      <w:color w:val="000000" w:themeColor="text1"/>
                      <w:sz w:val="22"/>
                      <w:szCs w:val="22"/>
                      <w:lang w:val="es-ES"/>
                    </w:rPr>
                  </w:r>
                </w:p>
              </w:tc>
              <w:tc>
                <w:tcPr>
                  <w:tcBorders/>
                </w:tcPr>
                <w:p>
                  <w:pPr>
                    <w:pStyle w:val="687"/>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rPr>
                    <w:t xml:space="preserve">0.5799</w:t>
                  </w:r>
                  <w:bookmarkEnd w:id="31"/>
                  <w:r>
                    <w:rPr>
                      <w:rFonts w:ascii="Times New Roman" w:hAnsi="Times New Roman" w:eastAsia="Times New Roman" w:cs="Times New Roman"/>
                      <w:color w:val="000000" w:themeColor="text1"/>
                      <w:sz w:val="22"/>
                      <w:szCs w:val="22"/>
                      <w:lang w:val="es-ES"/>
                    </w:rPr>
                  </w:r>
                </w:p>
              </w:tc>
            </w:tr>
          </w:tbl>
          <w:p>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lang w:val="es-ES" w:bidi="es-ES"/>
              </w:rPr>
            </w:r>
            <w:bookmarkEnd w:id="32"/>
            <w:r>
              <w:rPr>
                <w:rFonts w:ascii="Times New Roman" w:hAnsi="Times New Roman" w:eastAsia="Times New Roman" w:cs="Times New Roman"/>
                <w:color w:val="000000" w:themeColor="text1"/>
                <w:sz w:val="22"/>
                <w:szCs w:val="22"/>
                <w:lang w:val="es-ES"/>
              </w:rPr>
            </w:r>
          </w:p>
        </w:tc>
      </w:tr>
    </w:tbl>
    <w:p>
      <w:pPr>
        <w:pStyle w:val="698"/>
        <w:pBdr/>
        <w:spacing/>
        <w:ind/>
        <w:jc w:val="both"/>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lang w:val="es-ES" w:bidi="es-ES"/>
        </w:rPr>
      </w:r>
      <w:bookmarkStart w:id="37" w:name="análisis-de-resultados-y-ajuste"/>
      <w:r>
        <w:rPr>
          <w:rFonts w:ascii="Times New Roman" w:hAnsi="Times New Roman" w:eastAsia="Times New Roman" w:cs="Times New Roman"/>
          <w:b/>
          <w:bCs/>
          <w:color w:val="000000" w:themeColor="text1"/>
          <w:sz w:val="22"/>
          <w:szCs w:val="22"/>
          <w:lang w:val="es-ES"/>
        </w:rPr>
        <w:t xml:space="preserve">6.3 . Análisis de Resultados y Ajuste</w:t>
      </w:r>
      <w:r>
        <w:rPr>
          <w:rFonts w:ascii="Times New Roman" w:hAnsi="Times New Roman" w:eastAsia="Times New Roman" w:cs="Times New Roman"/>
          <w:b/>
          <w:bCs/>
          <w:color w:val="000000" w:themeColor="text1"/>
          <w:sz w:val="22"/>
          <w:szCs w:val="22"/>
          <w:lang w:val="es-ES"/>
        </w:rPr>
      </w:r>
    </w:p>
    <w:p>
      <w:pPr>
        <w:pStyle w:val="686"/>
        <w:pBdr/>
        <w:spacing/>
        <w:ind/>
        <w:jc w:val="both"/>
        <w:rPr>
          <w:rFonts w:ascii="Times New Roman" w:hAnsi="Times New Roman" w:cs="Times New Roman"/>
          <w:b w:val="0"/>
          <w:bCs w:val="0"/>
          <w:color w:val="000000" w:themeColor="text1"/>
          <w:sz w:val="22"/>
          <w:szCs w:val="22"/>
        </w:rPr>
      </w:pPr>
      <w:r>
        <w:rPr>
          <w:rFonts w:ascii="Times New Roman" w:hAnsi="Times New Roman" w:eastAsia="Times New Roman" w:cs="Times New Roman"/>
          <w:b w:val="0"/>
          <w:bCs w:val="0"/>
          <w:color w:val="000000" w:themeColor="text1"/>
          <w:sz w:val="22"/>
          <w:szCs w:val="22"/>
          <w:lang w:val="es-ES"/>
        </w:rPr>
        <w:t xml:space="preserve">El modelo</w:t>
      </w:r>
      <w:r>
        <w:rPr>
          <w:rFonts w:ascii="Times New Roman" w:hAnsi="Times New Roman" w:eastAsia="Times New Roman" w:cs="Times New Roman"/>
          <w:b w:val="0"/>
          <w:bCs w:val="0"/>
          <w:color w:val="000000" w:themeColor="text1"/>
          <w:sz w:val="22"/>
          <w:szCs w:val="22"/>
          <w:lang w:val="es-ES"/>
        </w:rPr>
        <w:t xml:space="preserve"> </w:t>
      </w:r>
      <w:r>
        <w:rPr>
          <w:rFonts w:ascii="Times New Roman" w:hAnsi="Times New Roman" w:eastAsia="Times New Roman" w:cs="Times New Roman"/>
          <w:b w:val="0"/>
          <w:bCs w:val="0"/>
          <w:color w:val="000000" w:themeColor="text1"/>
          <w:sz w:val="22"/>
          <w:szCs w:val="22"/>
          <w:lang w:val="es-ES"/>
        </w:rPr>
        <w:t xml:space="preserve">ARDL (3)</w:t>
      </w:r>
      <w:r>
        <w:rPr>
          <w:rFonts w:ascii="Times New Roman" w:hAnsi="Times New Roman" w:eastAsia="Times New Roman" w:cs="Times New Roman"/>
          <w:b w:val="0"/>
          <w:bCs w:val="0"/>
          <w:color w:val="000000" w:themeColor="text1"/>
          <w:sz w:val="22"/>
          <w:szCs w:val="22"/>
          <w:lang w:val="es-ES"/>
        </w:rPr>
        <w:t xml:space="preserve"> </w:t>
      </w:r>
      <w:r>
        <w:rPr>
          <w:rFonts w:ascii="Times New Roman" w:hAnsi="Times New Roman" w:eastAsia="Times New Roman" w:cs="Times New Roman"/>
          <w:b w:val="0"/>
          <w:bCs w:val="0"/>
          <w:color w:val="000000" w:themeColor="text1"/>
          <w:sz w:val="22"/>
          <w:szCs w:val="22"/>
          <w:lang w:val="es-ES"/>
        </w:rPr>
        <w:t xml:space="preserve">confirma que el ingreso nacional es el principal determinante, con una elasticidad inmediata del 0.62. La inclusión de controles revela que la bonanza petrolera impulsa la demanda externa, mientras que la inflación actúa como un factor disuasorio. El</w:t>
      </w:r>
      <w:r>
        <w:rPr>
          <w:rFonts w:ascii="Times New Roman" w:hAnsi="Times New Roman" w:eastAsia="Times New Roman" w:cs="Times New Roman"/>
          <w:b w:val="0"/>
          <w:bCs w:val="0"/>
          <w:color w:val="000000" w:themeColor="text1"/>
          <w:sz w:val="22"/>
          <w:szCs w:val="22"/>
          <w:lang w:val="es-ES"/>
        </w:rPr>
        <w:t xml:space="preserve"> </w:t>
      </w:r>
      <w:r>
        <w:rPr>
          <w:rFonts w:ascii="Times New Roman" w:hAnsi="Times New Roman" w:eastAsia="Times New Roman" w:cs="Times New Roman"/>
          <w:b w:val="0"/>
          <w:bCs w:val="0"/>
          <w:color w:val="000000" w:themeColor="text1"/>
          <w:sz w:val="22"/>
          <w:szCs w:val="22"/>
          <w:lang w:val="es-ES"/>
        </w:rPr>
        <w:t xml:space="preserve">Modelo de Corrección de Errores (4)</w:t>
      </w:r>
      <w:r>
        <w:rPr>
          <w:rFonts w:ascii="Times New Roman" w:hAnsi="Times New Roman" w:eastAsia="Times New Roman" w:cs="Times New Roman"/>
          <w:b w:val="0"/>
          <w:bCs w:val="0"/>
          <w:color w:val="000000" w:themeColor="text1"/>
          <w:sz w:val="22"/>
          <w:szCs w:val="22"/>
          <w:lang w:val="es-ES"/>
        </w:rPr>
        <w:t xml:space="preserve"> </w:t>
      </w:r>
      <w:r>
        <w:rPr>
          <w:rFonts w:ascii="Times New Roman" w:hAnsi="Times New Roman" w:eastAsia="Times New Roman" w:cs="Times New Roman"/>
          <w:b w:val="0"/>
          <w:bCs w:val="0"/>
          <w:color w:val="000000" w:themeColor="text1"/>
          <w:sz w:val="22"/>
          <w:szCs w:val="22"/>
          <w:lang w:val="es-ES"/>
        </w:rPr>
        <w:t xml:space="preserve">confirma una velocidad de ajuste de -0.79, indicando una rápida convergencia hacia el equilibrio tras choques exógenos.</w:t>
      </w:r>
      <w:r>
        <w:rPr>
          <w:rFonts w:ascii="Times New Roman" w:hAnsi="Times New Roman" w:eastAsia="Times New Roman" w:cs="Times New Roman"/>
          <w:b w:val="0"/>
          <w:bCs w:val="0"/>
          <w:color w:val="000000" w:themeColor="text1"/>
          <w:sz w:val="22"/>
          <w:szCs w:val="22"/>
          <w:lang w:val="es-ES"/>
        </w:rPr>
      </w:r>
      <w:r>
        <w:rPr>
          <w:rFonts w:ascii="Times New Roman" w:hAnsi="Times New Roman" w:cs="Times New Roman"/>
          <w:b w:val="0"/>
          <w:bCs w:val="0"/>
          <w:color w:val="000000" w:themeColor="text1"/>
          <w:sz w:val="22"/>
          <w:szCs w:val="22"/>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onsolas">
    <w:panose1 w:val="020B060602020203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71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71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8"/>
    <w:link w:val="167"/>
    <w:uiPriority w:val="30"/>
    <w:pPr>
      <w:pBdr/>
      <w:spacing/>
      <w:ind/>
    </w:pPr>
    <w:rPr>
      <w:i/>
      <w:iCs/>
      <w:color w:val="0f4761" w:themeColor="accent1" w:themeShade="BF"/>
    </w:rPr>
  </w:style>
  <w:style w:type="character" w:styleId="169">
    <w:name w:val="Intense Reference"/>
    <w:basedOn w:val="71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718"/>
    <w:uiPriority w:val="19"/>
    <w:qFormat/>
    <w:pPr>
      <w:pBdr/>
      <w:spacing/>
      <w:ind/>
    </w:pPr>
    <w:rPr>
      <w:i/>
      <w:iCs/>
      <w:color w:val="404040" w:themeColor="text1" w:themeTint="BF"/>
    </w:rPr>
  </w:style>
  <w:style w:type="character" w:styleId="172">
    <w:name w:val="Emphasis"/>
    <w:basedOn w:val="718"/>
    <w:uiPriority w:val="20"/>
    <w:qFormat/>
    <w:pPr>
      <w:pBdr/>
      <w:spacing/>
      <w:ind/>
    </w:pPr>
    <w:rPr>
      <w:i/>
      <w:iCs/>
    </w:rPr>
  </w:style>
  <w:style w:type="character" w:styleId="173">
    <w:name w:val="Strong"/>
    <w:basedOn w:val="718"/>
    <w:uiPriority w:val="22"/>
    <w:qFormat/>
    <w:pPr>
      <w:pBdr/>
      <w:spacing/>
      <w:ind/>
    </w:pPr>
    <w:rPr>
      <w:b/>
      <w:bCs/>
    </w:rPr>
  </w:style>
  <w:style w:type="character" w:styleId="174">
    <w:name w:val="Subtle Reference"/>
    <w:basedOn w:val="718"/>
    <w:uiPriority w:val="31"/>
    <w:qFormat/>
    <w:pPr>
      <w:pBdr/>
      <w:spacing/>
      <w:ind/>
    </w:pPr>
    <w:rPr>
      <w:smallCaps/>
      <w:color w:val="5a5a5a" w:themeColor="text1" w:themeTint="A5"/>
    </w:rPr>
  </w:style>
  <w:style w:type="character" w:styleId="175">
    <w:name w:val="Book Title"/>
    <w:basedOn w:val="71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71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718"/>
    <w:link w:val="178"/>
    <w:uiPriority w:val="99"/>
    <w:pPr>
      <w:pBdr/>
      <w:spacing/>
      <w:ind/>
    </w:pPr>
  </w:style>
  <w:style w:type="character" w:styleId="182">
    <w:name w:val="Footnote Text Char"/>
    <w:basedOn w:val="718"/>
    <w:link w:val="716"/>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718"/>
    <w:link w:val="184"/>
    <w:uiPriority w:val="99"/>
    <w:semiHidden/>
    <w:pPr>
      <w:pBdr/>
      <w:spacing/>
      <w:ind/>
    </w:pPr>
    <w:rPr>
      <w:sz w:val="20"/>
      <w:szCs w:val="20"/>
    </w:rPr>
  </w:style>
  <w:style w:type="character" w:styleId="186">
    <w:name w:val="endnote reference"/>
    <w:basedOn w:val="718"/>
    <w:uiPriority w:val="99"/>
    <w:semiHidden/>
    <w:unhideWhenUsed/>
    <w:pPr>
      <w:pBdr/>
      <w:spacing/>
      <w:ind/>
    </w:pPr>
    <w:rPr>
      <w:vertAlign w:val="superscript"/>
    </w:rPr>
  </w:style>
  <w:style w:type="character" w:styleId="188">
    <w:name w:val="FollowedHyperlink"/>
    <w:basedOn w:val="71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718"/>
    <w:uiPriority w:val="99"/>
    <w:semiHidden/>
    <w:pPr>
      <w:pBdr/>
      <w:spacing/>
      <w:ind/>
    </w:pPr>
    <w:rPr>
      <w:color w:val="666666"/>
    </w:r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Body Text"/>
    <w:basedOn w:val="684"/>
    <w:link w:val="727"/>
    <w:qFormat/>
    <w:pPr>
      <w:pBdr/>
      <w:spacing w:after="180" w:before="180"/>
      <w:ind/>
    </w:pPr>
  </w:style>
  <w:style w:type="paragraph" w:styleId="686" w:customStyle="1">
    <w:name w:val="First Paragraph"/>
    <w:basedOn w:val="685"/>
    <w:next w:val="685"/>
    <w:qFormat/>
    <w:pPr>
      <w:pBdr/>
      <w:spacing/>
      <w:ind/>
    </w:pPr>
  </w:style>
  <w:style w:type="paragraph" w:styleId="687" w:customStyle="1">
    <w:name w:val="Compact"/>
    <w:basedOn w:val="685"/>
    <w:qFormat/>
    <w:pPr>
      <w:pBdr/>
      <w:spacing w:after="36" w:before="36"/>
      <w:ind/>
    </w:pPr>
  </w:style>
  <w:style w:type="paragraph" w:styleId="688">
    <w:name w:val="Title"/>
    <w:basedOn w:val="684"/>
    <w:next w:val="685"/>
    <w:link w:val="689"/>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689" w:customStyle="1">
    <w:name w:val="Title Char"/>
    <w:basedOn w:val="718"/>
    <w:link w:val="688"/>
    <w:uiPriority w:val="10"/>
    <w:pPr>
      <w:pBdr/>
      <w:spacing/>
      <w:ind/>
    </w:pPr>
    <w:rPr>
      <w:rFonts w:asciiTheme="majorHAnsi" w:hAnsiTheme="majorHAnsi" w:eastAsiaTheme="majorEastAsia" w:cstheme="majorBidi"/>
      <w:sz w:val="56"/>
      <w:szCs w:val="56"/>
    </w:rPr>
  </w:style>
  <w:style w:type="paragraph" w:styleId="690">
    <w:name w:val="Subtitle"/>
    <w:basedOn w:val="688"/>
    <w:next w:val="685"/>
    <w:link w:val="691"/>
    <w:uiPriority w:val="11"/>
    <w:qFormat/>
    <w:pPr>
      <w:numPr>
        <w:ilvl w:val="1"/>
      </w:numPr>
      <w:pBdr/>
      <w:spacing/>
      <w:ind/>
    </w:pPr>
    <w:rPr>
      <w:rFonts w:eastAsiaTheme="majorEastAsia" w:cstheme="majorBidi"/>
      <w:spacing w:val="15"/>
      <w:sz w:val="28"/>
      <w:szCs w:val="28"/>
    </w:rPr>
  </w:style>
  <w:style w:type="character" w:styleId="691" w:customStyle="1">
    <w:name w:val="Subtitle Char"/>
    <w:basedOn w:val="718"/>
    <w:link w:val="690"/>
    <w:uiPriority w:val="11"/>
    <w:pPr>
      <w:pBdr/>
      <w:spacing/>
      <w:ind/>
    </w:pPr>
    <w:rPr>
      <w:rFonts w:eastAsiaTheme="majorEastAsia" w:cstheme="majorBidi"/>
      <w:color w:val="595959" w:themeColor="text1" w:themeTint="A6"/>
      <w:spacing w:val="15"/>
      <w:sz w:val="28"/>
      <w:szCs w:val="28"/>
    </w:rPr>
  </w:style>
  <w:style w:type="paragraph" w:styleId="692" w:customStyle="1">
    <w:name w:val="Author"/>
    <w:basedOn w:val="688"/>
    <w:next w:val="685"/>
    <w:qFormat/>
    <w:pPr>
      <w:keepNext w:val="true"/>
      <w:keepLines w:val="true"/>
      <w:pBdr/>
      <w:spacing/>
      <w:ind/>
    </w:pPr>
    <w:rPr>
      <w:sz w:val="24"/>
      <w:szCs w:val="24"/>
    </w:rPr>
  </w:style>
  <w:style w:type="paragraph" w:styleId="693">
    <w:name w:val="Date"/>
    <w:basedOn w:val="688"/>
    <w:next w:val="685"/>
    <w:qFormat/>
    <w:pPr>
      <w:keepNext w:val="true"/>
      <w:keepLines w:val="true"/>
      <w:pBdr/>
      <w:spacing/>
      <w:ind/>
    </w:pPr>
    <w:rPr>
      <w:sz w:val="24"/>
      <w:szCs w:val="24"/>
    </w:rPr>
  </w:style>
  <w:style w:type="paragraph" w:styleId="694" w:customStyle="1">
    <w:name w:val="Abstract Title"/>
    <w:basedOn w:val="684"/>
    <w:next w:val="695"/>
    <w:qFormat/>
    <w:pPr>
      <w:keepNext w:val="true"/>
      <w:keepLines w:val="true"/>
      <w:pBdr/>
      <w:spacing w:after="0" w:before="300"/>
      <w:ind/>
      <w:jc w:val="center"/>
    </w:pPr>
    <w:rPr>
      <w:b/>
      <w:sz w:val="20"/>
      <w:szCs w:val="20"/>
    </w:rPr>
  </w:style>
  <w:style w:type="paragraph" w:styleId="695" w:customStyle="1">
    <w:name w:val="Abstract"/>
    <w:basedOn w:val="684"/>
    <w:next w:val="685"/>
    <w:qFormat/>
    <w:pPr>
      <w:keepNext w:val="true"/>
      <w:keepLines w:val="true"/>
      <w:pBdr/>
      <w:spacing w:after="300" w:before="100"/>
      <w:ind/>
    </w:pPr>
    <w:rPr>
      <w:sz w:val="20"/>
      <w:szCs w:val="20"/>
    </w:rPr>
  </w:style>
  <w:style w:type="paragraph" w:styleId="696">
    <w:name w:val="Bibliography"/>
    <w:basedOn w:val="684"/>
    <w:next w:val="696"/>
    <w:qFormat/>
    <w:pPr>
      <w:pBdr/>
      <w:spacing/>
      <w:ind/>
    </w:pPr>
  </w:style>
  <w:style w:type="paragraph" w:styleId="697">
    <w:name w:val="Heading 1"/>
    <w:basedOn w:val="684"/>
    <w:next w:val="685"/>
    <w:link w:val="7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8">
    <w:name w:val="Heading 2"/>
    <w:basedOn w:val="684"/>
    <w:next w:val="685"/>
    <w:link w:val="7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9">
    <w:name w:val="Heading 3"/>
    <w:basedOn w:val="684"/>
    <w:next w:val="685"/>
    <w:link w:val="7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0">
    <w:name w:val="Heading 4"/>
    <w:basedOn w:val="684"/>
    <w:next w:val="685"/>
    <w:link w:val="7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1">
    <w:name w:val="Heading 5"/>
    <w:basedOn w:val="684"/>
    <w:next w:val="685"/>
    <w:link w:val="7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2">
    <w:name w:val="Heading 6"/>
    <w:basedOn w:val="684"/>
    <w:next w:val="685"/>
    <w:link w:val="7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84"/>
    <w:next w:val="685"/>
    <w:link w:val="7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84"/>
    <w:next w:val="685"/>
    <w:link w:val="7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84"/>
    <w:next w:val="685"/>
    <w:link w:val="7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customStyle="1">
    <w:name w:val="Heading 1 Char"/>
    <w:basedOn w:val="718"/>
    <w:link w:val="697"/>
    <w:uiPriority w:val="9"/>
    <w:pPr>
      <w:pBdr/>
      <w:spacing/>
      <w:ind/>
    </w:pPr>
    <w:rPr>
      <w:rFonts w:asciiTheme="majorHAnsi" w:hAnsiTheme="majorHAnsi" w:eastAsiaTheme="majorEastAsia" w:cstheme="majorBidi"/>
      <w:color w:val="0f4761" w:themeColor="accent1" w:themeShade="BF"/>
      <w:sz w:val="40"/>
      <w:szCs w:val="40"/>
    </w:rPr>
  </w:style>
  <w:style w:type="character" w:styleId="707" w:customStyle="1">
    <w:name w:val="Heading 2 Char"/>
    <w:basedOn w:val="718"/>
    <w:link w:val="6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8" w:customStyle="1">
    <w:name w:val="Heading 3 Char"/>
    <w:basedOn w:val="718"/>
    <w:link w:val="699"/>
    <w:uiPriority w:val="9"/>
    <w:semiHidden/>
    <w:pPr>
      <w:pBdr/>
      <w:spacing/>
      <w:ind/>
    </w:pPr>
    <w:rPr>
      <w:rFonts w:eastAsiaTheme="majorEastAsia" w:cstheme="majorBidi"/>
      <w:color w:val="0f4761" w:themeColor="accent1" w:themeShade="BF"/>
      <w:sz w:val="28"/>
      <w:szCs w:val="28"/>
    </w:rPr>
  </w:style>
  <w:style w:type="character" w:styleId="709" w:customStyle="1">
    <w:name w:val="Heading 4 Char"/>
    <w:basedOn w:val="718"/>
    <w:link w:val="700"/>
    <w:uiPriority w:val="9"/>
    <w:semiHidden/>
    <w:pPr>
      <w:pBdr/>
      <w:spacing/>
      <w:ind/>
    </w:pPr>
    <w:rPr>
      <w:rFonts w:eastAsiaTheme="majorEastAsia" w:cstheme="majorBidi"/>
      <w:i/>
      <w:iCs/>
      <w:color w:val="0f4761" w:themeColor="accent1" w:themeShade="BF"/>
    </w:rPr>
  </w:style>
  <w:style w:type="character" w:styleId="710" w:customStyle="1">
    <w:name w:val="Heading 5 Char"/>
    <w:basedOn w:val="718"/>
    <w:link w:val="701"/>
    <w:uiPriority w:val="9"/>
    <w:semiHidden/>
    <w:pPr>
      <w:pBdr/>
      <w:spacing/>
      <w:ind/>
    </w:pPr>
    <w:rPr>
      <w:rFonts w:eastAsiaTheme="majorEastAsia" w:cstheme="majorBidi"/>
      <w:color w:val="0f4761" w:themeColor="accent1" w:themeShade="BF"/>
    </w:rPr>
  </w:style>
  <w:style w:type="character" w:styleId="711" w:customStyle="1">
    <w:name w:val="Heading 6 Char"/>
    <w:basedOn w:val="718"/>
    <w:link w:val="702"/>
    <w:uiPriority w:val="9"/>
    <w:semiHidden/>
    <w:pPr>
      <w:pBdr/>
      <w:spacing/>
      <w:ind/>
    </w:pPr>
    <w:rPr>
      <w:rFonts w:eastAsiaTheme="majorEastAsia" w:cstheme="majorBidi"/>
      <w:i/>
      <w:iCs/>
      <w:color w:val="595959" w:themeColor="text1" w:themeTint="A6"/>
    </w:rPr>
  </w:style>
  <w:style w:type="character" w:styleId="712" w:customStyle="1">
    <w:name w:val="Heading 7 Char"/>
    <w:basedOn w:val="718"/>
    <w:link w:val="703"/>
    <w:uiPriority w:val="9"/>
    <w:semiHidden/>
    <w:pPr>
      <w:pBdr/>
      <w:spacing/>
      <w:ind/>
    </w:pPr>
    <w:rPr>
      <w:rFonts w:eastAsiaTheme="majorEastAsia" w:cstheme="majorBidi"/>
      <w:color w:val="595959" w:themeColor="text1" w:themeTint="A6"/>
    </w:rPr>
  </w:style>
  <w:style w:type="character" w:styleId="713" w:customStyle="1">
    <w:name w:val="Heading 8 Char"/>
    <w:basedOn w:val="718"/>
    <w:link w:val="704"/>
    <w:uiPriority w:val="9"/>
    <w:semiHidden/>
    <w:pPr>
      <w:pBdr/>
      <w:spacing/>
      <w:ind/>
    </w:pPr>
    <w:rPr>
      <w:rFonts w:eastAsiaTheme="majorEastAsia" w:cstheme="majorBidi"/>
      <w:i/>
      <w:iCs/>
      <w:color w:val="272727" w:themeColor="text1" w:themeTint="D8"/>
    </w:rPr>
  </w:style>
  <w:style w:type="character" w:styleId="714" w:customStyle="1">
    <w:name w:val="Heading 9 Char"/>
    <w:basedOn w:val="718"/>
    <w:link w:val="705"/>
    <w:uiPriority w:val="9"/>
    <w:semiHidden/>
    <w:pPr>
      <w:pBdr/>
      <w:spacing/>
      <w:ind/>
    </w:pPr>
    <w:rPr>
      <w:rFonts w:eastAsiaTheme="majorEastAsia" w:cstheme="majorBidi"/>
      <w:color w:val="272727" w:themeColor="text1" w:themeTint="D8"/>
    </w:rPr>
  </w:style>
  <w:style w:type="paragraph" w:styleId="715">
    <w:name w:val="Block Text"/>
    <w:basedOn w:val="685"/>
    <w:next w:val="685"/>
    <w:uiPriority w:val="9"/>
    <w:unhideWhenUsed/>
    <w:qFormat/>
    <w:pPr>
      <w:pBdr/>
      <w:spacing w:after="100" w:before="100"/>
      <w:ind w:right="480" w:firstLine="0" w:left="480"/>
    </w:pPr>
  </w:style>
  <w:style w:type="paragraph" w:styleId="716">
    <w:name w:val="footnote text"/>
    <w:basedOn w:val="684"/>
    <w:next w:val="716"/>
    <w:uiPriority w:val="9"/>
    <w:unhideWhenUsed/>
    <w:qFormat/>
    <w:pPr>
      <w:pBdr/>
      <w:spacing/>
      <w:ind/>
    </w:pPr>
  </w:style>
  <w:style w:type="paragraph" w:styleId="717">
    <w:name w:val="Footnote Block Text"/>
    <w:basedOn w:val="716"/>
    <w:next w:val="716"/>
    <w:uiPriority w:val="9"/>
    <w:unhideWhenUsed/>
    <w:qFormat/>
    <w:pPr>
      <w:pBdr/>
      <w:spacing w:after="100" w:before="100"/>
      <w:ind w:right="480" w:firstLine="0" w:left="480"/>
    </w:pPr>
  </w:style>
  <w:style w:type="character" w:styleId="718" w:default="1">
    <w:name w:val="Default Paragraph Font"/>
    <w:semiHidden/>
    <w:unhideWhenUsed/>
    <w:pPr>
      <w:pBdr/>
      <w:spacing/>
      <w:ind/>
    </w:pPr>
  </w:style>
  <w:style w:type="table" w:styleId="71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4"/>
    <w:next w:val="721"/>
    <w:pPr>
      <w:keepNext w:val="true"/>
      <w:keepLines w:val="true"/>
      <w:pBdr/>
      <w:spacing w:after="0"/>
      <w:ind/>
    </w:pPr>
    <w:rPr>
      <w:b/>
    </w:rPr>
  </w:style>
  <w:style w:type="paragraph" w:styleId="721" w:customStyle="1">
    <w:name w:val="Definition"/>
    <w:basedOn w:val="684"/>
    <w:pPr>
      <w:pBdr/>
      <w:spacing/>
      <w:ind/>
    </w:pPr>
  </w:style>
  <w:style w:type="paragraph" w:styleId="722">
    <w:name w:val="Caption"/>
    <w:basedOn w:val="684"/>
    <w:link w:val="727"/>
    <w:pPr>
      <w:pBdr/>
      <w:spacing w:after="120" w:before="0"/>
      <w:ind/>
    </w:pPr>
    <w:rPr>
      <w:i/>
    </w:rPr>
  </w:style>
  <w:style w:type="paragraph" w:styleId="723" w:customStyle="1">
    <w:name w:val="Table Caption"/>
    <w:basedOn w:val="722"/>
    <w:pPr>
      <w:keepNext w:val="true"/>
      <w:pBdr/>
      <w:spacing/>
      <w:ind/>
    </w:pPr>
  </w:style>
  <w:style w:type="paragraph" w:styleId="724" w:customStyle="1">
    <w:name w:val="Image Caption"/>
    <w:basedOn w:val="722"/>
    <w:pPr>
      <w:pBdr/>
      <w:spacing/>
      <w:ind/>
    </w:pPr>
  </w:style>
  <w:style w:type="paragraph" w:styleId="725" w:customStyle="1">
    <w:name w:val="Figure"/>
    <w:basedOn w:val="684"/>
    <w:pPr>
      <w:pBdr/>
      <w:spacing/>
      <w:ind/>
    </w:pPr>
  </w:style>
  <w:style w:type="paragraph" w:styleId="726" w:customStyle="1">
    <w:name w:val="Captioned Figure"/>
    <w:basedOn w:val="725"/>
    <w:pPr>
      <w:keepNext w:val="true"/>
      <w:pBdr/>
      <w:spacing/>
      <w:ind/>
    </w:pPr>
  </w:style>
  <w:style w:type="character" w:styleId="727" w:customStyle="1">
    <w:name w:val="Body Text Char"/>
    <w:basedOn w:val="718"/>
    <w:link w:val="685"/>
    <w:pPr>
      <w:pBdr/>
      <w:spacing/>
      <w:ind/>
    </w:pPr>
  </w:style>
  <w:style w:type="character" w:styleId="728" w:customStyle="1">
    <w:name w:val="Verbatim Char"/>
    <w:basedOn w:val="727"/>
    <w:pPr>
      <w:pBdr/>
      <w:spacing/>
      <w:ind/>
    </w:pPr>
    <w:rPr>
      <w:rFonts w:ascii="Consolas" w:hAnsi="Consolas"/>
      <w:sz w:val="22"/>
    </w:rPr>
  </w:style>
  <w:style w:type="character" w:styleId="729" w:customStyle="1">
    <w:name w:val="Section Number"/>
    <w:basedOn w:val="727"/>
    <w:pPr>
      <w:pBdr/>
      <w:spacing/>
      <w:ind/>
    </w:pPr>
  </w:style>
  <w:style w:type="character" w:styleId="730">
    <w:name w:val="footnote reference"/>
    <w:basedOn w:val="727"/>
    <w:pPr>
      <w:pBdr/>
      <w:spacing/>
      <w:ind/>
    </w:pPr>
    <w:rPr>
      <w:vertAlign w:val="superscript"/>
    </w:rPr>
  </w:style>
  <w:style w:type="character" w:styleId="731">
    <w:name w:val="Hyperlink"/>
    <w:basedOn w:val="727"/>
    <w:pPr>
      <w:pBdr/>
      <w:spacing/>
      <w:ind/>
    </w:pPr>
    <w:rPr>
      <w:color w:val="4f81bd" w:themeColor="accent1"/>
    </w:rPr>
  </w:style>
  <w:style w:type="paragraph" w:styleId="732">
    <w:name w:val="TOC Heading"/>
    <w:basedOn w:val="697"/>
    <w:next w:val="68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3" w:customStyle="1">
    <w:name w:val="Source Code"/>
    <w:basedOn w:val="684"/>
    <w:link w:val="728"/>
    <w:pPr>
      <w:pBdr/>
      <w:spacing/>
      <w:ind/>
    </w:pPr>
  </w:style>
  <w:style w:type="character" w:styleId="734" w:customStyle="1">
    <w:name w:val="KeywordTok"/>
    <w:basedOn w:val="728"/>
    <w:pPr>
      <w:pBdr/>
      <w:spacing/>
      <w:ind/>
    </w:pPr>
    <w:rPr>
      <w:color w:val="d73a49"/>
    </w:rPr>
  </w:style>
  <w:style w:type="character" w:styleId="735" w:customStyle="1">
    <w:name w:val="DataTypeTok"/>
    <w:basedOn w:val="728"/>
    <w:pPr>
      <w:pBdr/>
      <w:spacing/>
      <w:ind/>
    </w:pPr>
    <w:rPr>
      <w:color w:val="d73a49"/>
    </w:rPr>
  </w:style>
  <w:style w:type="character" w:styleId="736" w:customStyle="1">
    <w:name w:val="DecValTok"/>
    <w:basedOn w:val="728"/>
    <w:pPr>
      <w:pBdr/>
      <w:spacing/>
      <w:ind/>
    </w:pPr>
    <w:rPr>
      <w:color w:val="005cc5"/>
    </w:rPr>
  </w:style>
  <w:style w:type="character" w:styleId="737" w:customStyle="1">
    <w:name w:val="BaseNTok"/>
    <w:basedOn w:val="728"/>
    <w:pPr>
      <w:pBdr/>
      <w:spacing/>
      <w:ind/>
    </w:pPr>
    <w:rPr>
      <w:color w:val="005cc5"/>
    </w:rPr>
  </w:style>
  <w:style w:type="character" w:styleId="738" w:customStyle="1">
    <w:name w:val="FloatTok"/>
    <w:basedOn w:val="728"/>
    <w:pPr>
      <w:pBdr/>
      <w:spacing/>
      <w:ind/>
    </w:pPr>
    <w:rPr>
      <w:color w:val="005cc5"/>
    </w:rPr>
  </w:style>
  <w:style w:type="character" w:styleId="739" w:customStyle="1">
    <w:name w:val="ConstantTok"/>
    <w:basedOn w:val="728"/>
    <w:pPr>
      <w:pBdr/>
      <w:spacing/>
      <w:ind/>
    </w:pPr>
    <w:rPr>
      <w:color w:val="005cc5"/>
    </w:rPr>
  </w:style>
  <w:style w:type="character" w:styleId="740" w:customStyle="1">
    <w:name w:val="CharTok"/>
    <w:basedOn w:val="728"/>
    <w:pPr>
      <w:pBdr/>
      <w:spacing/>
      <w:ind/>
    </w:pPr>
    <w:rPr>
      <w:color w:val="032f62"/>
    </w:rPr>
  </w:style>
  <w:style w:type="character" w:styleId="741" w:customStyle="1">
    <w:name w:val="SpecialCharTok"/>
    <w:basedOn w:val="728"/>
    <w:pPr>
      <w:pBdr/>
      <w:spacing/>
      <w:ind/>
    </w:pPr>
    <w:rPr>
      <w:color w:val="005cc5"/>
    </w:rPr>
  </w:style>
  <w:style w:type="character" w:styleId="742" w:customStyle="1">
    <w:name w:val="StringTok"/>
    <w:basedOn w:val="728"/>
    <w:pPr>
      <w:pBdr/>
      <w:spacing/>
      <w:ind/>
    </w:pPr>
    <w:rPr>
      <w:color w:val="032f62"/>
    </w:rPr>
  </w:style>
  <w:style w:type="character" w:styleId="743" w:customStyle="1">
    <w:name w:val="VerbatimStringTok"/>
    <w:basedOn w:val="728"/>
    <w:pPr>
      <w:pBdr/>
      <w:spacing/>
      <w:ind/>
    </w:pPr>
    <w:rPr>
      <w:color w:val="032f62"/>
    </w:rPr>
  </w:style>
  <w:style w:type="character" w:styleId="744" w:customStyle="1">
    <w:name w:val="SpecialStringTok"/>
    <w:basedOn w:val="728"/>
    <w:pPr>
      <w:pBdr/>
      <w:spacing/>
      <w:ind/>
    </w:pPr>
    <w:rPr>
      <w:color w:val="032f62"/>
    </w:rPr>
  </w:style>
  <w:style w:type="character" w:styleId="745" w:customStyle="1">
    <w:name w:val="ImportTok"/>
    <w:basedOn w:val="728"/>
    <w:pPr>
      <w:pBdr/>
      <w:spacing/>
      <w:ind/>
    </w:pPr>
    <w:rPr>
      <w:color w:val="032f62"/>
    </w:rPr>
  </w:style>
  <w:style w:type="character" w:styleId="746" w:customStyle="1">
    <w:name w:val="CommentTok"/>
    <w:basedOn w:val="728"/>
    <w:pPr>
      <w:pBdr/>
      <w:spacing/>
      <w:ind/>
    </w:pPr>
    <w:rPr>
      <w:color w:val="6a737d"/>
    </w:rPr>
  </w:style>
  <w:style w:type="character" w:styleId="747" w:customStyle="1">
    <w:name w:val="DocumentationTok"/>
    <w:basedOn w:val="728"/>
    <w:pPr>
      <w:pBdr/>
      <w:spacing/>
      <w:ind/>
    </w:pPr>
    <w:rPr>
      <w:color w:val="6a737d"/>
    </w:rPr>
  </w:style>
  <w:style w:type="character" w:styleId="748" w:customStyle="1">
    <w:name w:val="AnnotationTok"/>
    <w:basedOn w:val="728"/>
    <w:pPr>
      <w:pBdr/>
      <w:spacing/>
      <w:ind/>
    </w:pPr>
    <w:rPr>
      <w:color w:val="6a737d"/>
    </w:rPr>
  </w:style>
  <w:style w:type="character" w:styleId="749" w:customStyle="1">
    <w:name w:val="CommentVarTok"/>
    <w:basedOn w:val="728"/>
    <w:pPr>
      <w:pBdr/>
      <w:spacing/>
      <w:ind/>
    </w:pPr>
    <w:rPr>
      <w:color w:val="6a737d"/>
    </w:rPr>
  </w:style>
  <w:style w:type="character" w:styleId="750" w:customStyle="1">
    <w:name w:val="OtherTok"/>
    <w:basedOn w:val="728"/>
    <w:pPr>
      <w:pBdr/>
      <w:spacing/>
      <w:ind/>
    </w:pPr>
    <w:rPr>
      <w:color w:val="6f42c1"/>
    </w:rPr>
  </w:style>
  <w:style w:type="character" w:styleId="751" w:customStyle="1">
    <w:name w:val="FunctionTok"/>
    <w:basedOn w:val="728"/>
    <w:pPr>
      <w:pBdr/>
      <w:spacing/>
      <w:ind/>
    </w:pPr>
    <w:rPr>
      <w:color w:val="6f42c1"/>
    </w:rPr>
  </w:style>
  <w:style w:type="character" w:styleId="752" w:customStyle="1">
    <w:name w:val="VariableTok"/>
    <w:basedOn w:val="728"/>
    <w:pPr>
      <w:pBdr/>
      <w:spacing/>
      <w:ind/>
    </w:pPr>
    <w:rPr>
      <w:color w:val="e36209"/>
    </w:rPr>
  </w:style>
  <w:style w:type="character" w:styleId="753" w:customStyle="1">
    <w:name w:val="ControlFlowTok"/>
    <w:basedOn w:val="728"/>
    <w:pPr>
      <w:pBdr/>
      <w:spacing/>
      <w:ind/>
    </w:pPr>
    <w:rPr>
      <w:color w:val="d73a49"/>
    </w:rPr>
  </w:style>
  <w:style w:type="character" w:styleId="754" w:customStyle="1">
    <w:name w:val="OperatorTok"/>
    <w:basedOn w:val="728"/>
    <w:pPr>
      <w:pBdr/>
      <w:spacing/>
      <w:ind/>
    </w:pPr>
    <w:rPr>
      <w:color w:val="24292e"/>
    </w:rPr>
  </w:style>
  <w:style w:type="character" w:styleId="755" w:customStyle="1">
    <w:name w:val="BuiltInTok"/>
    <w:basedOn w:val="728"/>
    <w:pPr>
      <w:pBdr/>
      <w:spacing/>
      <w:ind/>
    </w:pPr>
    <w:rPr>
      <w:color w:val="d73a49"/>
    </w:rPr>
  </w:style>
  <w:style w:type="character" w:styleId="756" w:customStyle="1">
    <w:name w:val="ExtensionTok"/>
    <w:basedOn w:val="728"/>
    <w:pPr>
      <w:pBdr/>
      <w:spacing/>
      <w:ind/>
    </w:pPr>
    <w:rPr>
      <w:b/>
      <w:color w:val="d73a49"/>
    </w:rPr>
  </w:style>
  <w:style w:type="character" w:styleId="757" w:customStyle="1">
    <w:name w:val="PreprocessorTok"/>
    <w:basedOn w:val="728"/>
    <w:pPr>
      <w:pBdr/>
      <w:spacing/>
      <w:ind/>
    </w:pPr>
    <w:rPr>
      <w:color w:val="d73a49"/>
    </w:rPr>
  </w:style>
  <w:style w:type="character" w:styleId="758" w:customStyle="1">
    <w:name w:val="AttributeTok"/>
    <w:basedOn w:val="728"/>
    <w:pPr>
      <w:pBdr/>
      <w:spacing/>
      <w:ind/>
    </w:pPr>
    <w:rPr>
      <w:color w:val="d73a49"/>
    </w:rPr>
  </w:style>
  <w:style w:type="character" w:styleId="759" w:customStyle="1">
    <w:name w:val="RegionMarkerTok"/>
    <w:basedOn w:val="728"/>
    <w:pPr>
      <w:pBdr/>
      <w:spacing/>
      <w:ind/>
    </w:pPr>
    <w:rPr>
      <w:color w:val="6a737d"/>
    </w:rPr>
  </w:style>
  <w:style w:type="character" w:styleId="760" w:customStyle="1">
    <w:name w:val="InformationTok"/>
    <w:basedOn w:val="728"/>
    <w:pPr>
      <w:pBdr/>
      <w:spacing/>
      <w:ind/>
    </w:pPr>
    <w:rPr>
      <w:color w:val="6a737d"/>
    </w:rPr>
  </w:style>
  <w:style w:type="character" w:styleId="761" w:customStyle="1">
    <w:name w:val="WarningTok"/>
    <w:basedOn w:val="728"/>
    <w:pPr>
      <w:pBdr/>
      <w:spacing/>
      <w:ind/>
    </w:pPr>
    <w:rPr>
      <w:color w:val="ff5555"/>
    </w:rPr>
  </w:style>
  <w:style w:type="character" w:styleId="762" w:customStyle="1">
    <w:name w:val="AlertTok"/>
    <w:basedOn w:val="728"/>
    <w:pPr>
      <w:pBdr/>
      <w:spacing/>
      <w:ind/>
    </w:pPr>
    <w:rPr>
      <w:b/>
      <w:color w:val="ff5555"/>
    </w:rPr>
  </w:style>
  <w:style w:type="character" w:styleId="763" w:customStyle="1">
    <w:name w:val="ErrorTok"/>
    <w:basedOn w:val="728"/>
    <w:pPr>
      <w:pBdr/>
      <w:spacing/>
      <w:ind/>
    </w:pPr>
    <w:rPr>
      <w:color w:val="ff5555"/>
    </w:rPr>
  </w:style>
  <w:style w:type="character" w:styleId="764" w:customStyle="1">
    <w:name w:val="NormalTok"/>
    <w:basedOn w:val="728"/>
    <w:pPr>
      <w:pBdr/>
      <w:spacing/>
      <w:ind/>
    </w:pPr>
    <w:rPr>
      <w:color w:val="24292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AA1: Modelado de Series de Tiempo</dc:title>
  <dc:creator>Erick Fabricio Condoy Seraquive</dc:creator>
  <cp:keywords/>
  <cp:revision>1</cp:revision>
  <dcterms:created xsi:type="dcterms:W3CDTF">2026-05-11T16:45:51Z</dcterms:created>
  <dcterms:modified xsi:type="dcterms:W3CDTF">2026-05-11T16:49:06Z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Unidad 1 - Econometría Aplicada</vt:lpwstr>
  </property>
  <property fmtid="{D5CDD505-2E9C-101B-9397-08002B2CF9AE}" pid="12" name="toc-title">
    <vt:lpwstr>Table of contents</vt:lpwstr>
  </property>
</Properties>
</file>