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15.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Determinantes de la sostenibilidad del IESS y el impacto de la inestabilidad social en el Ecuador durante el periodo 1990-2024</w:t>
      </w:r>
    </w:p>
    <w:p>
      <w:pPr>
        <w:pStyle w:val="Author"/>
      </w:pPr>
      <w:r>
        <w:t xml:space="preserve">Erick Fabricio Condoy Seraquive</w:t>
      </w:r>
    </w:p>
    <w:p>
      <w:pPr>
        <w:pStyle w:val="Date"/>
      </w:pPr>
      <w:r>
        <w:t xml:space="preserve">2026-05-07</w:t>
      </w:r>
    </w:p>
    <w:bookmarkStart w:id="9" w:name="resumen"/>
    <w:p>
      <w:pPr>
        <w:pStyle w:val="Heading1"/>
      </w:pPr>
      <w:r>
        <w:t xml:space="preserve">Resumen</w:t>
      </w:r>
    </w:p>
    <w:p>
      <w:pPr>
        <w:pStyle w:val="FirstParagraph"/>
      </w:pPr>
      <w:r>
        <w:t xml:space="preserve">En este estudio analizo los determinantes de la crisis de sostenibilidad del Instituto Ecuatoriano de Seguridad Social (IESS) durante el periodo 1990-2024, integrando factores demográficos y de inestabilidad social. Mediante un modelo de Rezagos Distribuidos Autorregresivos (ARDL), evalúo el impacto del gasto militar, la migración y la tasa de homicidios sobre la masa de afiliados. Los resultados indican que el desplazamiento fiscal y la inseguridad ciudadana erosionan la base de cotizantes y comprometen la viabilidad del sistema de reparto en el largo plazo.</w:t>
      </w:r>
    </w:p>
    <w:p>
      <w:pPr>
        <w:pStyle w:val="BodyText"/>
      </w:pPr>
      <w:r>
        <w:rPr>
          <w:b/>
          <w:bCs/>
        </w:rPr>
        <w:t xml:space="preserve">Palabras clave:</w:t>
      </w:r>
      <w:r>
        <w:t xml:space="preserve"> </w:t>
      </w:r>
      <w:r>
        <w:t xml:space="preserve">IESS, Sostenibilidad, Crisis, Inestabilidad Social, Econometría, Modelo ARDL.</w:t>
      </w:r>
    </w:p>
    <w:bookmarkEnd w:id="9"/>
    <w:bookmarkStart w:id="10" w:name="introducción"/>
    <w:p>
      <w:pPr>
        <w:pStyle w:val="Heading1"/>
      </w:pPr>
      <w:r>
        <w:t xml:space="preserve">1. Introducción</w:t>
      </w:r>
    </w:p>
    <w:p>
      <w:pPr>
        <w:pStyle w:val="FirstParagraph"/>
      </w:pPr>
      <w:r>
        <w:t xml:space="preserve">La sostenibilidad previsional del Instituto Ecuatoriano de Seguridad Social (IESS) durante el periodo 1990-2024 enfrenta un severo desequilibrio de liquidez corriente. En esta investigación me distancio de las proyecciones actuariales pasivas de largo plazo para centrarme en el</w:t>
      </w:r>
      <w:r>
        <w:t xml:space="preserve"> </w:t>
      </w:r>
      <w:r>
        <w:rPr>
          <w:b/>
          <w:bCs/>
        </w:rPr>
        <w:t xml:space="preserve">Déficit de Caja</w:t>
      </w:r>
      <w:r>
        <w:t xml:space="preserve">, definido como la brecha financiera corriente inmediata donde la recaudación de aportaciones de los afiliados activos resulta insuficiente para cubrir el pago mensual de las pensiones de los jubilados. La insuficiencia física de caja obliga a la descapitalización anticipada de las reservas técnicas administradas por el BIESS y a la dependencia de transferencias del gobierno central, comprometiendo la liquidez del fondo de invalidez, vejez y muerte (IVM).</w:t>
      </w:r>
    </w:p>
    <w:p>
      <w:pPr>
        <w:pStyle w:val="BodyText"/>
      </w:pPr>
      <w:r>
        <w:t xml:space="preserve">El Triángulo de Fricción Laboral y la</w:t>
      </w:r>
      <w:r>
        <w:t xml:space="preserve"> </w:t>
      </w:r>
      <w:r>
        <w:rPr>
          <w:b/>
          <w:bCs/>
        </w:rPr>
        <w:t xml:space="preserve">Teoría de la Agencia</w:t>
      </w:r>
      <w:r>
        <w:t xml:space="preserve"> </w:t>
      </w:r>
      <w:r>
        <w:t xml:space="preserve">(</w:t>
      </w:r>
      <w:r>
        <w:t xml:space="preserve">Jensen y Meckling (1976)</w:t>
      </w:r>
      <w:r>
        <w:t xml:space="preserve">) formalizan este comportamiento estratégico: (1) el</w:t>
      </w:r>
      <w:r>
        <w:t xml:space="preserve"> </w:t>
      </w:r>
      <w:r>
        <w:rPr>
          <w:i/>
          <w:iCs/>
        </w:rPr>
        <w:t xml:space="preserve">Trabajador (Principal)</w:t>
      </w:r>
      <w:r>
        <w:t xml:space="preserve"> </w:t>
      </w:r>
      <w:r>
        <w:t xml:space="preserve">percibe el aporte impositivo obligatorio (</w:t>
      </w:r>
      <m:oMath>
        <m:r>
          <m:t>11.06</m:t>
        </m:r>
        <m:r>
          <m:rPr>
            <m:sty m:val="p"/>
          </m:rPr>
          <m:t>%</m:t>
        </m:r>
      </m:oMath>
      <w:r>
        <w:t xml:space="preserve">) como un impuesto puro al salario sin contraprestación garantizada, optando por la informalidad defensiva; (2) el</w:t>
      </w:r>
      <w:r>
        <w:t xml:space="preserve"> </w:t>
      </w:r>
      <w:r>
        <w:rPr>
          <w:i/>
          <w:iCs/>
        </w:rPr>
        <w:t xml:space="preserve">Empleador (Agente)</w:t>
      </w:r>
      <w:r>
        <w:t xml:space="preserve"> </w:t>
      </w:r>
      <w:r>
        <w:t xml:space="preserve">asume la contribución patronal (</w:t>
      </w:r>
      <m:oMath>
        <m:r>
          <m:t>11.15</m:t>
        </m:r>
        <m:r>
          <m:rPr>
            <m:sty m:val="p"/>
          </m:rPr>
          <m:t>%</m:t>
        </m:r>
      </m:oMath>
      <w:r>
        <w:t xml:space="preserve">) como un recargo a la nómina laboral rígido (</w:t>
      </w:r>
      <w:r>
        <w:rPr>
          <w:i/>
          <w:iCs/>
        </w:rPr>
        <w:t xml:space="preserve">tax wedge</w:t>
      </w:r>
      <w:r>
        <w:t xml:space="preserve">) que desincentiva la contratación formal adecuada; y (3) el</w:t>
      </w:r>
      <w:r>
        <w:t xml:space="preserve"> </w:t>
      </w:r>
      <w:r>
        <w:rPr>
          <w:i/>
          <w:iCs/>
        </w:rPr>
        <w:t xml:space="preserve">Estado (Administrador)</w:t>
      </w:r>
      <w:r>
        <w:t xml:space="preserve"> </w:t>
      </w:r>
      <w:r>
        <w:t xml:space="preserve">incurre en riesgo moral al utilizar los recursos técnicos del BIESS como financiamiento barato para la caja fiscal y al desplazar presupuestariamente sus transferencias obligatorias corrientes del</w:t>
      </w:r>
      <w:r>
        <w:t xml:space="preserve"> </w:t>
      </w:r>
      <m:oMath>
        <m:r>
          <m:t>40</m:t>
        </m:r>
        <m:r>
          <m:rPr>
            <m:sty m:val="p"/>
          </m:rPr>
          <m:t>%</m:t>
        </m:r>
      </m:oMath>
      <w:r>
        <w:t xml:space="preserve">. En este estudio contrasto la incidencia de estos determinantes fiscales y de inestabilidad criminal sobre el padrón contributivo en el periodo 1990-2024 mediante un modelo ARDL y estimaciones no paramétricas KRLS.</w:t>
      </w:r>
    </w:p>
    <w:p>
      <w:pPr>
        <w:pStyle w:val="BodyText"/>
      </w:pPr>
      <w:r>
        <w:t xml:space="preserve">Mi análisis revela un comportamiento inestable y una velocidad de ajuste positiva, lo cual confirma la ausencia de convergencia hacia un equilibrio estable. El gasto militar ejerce un desplazamiento fiscal significativo sobre las transferencias estatales, mientras que la tasa de homicidios actúa como una barrera de inestabilidad social que reduce los incentivos para la formalización del empleo. Mi aporte principal consiste en modelar la interacción dinámica y no lineal entre variables de criminalidad y solvencia previsional, superando las limitaciones de los análisis actuariales estáticos tradicionales.</w:t>
      </w:r>
    </w:p>
    <w:bookmarkEnd w:id="10"/>
    <w:bookmarkStart w:id="11" w:name="revisión-de-la-literatura"/>
    <w:p>
      <w:pPr>
        <w:pStyle w:val="Heading1"/>
      </w:pPr>
      <w:r>
        <w:t xml:space="preserve">2. Revisión de la literatura</w:t>
      </w:r>
    </w:p>
    <w:p>
      <w:pPr>
        <w:pStyle w:val="FirstParagraph"/>
      </w:pPr>
      <w:r>
        <w:t xml:space="preserve">La sostenibilidad de los sistemas de seguridad social de reparto, como el del IESS, se fundamenta en el equilibrio entre contribuyentes activos y beneficiarios.</w:t>
      </w:r>
    </w:p>
    <w:p>
      <w:pPr>
        <w:pStyle w:val="BodyText"/>
      </w:pPr>
      <w:r>
        <w:t xml:space="preserve">Desde una perspectiva teórica, inscribo este estudio en el Modelo de Generaciones Traslapadas (OLG) de</w:t>
      </w:r>
      <w:r>
        <w:t xml:space="preserve"> </w:t>
      </w:r>
      <w:r>
        <w:t xml:space="preserve">Diamond (1965)</w:t>
      </w:r>
      <w:r>
        <w:t xml:space="preserve">, donde el bienestar de los jubilados depende de los aportes de la población joven activa. El desequilibrio demográfico ecuatoriano, por su transición regresiva, amenaza este contrato intergeneracional. A este factor demográfico integro la Teoría de la Economía del Crimen de</w:t>
      </w:r>
      <w:r>
        <w:t xml:space="preserve"> </w:t>
      </w:r>
      <w:r>
        <w:t xml:space="preserve">Becker (1968)</w:t>
      </w:r>
      <w:r>
        <w:t xml:space="preserve">: en entornos violentos, el incentivo para operar en la formalidad se debilita, desplazando unidades productivas a la informalidad y reduciendo el flujo de cotizaciones.</w:t>
      </w:r>
    </w:p>
    <w:p>
      <w:pPr>
        <w:pStyle w:val="BodyText"/>
      </w:pPr>
      <w:r>
        <w:t xml:space="preserve">En la práctica, la informalidad laboral en Ecuador funciona como un sumidero estructural que absorbe casi la mitad de la oferta de trabajo. Según datos de</w:t>
      </w:r>
      <w:r>
        <w:t xml:space="preserve"> </w:t>
      </w:r>
      <w:r>
        <w:t xml:space="preserve">INEC Ecuador (2022)</w:t>
      </w:r>
      <w:r>
        <w:t xml:space="preserve"> </w:t>
      </w:r>
      <w:r>
        <w:t xml:space="preserve">y</w:t>
      </w:r>
      <w:r>
        <w:t xml:space="preserve"> </w:t>
      </w:r>
      <w:r>
        <w:t xml:space="preserve">Murillo et al. (2025)</w:t>
      </w:r>
      <w:r>
        <w:t xml:space="preserve">, el 77.06% de la población ocupada informal carece de cobertura previsional. Los estudios previos señalan que el nivel de ingresos y los choques de inestabilidad ciudadana son los principales determinantes de la afiliación. La ola de criminalidad no solo destruye empresas formales, sino que fuerza un desvío del gasto estatal hacia la seguridad interna en detrimento del cumplimiento de las deudas del Estado con el IESS.</w:t>
      </w:r>
    </w:p>
    <w:bookmarkEnd w:id="11"/>
    <w:bookmarkStart w:id="25" w:name="datos-y-metodología"/>
    <w:p>
      <w:pPr>
        <w:pStyle w:val="Heading1"/>
      </w:pPr>
      <w:r>
        <w:t xml:space="preserve">3. Datos y metodología</w:t>
      </w:r>
    </w:p>
    <w:p>
      <w:pPr>
        <w:pStyle w:val="FirstParagraph"/>
      </w:pPr>
      <w:r>
        <w:t xml:space="preserve">En esta sección detallo la base de datos recopilada, el comportamiento de las variables de estudio y la estructura metodológica implementada para evaluar la crisis de sostenibilidad del sistema de reparto del IESS durante el periodo 1990-2024.</w:t>
      </w:r>
    </w:p>
    <w:bookmarkStart w:id="19" w:name="datos"/>
    <w:p>
      <w:pPr>
        <w:pStyle w:val="Heading2"/>
      </w:pPr>
      <w:r>
        <w:t xml:space="preserve">3.1 Datos</w:t>
      </w:r>
    </w:p>
    <w:p>
      <w:pPr>
        <w:pStyle w:val="FirstParagraph"/>
      </w:pPr>
      <w:r>
        <w:t xml:space="preserve">La base de datos combina registros de afiliación previsional del IESS con series macroeconómicas y sociales del Banco Mundial. El conjunto de datos abarca 35 observaciones anuales que capturan la evolución del mercado laboral, la presión fiscal de defensa y el entorno de seguridad ciudadana en el Ecuador.</w:t>
      </w:r>
    </w:p>
    <w:tbl>
      <w:tblPr>
        <w:tblStyle w:val="Table"/>
        <w:tblW w:type="pct" w:w="5000"/>
        <w:tblLayout w:type="fixed"/>
        <w:tblLook w:firstRow="0" w:lastRow="0" w:firstColumn="0" w:lastColumn="0" w:noHBand="0" w:noVBand="0" w:val="0000"/>
      </w:tblPr>
      <w:tblGrid>
        <w:gridCol w:w="7920"/>
      </w:tblGrid>
      <w:tr>
        <w:tc>
          <w:tcPr/>
          <w:bookmarkStart w:id="12" w:name="tbl-variables"/>
          <w:p>
            <w:pPr>
              <w:jc w:val="center"/>
            </w:pPr>
            <w:pPr>
              <w:jc w:val="left"/>
              <w:spacing w:before="200"/>
              <w:pStyle w:val="ImageCaption"/>
            </w:pPr>
            <w:r>
              <w:t xml:space="preserve">Tabla 1: Matriz de Variables de Investigación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Código</w:t>
                  </w:r>
                </w:p>
              </w:tc>
              <w:tc>
                <w:tcPr/>
                <w:p>
                  <w:pPr>
                    <w:pStyle w:val="Compact"/>
                    <w:jc w:val="left"/>
                    <w:jc w:val="center"/>
                  </w:pPr>
                  <w:r>
                    <w:t xml:space="preserve">Variable</w:t>
                  </w:r>
                </w:p>
              </w:tc>
              <w:tc>
                <w:tcPr/>
                <w:p>
                  <w:pPr>
                    <w:pStyle w:val="Compact"/>
                    <w:jc w:val="left"/>
                    <w:jc w:val="center"/>
                  </w:pPr>
                  <w:r>
                    <w:t xml:space="preserve">Definición</w:t>
                  </w:r>
                </w:p>
              </w:tc>
              <w:tc>
                <w:tcPr/>
                <w:p>
                  <w:pPr>
                    <w:pStyle w:val="Compact"/>
                    <w:jc w:val="left"/>
                    <w:jc w:val="center"/>
                  </w:pPr>
                  <w:r>
                    <w:t xml:space="preserve">Unidad</w:t>
                  </w:r>
                </w:p>
              </w:tc>
              <w:tc>
                <w:tcPr/>
                <w:p>
                  <w:pPr>
                    <w:pStyle w:val="Compact"/>
                    <w:jc w:val="left"/>
                    <w:jc w:val="center"/>
                  </w:pPr>
                  <w:r>
                    <w:t xml:space="preserve">Fuente de Datos</w:t>
                  </w:r>
                </w:p>
              </w:tc>
            </w:tr>
            <w:tr>
              <w:tc>
                <w:tcPr/>
                <w:p>
                  <w:pPr>
                    <w:pStyle w:val="Compact"/>
                    <w:jc w:val="left"/>
                    <w:jc w:val="center"/>
                  </w:pPr>
                  <w:r>
                    <w:rPr>
                      <w:b/>
                      <w:bCs/>
                    </w:rPr>
                    <w:t xml:space="preserve">AF</w:t>
                  </w:r>
                </w:p>
              </w:tc>
              <w:tc>
                <w:tcPr/>
                <w:p>
                  <w:pPr>
                    <w:pStyle w:val="Compact"/>
                    <w:jc w:val="left"/>
                    <w:jc w:val="center"/>
                  </w:pPr>
                  <w:r>
                    <w:rPr>
                      <w:b/>
                      <w:bCs/>
                    </w:rPr>
                    <w:t xml:space="preserve">Afiliados</w:t>
                  </w:r>
                </w:p>
              </w:tc>
              <w:tc>
                <w:tcPr/>
                <w:p>
                  <w:pPr>
                    <w:pStyle w:val="Compact"/>
                    <w:jc w:val="left"/>
                    <w:jc w:val="center"/>
                  </w:pPr>
                  <w:r>
                    <w:t xml:space="preserve">Personas registradas que aportan activamente al IESS (SGO + SSC).</w:t>
                  </w:r>
                </w:p>
              </w:tc>
              <w:tc>
                <w:tcPr/>
                <w:p>
                  <w:pPr>
                    <w:pStyle w:val="Compact"/>
                    <w:jc w:val="left"/>
                    <w:jc w:val="center"/>
                  </w:pPr>
                  <w:r>
                    <w:t xml:space="preserve">Conteo</w:t>
                  </w:r>
                </w:p>
              </w:tc>
              <w:tc>
                <w:tcPr/>
                <w:p>
                  <w:pPr>
                    <w:pStyle w:val="Compact"/>
                    <w:jc w:val="left"/>
                    <w:jc w:val="center"/>
                  </w:pPr>
                  <w:r>
                    <w:t xml:space="preserve">IESS / Boletines Estadísticos</w:t>
                  </w:r>
                </w:p>
              </w:tc>
            </w:tr>
            <w:tr>
              <w:tc>
                <w:tcPr/>
                <w:p>
                  <w:pPr>
                    <w:pStyle w:val="Compact"/>
                    <w:jc w:val="left"/>
                    <w:jc w:val="center"/>
                  </w:pPr>
                  <w:r>
                    <w:rPr>
                      <w:b/>
                      <w:bCs/>
                    </w:rPr>
                    <w:t xml:space="preserve">GM</w:t>
                  </w:r>
                </w:p>
              </w:tc>
              <w:tc>
                <w:tcPr/>
                <w:p>
                  <w:pPr>
                    <w:pStyle w:val="Compact"/>
                    <w:jc w:val="left"/>
                    <w:jc w:val="center"/>
                  </w:pPr>
                  <w:r>
                    <w:rPr>
                      <w:b/>
                      <w:bCs/>
                    </w:rPr>
                    <w:t xml:space="preserve">Gasto Militar</w:t>
                  </w:r>
                </w:p>
              </w:tc>
              <w:tc>
                <w:tcPr/>
                <w:p>
                  <w:pPr>
                    <w:pStyle w:val="Compact"/>
                    <w:jc w:val="left"/>
                    <w:jc w:val="center"/>
                  </w:pPr>
                  <w:r>
                    <w:t xml:space="preserve">Gasto en defensa y fuerzas armadas como proporción del producto interno.</w:t>
                  </w:r>
                </w:p>
              </w:tc>
              <w:tc>
                <w:tcPr/>
                <w:p>
                  <w:pPr>
                    <w:pStyle w:val="Compact"/>
                    <w:jc w:val="left"/>
                    <w:jc w:val="center"/>
                  </w:pPr>
                  <w:r>
                    <w:t xml:space="preserve">% del PIB</w:t>
                  </w:r>
                </w:p>
              </w:tc>
              <w:tc>
                <w:tcPr/>
                <w:p>
                  <w:pPr>
                    <w:pStyle w:val="Compact"/>
                    <w:jc w:val="left"/>
                    <w:jc w:val="center"/>
                  </w:pPr>
                  <w:r>
                    <w:t xml:space="preserve">Banco Mundial (WDI)</w:t>
                  </w:r>
                </w:p>
              </w:tc>
            </w:tr>
            <w:tr>
              <w:tc>
                <w:tcPr/>
                <w:p>
                  <w:pPr>
                    <w:pStyle w:val="Compact"/>
                    <w:jc w:val="left"/>
                    <w:jc w:val="center"/>
                  </w:pPr>
                  <w:r>
                    <w:rPr>
                      <w:b/>
                      <w:bCs/>
                    </w:rPr>
                    <w:t xml:space="preserve">MI</w:t>
                  </w:r>
                </w:p>
              </w:tc>
              <w:tc>
                <w:tcPr/>
                <w:p>
                  <w:pPr>
                    <w:pStyle w:val="Compact"/>
                    <w:jc w:val="left"/>
                    <w:jc w:val="center"/>
                  </w:pPr>
                  <w:r>
                    <w:rPr>
                      <w:b/>
                      <w:bCs/>
                    </w:rPr>
                    <w:t xml:space="preserve">Migración</w:t>
                  </w:r>
                </w:p>
              </w:tc>
              <w:tc>
                <w:tcPr/>
                <w:p>
                  <w:pPr>
                    <w:pStyle w:val="Compact"/>
                    <w:jc w:val="left"/>
                    <w:jc w:val="center"/>
                  </w:pPr>
                  <w:r>
                    <w:t xml:space="preserve">Saldo neto de personas que ingresan menos las que salen del país.</w:t>
                  </w:r>
                </w:p>
              </w:tc>
              <w:tc>
                <w:tcPr/>
                <w:p>
                  <w:pPr>
                    <w:pStyle w:val="Compact"/>
                    <w:jc w:val="left"/>
                    <w:jc w:val="center"/>
                  </w:pPr>
                  <w:r>
                    <w:t xml:space="preserve">Conteo</w:t>
                  </w:r>
                </w:p>
              </w:tc>
              <w:tc>
                <w:tcPr/>
                <w:p>
                  <w:pPr>
                    <w:pStyle w:val="Compact"/>
                    <w:jc w:val="left"/>
                    <w:jc w:val="center"/>
                  </w:pPr>
                  <w:r>
                    <w:t xml:space="preserve">Banco Mundial (WDI)</w:t>
                  </w:r>
                </w:p>
              </w:tc>
            </w:tr>
            <w:tr>
              <w:tc>
                <w:tcPr/>
                <w:p>
                  <w:pPr>
                    <w:pStyle w:val="Compact"/>
                    <w:jc w:val="left"/>
                    <w:jc w:val="center"/>
                  </w:pPr>
                  <w:r>
                    <w:rPr>
                      <w:b/>
                      <w:bCs/>
                    </w:rPr>
                    <w:t xml:space="preserve">HO</w:t>
                  </w:r>
                </w:p>
              </w:tc>
              <w:tc>
                <w:tcPr/>
                <w:p>
                  <w:pPr>
                    <w:pStyle w:val="Compact"/>
                    <w:jc w:val="left"/>
                    <w:jc w:val="center"/>
                  </w:pPr>
                  <w:r>
                    <w:rPr>
                      <w:b/>
                      <w:bCs/>
                    </w:rPr>
                    <w:t xml:space="preserve">Homicidios</w:t>
                  </w:r>
                </w:p>
              </w:tc>
              <w:tc>
                <w:tcPr/>
                <w:p>
                  <w:pPr>
                    <w:pStyle w:val="Compact"/>
                    <w:jc w:val="left"/>
                    <w:jc w:val="center"/>
                  </w:pPr>
                  <w:r>
                    <w:t xml:space="preserve">Muertes ilegales causadas intencionalmente por violencia interpersonal.</w:t>
                  </w:r>
                </w:p>
              </w:tc>
              <w:tc>
                <w:tcPr/>
                <w:p>
                  <w:pPr>
                    <w:pStyle w:val="Compact"/>
                    <w:jc w:val="left"/>
                    <w:jc w:val="center"/>
                  </w:pPr>
                  <w:r>
                    <w:t xml:space="preserve">Tasa por 100k hab.</w:t>
                  </w:r>
                </w:p>
              </w:tc>
              <w:tc>
                <w:tcPr/>
                <w:p>
                  <w:pPr>
                    <w:pStyle w:val="Compact"/>
                    <w:jc w:val="left"/>
                    <w:jc w:val="center"/>
                  </w:pPr>
                  <w:r>
                    <w:t xml:space="preserve">Banco Mundial / UNODC</w:t>
                  </w:r>
                </w:p>
              </w:tc>
            </w:tr>
            <w:tr>
              <w:tc>
                <w:tcPr/>
                <w:p>
                  <w:pPr>
                    <w:pStyle w:val="Compact"/>
                    <w:jc w:val="left"/>
                    <w:jc w:val="center"/>
                  </w:pPr>
                  <w:r>
                    <w:rPr>
                      <w:b/>
                      <w:bCs/>
                    </w:rPr>
                    <w:t xml:space="preserve">FL</w:t>
                  </w:r>
                </w:p>
              </w:tc>
              <w:tc>
                <w:tcPr/>
                <w:p>
                  <w:pPr>
                    <w:pStyle w:val="Compact"/>
                    <w:jc w:val="left"/>
                    <w:jc w:val="center"/>
                  </w:pPr>
                  <w:r>
                    <w:rPr>
                      <w:b/>
                      <w:bCs/>
                    </w:rPr>
                    <w:t xml:space="preserve">Fuerza Laboral</w:t>
                  </w:r>
                </w:p>
              </w:tc>
              <w:tc>
                <w:tcPr/>
                <w:p>
                  <w:pPr>
                    <w:pStyle w:val="Compact"/>
                    <w:jc w:val="left"/>
                    <w:jc w:val="center"/>
                  </w:pPr>
                  <w:r>
                    <w:t xml:space="preserve">Población económicamente activa total.</w:t>
                  </w:r>
                </w:p>
              </w:tc>
              <w:tc>
                <w:tcPr/>
                <w:p>
                  <w:pPr>
                    <w:pStyle w:val="Compact"/>
                    <w:jc w:val="left"/>
                    <w:jc w:val="center"/>
                  </w:pPr>
                  <w:r>
                    <w:t xml:space="preserve">Conteo</w:t>
                  </w:r>
                </w:p>
              </w:tc>
              <w:tc>
                <w:tcPr/>
                <w:p>
                  <w:pPr>
                    <w:pStyle w:val="Compact"/>
                    <w:jc w:val="left"/>
                    <w:jc w:val="center"/>
                  </w:pPr>
                  <w:r>
                    <w:t xml:space="preserve">Banco Mundial (WDI)</w:t>
                  </w:r>
                </w:p>
              </w:tc>
            </w:tr>
          </w:tbl>
          <w:bookmarkEnd w:id="12"/>
          <w:p/>
        </w:tc>
      </w:tr>
    </w:tbl>
    <w:p>
      <w:pPr>
        <w:pStyle w:val="BodyText"/>
      </w:pPr>
      <w:r>
        <w:t xml:space="preserve">Analizo las variables seleccionadas para comprender las tendencias históricas y la variabilidad física de las series temporales, las cuales se resumen a continuación a través de sus estadísticos descriptivos elementales.</w:t>
      </w:r>
    </w:p>
    <w:tbl>
      <w:tblPr>
        <w:tblStyle w:val="Table"/>
        <w:tblW w:type="pct" w:w="5000"/>
        <w:tblLayout w:type="fixed"/>
        <w:tblLook w:firstRow="0" w:lastRow="0" w:firstColumn="0" w:lastColumn="0" w:noHBand="0" w:noVBand="0" w:val="0000"/>
      </w:tblPr>
      <w:tblGrid>
        <w:gridCol w:w="7920"/>
      </w:tblGrid>
      <w:tr>
        <w:tc>
          <w:tcPr/>
          <w:bookmarkStart w:id="13" w:name="tbl-resumen"/>
          <w:p>
            <w:pPr>
              <w:jc w:val="center"/>
            </w:pPr>
            <w:pPr>
              <w:jc w:val="left"/>
              <w:spacing w:before="200"/>
              <w:pStyle w:val="ImageCaption"/>
            </w:pPr>
            <w:r>
              <w:t xml:space="preserve">Tabla 2: Estadísticos descriptivos de las variables de investigación (1990-2024)</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jc w:val="center"/>
                  </w:pPr>
                  <w:r>
                    <w:t xml:space="preserve">Variable</w:t>
                  </w:r>
                </w:p>
              </w:tc>
              <w:tc>
                <w:tcPr/>
                <w:p>
                  <w:pPr>
                    <w:pStyle w:val="Compact"/>
                    <w:jc w:val="center"/>
                    <w:jc w:val="center"/>
                  </w:pPr>
                  <w:r>
                    <w:t xml:space="preserve">N</w:t>
                  </w:r>
                </w:p>
              </w:tc>
              <w:tc>
                <w:tcPr/>
                <w:p>
                  <w:pPr>
                    <w:pStyle w:val="Compact"/>
                    <w:jc w:val="center"/>
                    <w:jc w:val="center"/>
                  </w:pPr>
                  <w:r>
                    <w:t xml:space="preserve">Media</w:t>
                  </w:r>
                </w:p>
              </w:tc>
              <w:tc>
                <w:tcPr/>
                <w:p>
                  <w:pPr>
                    <w:pStyle w:val="Compact"/>
                    <w:jc w:val="center"/>
                    <w:jc w:val="center"/>
                  </w:pPr>
                  <w:r>
                    <w:t xml:space="preserve">Desv. Est.</w:t>
                  </w:r>
                </w:p>
              </w:tc>
              <w:tc>
                <w:tcPr/>
                <w:p>
                  <w:pPr>
                    <w:pStyle w:val="Compact"/>
                    <w:jc w:val="center"/>
                    <w:jc w:val="center"/>
                  </w:pPr>
                  <w:r>
                    <w:t xml:space="preserve">Mín.</w:t>
                  </w:r>
                </w:p>
              </w:tc>
              <w:tc>
                <w:tcPr/>
                <w:p>
                  <w:pPr>
                    <w:pStyle w:val="Compact"/>
                    <w:jc w:val="center"/>
                    <w:jc w:val="center"/>
                  </w:pPr>
                  <w:r>
                    <w:t xml:space="preserve">Máx.</w:t>
                  </w:r>
                </w:p>
              </w:tc>
            </w:tr>
            <w:tr>
              <w:tc>
                <w:tcPr/>
                <w:p>
                  <w:pPr>
                    <w:pStyle w:val="Compact"/>
                    <w:jc w:val="left"/>
                    <w:jc w:val="center"/>
                  </w:pPr>
                  <w:r>
                    <w:t xml:space="preserve">Log Afiliados (</w:t>
                  </w:r>
                  <m:oMath>
                    <m:r>
                      <m:rPr>
                        <m:sty m:val="p"/>
                      </m:rPr>
                      <m:t>ln</m:t>
                    </m:r>
                    <m:r>
                      <m:rPr>
                        <m:sty m:val="p"/>
                      </m:rPr>
                      <m:t>(</m:t>
                    </m:r>
                    <m:r>
                      <m:t>A</m:t>
                    </m:r>
                    <m:r>
                      <m:t>F</m:t>
                    </m:r>
                    <m:r>
                      <m:rPr>
                        <m:sty m:val="p"/>
                      </m:rPr>
                      <m:t>)</m:t>
                    </m:r>
                  </m:oMath>
                  <w:r>
                    <w:t xml:space="preserve">)</w:t>
                  </w:r>
                </w:p>
              </w:tc>
              <w:tc>
                <w:tcPr/>
                <w:p>
                  <w:pPr>
                    <w:pStyle w:val="Compact"/>
                    <w:jc w:val="center"/>
                    <w:jc w:val="center"/>
                  </w:pPr>
                  <w:r>
                    <w:t xml:space="preserve">35</w:t>
                  </w:r>
                </w:p>
              </w:tc>
              <w:tc>
                <w:tcPr/>
                <w:p>
                  <w:pPr>
                    <w:pStyle w:val="Compact"/>
                    <w:jc w:val="center"/>
                    <w:jc w:val="center"/>
                  </w:pPr>
                  <w:r>
                    <w:t xml:space="preserve">14.4970</w:t>
                  </w:r>
                </w:p>
              </w:tc>
              <w:tc>
                <w:tcPr/>
                <w:p>
                  <w:pPr>
                    <w:pStyle w:val="Compact"/>
                    <w:jc w:val="center"/>
                    <w:jc w:val="center"/>
                  </w:pPr>
                  <w:r>
                    <w:t xml:space="preserve">0.5160</w:t>
                  </w:r>
                </w:p>
              </w:tc>
              <w:tc>
                <w:tcPr/>
                <w:p>
                  <w:pPr>
                    <w:pStyle w:val="Compact"/>
                    <w:jc w:val="center"/>
                    <w:jc w:val="center"/>
                  </w:pPr>
                  <w:r>
                    <w:t xml:space="preserve">13.7420</w:t>
                  </w:r>
                </w:p>
              </w:tc>
              <w:tc>
                <w:tcPr/>
                <w:p>
                  <w:pPr>
                    <w:pStyle w:val="Compact"/>
                    <w:jc w:val="center"/>
                    <w:jc w:val="center"/>
                  </w:pPr>
                  <w:r>
                    <w:t xml:space="preserve">15.1493</w:t>
                  </w:r>
                </w:p>
              </w:tc>
            </w:tr>
            <w:tr>
              <w:tc>
                <w:tcPr/>
                <w:p>
                  <w:pPr>
                    <w:pStyle w:val="Compact"/>
                    <w:jc w:val="left"/>
                    <w:jc w:val="center"/>
                  </w:pPr>
                  <w:r>
                    <w:t xml:space="preserve">Gasto Militar (</w:t>
                  </w:r>
                  <m:oMath>
                    <m:r>
                      <m:t>G</m:t>
                    </m:r>
                    <m:r>
                      <m:t>M</m:t>
                    </m:r>
                  </m:oMath>
                  <w:r>
                    <w:t xml:space="preserve">)</w:t>
                  </w:r>
                </w:p>
              </w:tc>
              <w:tc>
                <w:tcPr/>
                <w:p>
                  <w:pPr>
                    <w:pStyle w:val="Compact"/>
                    <w:jc w:val="center"/>
                    <w:jc w:val="center"/>
                  </w:pPr>
                  <w:r>
                    <w:t xml:space="preserve">35</w:t>
                  </w:r>
                </w:p>
              </w:tc>
              <w:tc>
                <w:tcPr/>
                <w:p>
                  <w:pPr>
                    <w:pStyle w:val="Compact"/>
                    <w:jc w:val="center"/>
                    <w:jc w:val="center"/>
                  </w:pPr>
                  <w:r>
                    <w:t xml:space="preserve">2.1833</w:t>
                  </w:r>
                </w:p>
              </w:tc>
              <w:tc>
                <w:tcPr/>
                <w:p>
                  <w:pPr>
                    <w:pStyle w:val="Compact"/>
                    <w:jc w:val="center"/>
                    <w:jc w:val="center"/>
                  </w:pPr>
                  <w:r>
                    <w:t xml:space="preserve">0.5560</w:t>
                  </w:r>
                </w:p>
              </w:tc>
              <w:tc>
                <w:tcPr/>
                <w:p>
                  <w:pPr>
                    <w:pStyle w:val="Compact"/>
                    <w:jc w:val="center"/>
                    <w:jc w:val="center"/>
                  </w:pPr>
                  <w:r>
                    <w:t xml:space="preserve">1.2133</w:t>
                  </w:r>
                </w:p>
              </w:tc>
              <w:tc>
                <w:tcPr/>
                <w:p>
                  <w:pPr>
                    <w:pStyle w:val="Compact"/>
                    <w:jc w:val="center"/>
                    <w:jc w:val="center"/>
                  </w:pPr>
                  <w:r>
                    <w:t xml:space="preserve">3.2432</w:t>
                  </w:r>
                </w:p>
              </w:tc>
            </w:tr>
            <w:tr>
              <w:tc>
                <w:tcPr/>
                <w:p>
                  <w:pPr>
                    <w:pStyle w:val="Compact"/>
                    <w:jc w:val="left"/>
                    <w:jc w:val="center"/>
                  </w:pPr>
                  <w:r>
                    <w:t xml:space="preserve">Migración Neta (</w:t>
                  </w:r>
                  <m:oMath>
                    <m:r>
                      <m:t>M</m:t>
                    </m:r>
                    <m:r>
                      <m:t>I</m:t>
                    </m:r>
                  </m:oMath>
                  <w:r>
                    <w:t xml:space="preserve">)</w:t>
                  </w:r>
                </w:p>
              </w:tc>
              <w:tc>
                <w:tcPr/>
                <w:p>
                  <w:pPr>
                    <w:pStyle w:val="Compact"/>
                    <w:jc w:val="center"/>
                    <w:jc w:val="center"/>
                  </w:pPr>
                  <w:r>
                    <w:t xml:space="preserve">35</w:t>
                  </w:r>
                </w:p>
              </w:tc>
              <w:tc>
                <w:tcPr/>
                <w:p>
                  <w:pPr>
                    <w:pStyle w:val="Compact"/>
                    <w:jc w:val="center"/>
                    <w:jc w:val="center"/>
                  </w:pPr>
                  <w:r>
                    <w:t xml:space="preserve">-13606.2</w:t>
                  </w:r>
                </w:p>
              </w:tc>
              <w:tc>
                <w:tcPr/>
                <w:p>
                  <w:pPr>
                    <w:pStyle w:val="Compact"/>
                    <w:jc w:val="center"/>
                    <w:jc w:val="center"/>
                  </w:pPr>
                  <w:r>
                    <w:t xml:space="preserve">31691.4</w:t>
                  </w:r>
                </w:p>
              </w:tc>
              <w:tc>
                <w:tcPr/>
                <w:p>
                  <w:pPr>
                    <w:pStyle w:val="Compact"/>
                    <w:jc w:val="center"/>
                    <w:jc w:val="center"/>
                  </w:pPr>
                  <w:r>
                    <w:t xml:space="preserve">-47287.0</w:t>
                  </w:r>
                </w:p>
              </w:tc>
              <w:tc>
                <w:tcPr/>
                <w:p>
                  <w:pPr>
                    <w:pStyle w:val="Compact"/>
                    <w:jc w:val="center"/>
                    <w:jc w:val="center"/>
                  </w:pPr>
                  <w:r>
                    <w:t xml:space="preserve">95482.0</w:t>
                  </w:r>
                </w:p>
              </w:tc>
            </w:tr>
            <w:tr>
              <w:tc>
                <w:tcPr/>
                <w:p>
                  <w:pPr>
                    <w:pStyle w:val="Compact"/>
                    <w:jc w:val="left"/>
                    <w:jc w:val="center"/>
                  </w:pPr>
                  <w:r>
                    <w:t xml:space="preserve">Log Tasa Homicidios (</w:t>
                  </w:r>
                  <m:oMath>
                    <m:r>
                      <m:rPr>
                        <m:sty m:val="p"/>
                      </m:rPr>
                      <m:t>ln</m:t>
                    </m:r>
                    <m:r>
                      <m:rPr>
                        <m:sty m:val="p"/>
                      </m:rPr>
                      <m:t>(</m:t>
                    </m:r>
                    <m:r>
                      <m:t>H</m:t>
                    </m:r>
                    <m:r>
                      <m:t>O</m:t>
                    </m:r>
                    <m:r>
                      <m:rPr>
                        <m:sty m:val="p"/>
                      </m:rPr>
                      <m:t>)</m:t>
                    </m:r>
                  </m:oMath>
                  <w:r>
                    <w:t xml:space="preserve">)</w:t>
                  </w:r>
                </w:p>
              </w:tc>
              <w:tc>
                <w:tcPr/>
                <w:p>
                  <w:pPr>
                    <w:pStyle w:val="Compact"/>
                    <w:jc w:val="center"/>
                    <w:jc w:val="center"/>
                  </w:pPr>
                  <w:r>
                    <w:t xml:space="preserve">35</w:t>
                  </w:r>
                </w:p>
              </w:tc>
              <w:tc>
                <w:tcPr/>
                <w:p>
                  <w:pPr>
                    <w:pStyle w:val="Compact"/>
                    <w:jc w:val="center"/>
                    <w:jc w:val="center"/>
                  </w:pPr>
                  <w:r>
                    <w:t xml:space="preserve">2.5222</w:t>
                  </w:r>
                </w:p>
              </w:tc>
              <w:tc>
                <w:tcPr/>
                <w:p>
                  <w:pPr>
                    <w:pStyle w:val="Compact"/>
                    <w:jc w:val="center"/>
                    <w:jc w:val="center"/>
                  </w:pPr>
                  <w:r>
                    <w:t xml:space="preserve">0.4908</w:t>
                  </w:r>
                </w:p>
              </w:tc>
              <w:tc>
                <w:tcPr/>
                <w:p>
                  <w:pPr>
                    <w:pStyle w:val="Compact"/>
                    <w:jc w:val="center"/>
                    <w:jc w:val="center"/>
                  </w:pPr>
                  <w:r>
                    <w:t xml:space="preserve">1.7557</w:t>
                  </w:r>
                </w:p>
              </w:tc>
              <w:tc>
                <w:tcPr/>
                <w:p>
                  <w:pPr>
                    <w:pStyle w:val="Compact"/>
                    <w:jc w:val="center"/>
                    <w:jc w:val="center"/>
                  </w:pPr>
                  <w:r>
                    <w:t xml:space="preserve">3.8226</w:t>
                  </w:r>
                </w:p>
              </w:tc>
            </w:tr>
            <w:tr>
              <w:tc>
                <w:tcPr/>
                <w:p>
                  <w:pPr>
                    <w:pStyle w:val="Compact"/>
                    <w:jc w:val="left"/>
                    <w:jc w:val="center"/>
                  </w:pPr>
                  <w:r>
                    <w:t xml:space="preserve">Log Fuerza Laboral (</w:t>
                  </w:r>
                  <m:oMath>
                    <m:r>
                      <m:rPr>
                        <m:sty m:val="p"/>
                      </m:rPr>
                      <m:t>ln</m:t>
                    </m:r>
                    <m:r>
                      <m:rPr>
                        <m:sty m:val="p"/>
                      </m:rPr>
                      <m:t>(</m:t>
                    </m:r>
                    <m:r>
                      <m:t>F</m:t>
                    </m:r>
                    <m:r>
                      <m:t>L</m:t>
                    </m:r>
                    <m:r>
                      <m:rPr>
                        <m:sty m:val="p"/>
                      </m:rPr>
                      <m:t>)</m:t>
                    </m:r>
                  </m:oMath>
                  <w:r>
                    <w:t xml:space="preserve">)</w:t>
                  </w:r>
                </w:p>
              </w:tc>
              <w:tc>
                <w:tcPr/>
                <w:p>
                  <w:pPr>
                    <w:pStyle w:val="Compact"/>
                    <w:jc w:val="center"/>
                    <w:jc w:val="center"/>
                  </w:pPr>
                  <w:r>
                    <w:t xml:space="preserve">35</w:t>
                  </w:r>
                </w:p>
              </w:tc>
              <w:tc>
                <w:tcPr/>
                <w:p>
                  <w:pPr>
                    <w:pStyle w:val="Compact"/>
                    <w:jc w:val="center"/>
                    <w:jc w:val="center"/>
                  </w:pPr>
                  <w:r>
                    <w:t xml:space="preserve">15.6394</w:t>
                  </w:r>
                </w:p>
              </w:tc>
              <w:tc>
                <w:tcPr/>
                <w:p>
                  <w:pPr>
                    <w:pStyle w:val="Compact"/>
                    <w:jc w:val="center"/>
                    <w:jc w:val="center"/>
                  </w:pPr>
                  <w:r>
                    <w:t xml:space="preserve">0.2402</w:t>
                  </w:r>
                </w:p>
              </w:tc>
              <w:tc>
                <w:tcPr/>
                <w:p>
                  <w:pPr>
                    <w:pStyle w:val="Compact"/>
                    <w:jc w:val="center"/>
                    <w:jc w:val="center"/>
                  </w:pPr>
                  <w:r>
                    <w:t xml:space="preserve">15.2127</w:t>
                  </w:r>
                </w:p>
              </w:tc>
              <w:tc>
                <w:tcPr/>
                <w:p>
                  <w:pPr>
                    <w:pStyle w:val="Compact"/>
                    <w:jc w:val="center"/>
                    <w:jc w:val="center"/>
                  </w:pPr>
                  <w:r>
                    <w:t xml:space="preserve">15.9950</w:t>
                  </w:r>
                </w:p>
              </w:tc>
            </w:tr>
          </w:tbl>
          <w:bookmarkEnd w:id="13"/>
          <w:p/>
        </w:tc>
      </w:tr>
    </w:tbl>
    <w:p>
      <w:pPr>
        <w:pStyle w:val="BodyText"/>
      </w:pPr>
      <w:r>
        <w:rPr>
          <w:b/>
          <w:bCs/>
        </w:rPr>
        <w:t xml:space="preserve">Matriz de Correlación</w:t>
      </w:r>
    </w:p>
    <w:tbl>
      <w:tblPr>
        <w:tblStyle w:val="Table"/>
        <w:tblW w:type="pct" w:w="5000"/>
        <w:tblLayout w:type="fixed"/>
        <w:tblLook w:firstRow="0" w:lastRow="0" w:firstColumn="0" w:lastColumn="0" w:noHBand="0" w:noVBand="0" w:val="0000"/>
      </w:tblPr>
      <w:tblGrid>
        <w:gridCol w:w="7920"/>
      </w:tblGrid>
      <w:tr>
        <w:tc>
          <w:tcPr/>
          <w:bookmarkStart w:id="14" w:name="tbl-correlacion"/>
          <w:p>
            <w:pPr>
              <w:jc w:val="center"/>
            </w:pPr>
            <w:pPr>
              <w:jc w:val="left"/>
              <w:spacing w:before="200"/>
              <w:pStyle w:val="ImageCaption"/>
            </w:pPr>
            <w:r>
              <w:t xml:space="preserve">Tabla 3: Matriz de Correlación de las variables de investigación</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jc w:val="center"/>
                  </w:pPr>
                  <w:r>
                    <w:t xml:space="preserve">Variable</w:t>
                  </w:r>
                </w:p>
              </w:tc>
              <w:tc>
                <w:tcPr/>
                <w:p>
                  <w:pPr>
                    <w:pStyle w:val="Compact"/>
                    <w:jc w:val="center"/>
                    <w:jc w:val="center"/>
                  </w:pPr>
                  <m:oMath>
                    <m:r>
                      <m:rPr>
                        <m:sty m:val="p"/>
                      </m:rPr>
                      <m:t>ln</m:t>
                    </m:r>
                    <m:r>
                      <m:rPr>
                        <m:sty m:val="p"/>
                      </m:rPr>
                      <m:t>(</m:t>
                    </m:r>
                    <m:r>
                      <m:t>A</m:t>
                    </m:r>
                    <m:r>
                      <m:t>F</m:t>
                    </m:r>
                    <m:r>
                      <m:rPr>
                        <m:sty m:val="p"/>
                      </m:rPr>
                      <m:t>)</m:t>
                    </m:r>
                  </m:oMath>
                </w:p>
              </w:tc>
              <w:tc>
                <w:tcPr/>
                <w:p>
                  <w:pPr>
                    <w:pStyle w:val="Compact"/>
                    <w:jc w:val="center"/>
                    <w:jc w:val="center"/>
                  </w:pPr>
                  <m:oMath>
                    <m:r>
                      <m:t>G</m:t>
                    </m:r>
                    <m:r>
                      <m:t>M</m:t>
                    </m:r>
                  </m:oMath>
                </w:p>
              </w:tc>
              <w:tc>
                <w:tcPr/>
                <w:p>
                  <w:pPr>
                    <w:pStyle w:val="Compact"/>
                    <w:jc w:val="center"/>
                    <w:jc w:val="center"/>
                  </w:pPr>
                  <m:oMath>
                    <m:r>
                      <m:t>M</m:t>
                    </m:r>
                    <m:r>
                      <m:t>I</m:t>
                    </m:r>
                  </m:oMath>
                </w:p>
              </w:tc>
              <w:tc>
                <w:tcPr/>
                <w:p>
                  <w:pPr>
                    <w:pStyle w:val="Compact"/>
                    <w:jc w:val="center"/>
                    <w:jc w:val="center"/>
                  </w:pPr>
                  <m:oMath>
                    <m:r>
                      <m:rPr>
                        <m:sty m:val="p"/>
                      </m:rPr>
                      <m:t>ln</m:t>
                    </m:r>
                    <m:r>
                      <m:rPr>
                        <m:sty m:val="p"/>
                      </m:rPr>
                      <m:t>(</m:t>
                    </m:r>
                    <m:r>
                      <m:t>H</m:t>
                    </m:r>
                    <m:r>
                      <m:t>O</m:t>
                    </m:r>
                    <m:r>
                      <m:rPr>
                        <m:sty m:val="p"/>
                      </m:rPr>
                      <m:t>)</m:t>
                    </m:r>
                  </m:oMath>
                </w:p>
              </w:tc>
              <w:tc>
                <w:tcPr/>
                <w:p>
                  <w:pPr>
                    <w:pStyle w:val="Compact"/>
                    <w:jc w:val="center"/>
                    <w:jc w:val="center"/>
                  </w:pPr>
                  <m:oMath>
                    <m:r>
                      <m:rPr>
                        <m:sty m:val="p"/>
                      </m:rPr>
                      <m:t>ln</m:t>
                    </m:r>
                    <m:r>
                      <m:rPr>
                        <m:sty m:val="p"/>
                      </m:rPr>
                      <m:t>(</m:t>
                    </m:r>
                    <m:r>
                      <m:t>F</m:t>
                    </m:r>
                    <m:r>
                      <m:t>L</m:t>
                    </m:r>
                    <m:r>
                      <m:rPr>
                        <m:sty m:val="p"/>
                      </m:rPr>
                      <m:t>)</m:t>
                    </m:r>
                  </m:oMath>
                </w:p>
              </w:tc>
            </w:tr>
            <w:tr>
              <w:tc>
                <w:tcPr/>
                <w:p>
                  <w:pPr>
                    <w:pStyle w:val="Compact"/>
                    <w:jc w:val="left"/>
                    <w:jc w:val="center"/>
                  </w:pPr>
                  <w:r>
                    <w:rPr>
                      <w:b/>
                      <w:bCs/>
                    </w:rPr>
                    <w:t xml:space="preserve">Log Afiliados (</w:t>
                  </w:r>
                  <m:oMath>
                    <m:r>
                      <m:rPr>
                        <m:sty m:val="p"/>
                      </m:rPr>
                      <m:t>ln</m:t>
                    </m:r>
                    <m:r>
                      <m:rPr>
                        <m:sty m:val="p"/>
                      </m:rPr>
                      <m:t>(</m:t>
                    </m:r>
                    <m:r>
                      <m:t>A</m:t>
                    </m:r>
                    <m:r>
                      <m:t>F</m:t>
                    </m:r>
                    <m:r>
                      <m:rPr>
                        <m:sty m:val="p"/>
                      </m:rPr>
                      <m:t>)</m:t>
                    </m:r>
                  </m:oMath>
                  <w:r>
                    <w:rPr>
                      <w:b/>
                      <w:bCs/>
                    </w:rPr>
                    <w:t xml:space="preserve">)</w:t>
                  </w:r>
                </w:p>
              </w:tc>
              <w:tc>
                <w:tcPr/>
                <w:p>
                  <w:pPr>
                    <w:pStyle w:val="Compact"/>
                    <w:jc w:val="center"/>
                    <w:jc w:val="center"/>
                  </w:pPr>
                  <w:r>
                    <w:t xml:space="preserve">1.0000</w:t>
                  </w: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Gasto Militar (</w:t>
                  </w:r>
                  <m:oMath>
                    <m:r>
                      <m:t>G</m:t>
                    </m:r>
                    <m:r>
                      <m:t>M</m:t>
                    </m:r>
                  </m:oMath>
                  <w:r>
                    <w:rPr>
                      <w:b/>
                      <w:bCs/>
                    </w:rPr>
                    <w:t xml:space="preserve">)</w:t>
                  </w:r>
                </w:p>
              </w:tc>
              <w:tc>
                <w:tcPr/>
                <w:p>
                  <w:pPr>
                    <w:pStyle w:val="Compact"/>
                    <w:jc w:val="center"/>
                    <w:jc w:val="center"/>
                  </w:pPr>
                  <w:r>
                    <w:t xml:space="preserve">0.6972</w:t>
                  </w:r>
                </w:p>
              </w:tc>
              <w:tc>
                <w:tcPr/>
                <w:p>
                  <w:pPr>
                    <w:pStyle w:val="Compact"/>
                    <w:jc w:val="center"/>
                    <w:jc w:val="center"/>
                  </w:pPr>
                  <w:r>
                    <w:t xml:space="preserve">1.0000</w:t>
                  </w:r>
                </w:p>
              </w:tc>
              <w:tc>
                <w:tcPr/>
                <w:p>
                  <w:pPr>
                    <w:pStyle w:val="Compact"/>
                  </w:pPr>
                </w:p>
              </w:tc>
              <w:tc>
                <w:tcPr/>
                <w:p>
                  <w:pPr>
                    <w:pStyle w:val="Compact"/>
                  </w:pPr>
                </w:p>
              </w:tc>
              <w:tc>
                <w:tcPr/>
                <w:p>
                  <w:pPr>
                    <w:pStyle w:val="Compact"/>
                  </w:pPr>
                </w:p>
              </w:tc>
            </w:tr>
            <w:tr>
              <w:tc>
                <w:tcPr/>
                <w:p>
                  <w:pPr>
                    <w:pStyle w:val="Compact"/>
                    <w:jc w:val="left"/>
                    <w:jc w:val="center"/>
                  </w:pPr>
                  <w:r>
                    <w:rPr>
                      <w:b/>
                      <w:bCs/>
                    </w:rPr>
                    <w:t xml:space="preserve">Migración Neta (</w:t>
                  </w:r>
                  <m:oMath>
                    <m:r>
                      <m:t>M</m:t>
                    </m:r>
                    <m:r>
                      <m:t>I</m:t>
                    </m:r>
                  </m:oMath>
                  <w:r>
                    <w:rPr>
                      <w:b/>
                      <w:bCs/>
                    </w:rPr>
                    <w:t xml:space="preserve">)</w:t>
                  </w:r>
                </w:p>
              </w:tc>
              <w:tc>
                <w:tcPr/>
                <w:p>
                  <w:pPr>
                    <w:pStyle w:val="Compact"/>
                    <w:jc w:val="center"/>
                    <w:jc w:val="center"/>
                  </w:pPr>
                  <w:r>
                    <w:t xml:space="preserve">0.6568</w:t>
                  </w:r>
                </w:p>
              </w:tc>
              <w:tc>
                <w:tcPr/>
                <w:p>
                  <w:pPr>
                    <w:pStyle w:val="Compact"/>
                    <w:jc w:val="center"/>
                    <w:jc w:val="center"/>
                  </w:pPr>
                  <w:r>
                    <w:t xml:space="preserve">0.4622</w:t>
                  </w:r>
                </w:p>
              </w:tc>
              <w:tc>
                <w:tcPr/>
                <w:p>
                  <w:pPr>
                    <w:pStyle w:val="Compact"/>
                    <w:jc w:val="center"/>
                    <w:jc w:val="center"/>
                  </w:pPr>
                  <w:r>
                    <w:t xml:space="preserve">1.0000</w:t>
                  </w:r>
                </w:p>
              </w:tc>
              <w:tc>
                <w:tcPr/>
                <w:p>
                  <w:pPr>
                    <w:pStyle w:val="Compact"/>
                  </w:pPr>
                </w:p>
              </w:tc>
              <w:tc>
                <w:tcPr/>
                <w:p>
                  <w:pPr>
                    <w:pStyle w:val="Compact"/>
                  </w:pPr>
                </w:p>
              </w:tc>
            </w:tr>
            <w:tr>
              <w:tc>
                <w:tcPr/>
                <w:p>
                  <w:pPr>
                    <w:pStyle w:val="Compact"/>
                    <w:jc w:val="left"/>
                    <w:jc w:val="center"/>
                  </w:pPr>
                  <w:r>
                    <w:rPr>
                      <w:b/>
                      <w:bCs/>
                    </w:rPr>
                    <w:t xml:space="preserve">Log Tasa Homicidios (</w:t>
                  </w:r>
                  <m:oMath>
                    <m:r>
                      <m:rPr>
                        <m:sty m:val="p"/>
                      </m:rPr>
                      <m:t>ln</m:t>
                    </m:r>
                    <m:r>
                      <m:rPr>
                        <m:sty m:val="p"/>
                      </m:rPr>
                      <m:t>(</m:t>
                    </m:r>
                    <m:r>
                      <m:t>H</m:t>
                    </m:r>
                    <m:r>
                      <m:t>O</m:t>
                    </m:r>
                    <m:r>
                      <m:rPr>
                        <m:sty m:val="p"/>
                      </m:rPr>
                      <m:t>)</m:t>
                    </m:r>
                  </m:oMath>
                  <w:r>
                    <w:rPr>
                      <w:b/>
                      <w:bCs/>
                    </w:rPr>
                    <w:t xml:space="preserve">)</w:t>
                  </w:r>
                </w:p>
              </w:tc>
              <w:tc>
                <w:tcPr/>
                <w:p>
                  <w:pPr>
                    <w:pStyle w:val="Compact"/>
                    <w:jc w:val="center"/>
                    <w:jc w:val="center"/>
                  </w:pPr>
                  <w:r>
                    <w:t xml:space="preserve">0.0398</w:t>
                  </w:r>
                </w:p>
              </w:tc>
              <w:tc>
                <w:tcPr/>
                <w:p>
                  <w:pPr>
                    <w:pStyle w:val="Compact"/>
                    <w:jc w:val="center"/>
                    <w:jc w:val="center"/>
                  </w:pPr>
                  <w:r>
                    <w:t xml:space="preserve">0.1225</w:t>
                  </w:r>
                </w:p>
              </w:tc>
              <w:tc>
                <w:tcPr/>
                <w:p>
                  <w:pPr>
                    <w:pStyle w:val="Compact"/>
                    <w:jc w:val="center"/>
                    <w:jc w:val="center"/>
                  </w:pPr>
                  <w:r>
                    <w:t xml:space="preserve">-0.4544</w:t>
                  </w:r>
                </w:p>
              </w:tc>
              <w:tc>
                <w:tcPr/>
                <w:p>
                  <w:pPr>
                    <w:pStyle w:val="Compact"/>
                    <w:jc w:val="center"/>
                    <w:jc w:val="center"/>
                  </w:pPr>
                  <w:r>
                    <w:t xml:space="preserve">1.0000</w:t>
                  </w:r>
                </w:p>
              </w:tc>
              <w:tc>
                <w:tcPr/>
                <w:p>
                  <w:pPr>
                    <w:pStyle w:val="Compact"/>
                  </w:pPr>
                </w:p>
              </w:tc>
            </w:tr>
            <w:tr>
              <w:tc>
                <w:tcPr/>
                <w:p>
                  <w:pPr>
                    <w:pStyle w:val="Compact"/>
                    <w:jc w:val="left"/>
                    <w:jc w:val="center"/>
                  </w:pPr>
                  <w:r>
                    <w:rPr>
                      <w:b/>
                      <w:bCs/>
                    </w:rPr>
                    <w:t xml:space="preserve">Log Fuerza Laboral (</w:t>
                  </w:r>
                  <m:oMath>
                    <m:r>
                      <m:rPr>
                        <m:sty m:val="p"/>
                      </m:rPr>
                      <m:t>ln</m:t>
                    </m:r>
                    <m:r>
                      <m:rPr>
                        <m:sty m:val="p"/>
                      </m:rPr>
                      <m:t>(</m:t>
                    </m:r>
                    <m:r>
                      <m:t>F</m:t>
                    </m:r>
                    <m:r>
                      <m:t>L</m:t>
                    </m:r>
                    <m:r>
                      <m:rPr>
                        <m:sty m:val="p"/>
                      </m:rPr>
                      <m:t>)</m:t>
                    </m:r>
                  </m:oMath>
                  <w:r>
                    <w:rPr>
                      <w:b/>
                      <w:bCs/>
                    </w:rPr>
                    <w:t xml:space="preserve">)</w:t>
                  </w:r>
                </w:p>
              </w:tc>
              <w:tc>
                <w:tcPr/>
                <w:p>
                  <w:pPr>
                    <w:pStyle w:val="Compact"/>
                    <w:jc w:val="center"/>
                    <w:jc w:val="center"/>
                  </w:pPr>
                  <w:r>
                    <w:t xml:space="preserve">0.9520</w:t>
                  </w:r>
                </w:p>
              </w:tc>
              <w:tc>
                <w:tcPr/>
                <w:p>
                  <w:pPr>
                    <w:pStyle w:val="Compact"/>
                    <w:jc w:val="center"/>
                    <w:jc w:val="center"/>
                  </w:pPr>
                  <w:r>
                    <w:t xml:space="preserve">0.6677</w:t>
                  </w:r>
                </w:p>
              </w:tc>
              <w:tc>
                <w:tcPr/>
                <w:p>
                  <w:pPr>
                    <w:pStyle w:val="Compact"/>
                    <w:jc w:val="center"/>
                    <w:jc w:val="center"/>
                  </w:pPr>
                  <w:r>
                    <w:t xml:space="preserve">0.6335</w:t>
                  </w:r>
                </w:p>
              </w:tc>
              <w:tc>
                <w:tcPr/>
                <w:p>
                  <w:pPr>
                    <w:pStyle w:val="Compact"/>
                    <w:jc w:val="center"/>
                    <w:jc w:val="center"/>
                  </w:pPr>
                  <w:r>
                    <w:t xml:space="preserve">0.1751</w:t>
                  </w:r>
                </w:p>
              </w:tc>
              <w:tc>
                <w:tcPr/>
                <w:p>
                  <w:pPr>
                    <w:pStyle w:val="Compact"/>
                    <w:jc w:val="center"/>
                    <w:jc w:val="center"/>
                  </w:pPr>
                  <w:r>
                    <w:t xml:space="preserve">1.0000</w:t>
                  </w:r>
                </w:p>
              </w:tc>
            </w:tr>
          </w:tbl>
          <w:bookmarkEnd w:id="14"/>
          <w:p/>
        </w:tc>
      </w:tr>
    </w:tbl>
    <w:p>
      <w:pPr>
        <w:pStyle w:val="BodyText"/>
      </w:pPr>
      <w:r>
        <w:t xml:space="preserve">Para estimar conjuntamente las variables, descarto problemas de multicolinealidad severa mediante el cálculo del Factor de Inflación de la Varianza (VIF). Asimismo, evalúo la normalidad de la distribución de los residuos para garantizar que no existan distorsiones que invaliden las pruebas estadísticas subsiguientes. El VIF promedio para los regresores independientes es de 2.87 (Migración Neta: 3.76, Fuerza Laboral: 3.60, Tasa de Homicidios: 2.31 y Gasto Militar: 1.83), todos inferiores al límite de 5.0, descartando colinealidad grave. En cuanto a la normalidad residual, la prueba Jarque-Bera arroja un estadístico de</w:t>
      </w:r>
      <w:r>
        <w:t xml:space="preserve"> </w:t>
      </w:r>
      <m:oMath>
        <m:sSup>
          <m:e>
            <m:r>
              <m:t>χ</m:t>
            </m:r>
          </m:e>
          <m:sup>
            <m:r>
              <m:t>2</m:t>
            </m:r>
          </m:sup>
        </m:sSup>
        <m:r>
          <m:rPr>
            <m:sty m:val="p"/>
          </m:rPr>
          <m:t>(</m:t>
        </m:r>
        <m:r>
          <m:t>2</m:t>
        </m:r>
        <m:r>
          <m:rPr>
            <m:sty m:val="p"/>
          </m:rPr>
          <m:t>)</m:t>
        </m:r>
        <m:r>
          <m:rPr>
            <m:sty m:val="p"/>
          </m:rPr>
          <m:t>=</m:t>
        </m:r>
        <m:r>
          <m:t>1.94</m:t>
        </m:r>
      </m:oMath>
      <w:r>
        <w:t xml:space="preserve"> </w:t>
      </w:r>
      <w:r>
        <w:t xml:space="preserve">con un p-valor de 0.379, lo que confirma que no rechazo la hipótesis nula de residuos normales.</w:t>
      </w:r>
      <w:r>
        <w:t xml:space="preserve"> </w:t>
      </w:r>
      <w:r>
        <w:t xml:space="preserve">Para complementar el análisis descriptivo, presento la evolución temporal y longitudinal de las variables explicativas y demográficas. Esta visualización permite identificar los quiebres estructurales asociados a la dolarización en el año 2000 y al auge normativo previsional posterior al 2008.</w:t>
      </w:r>
    </w:p>
    <w:tbl>
      <w:tblPr>
        <w:tblStyle w:val="Table"/>
        <w:tblW w:type="pct" w:w="5000"/>
        <w:tblLayout w:type="fixed"/>
        <w:tblLook w:firstRow="0" w:lastRow="0" w:firstColumn="0" w:lastColumn="0" w:noHBand="0" w:noVBand="0" w:val="0000"/>
      </w:tblPr>
      <w:tblGrid>
        <w:gridCol w:w="7920"/>
      </w:tblGrid>
      <w:tr>
        <w:tc>
          <w:tcPr/>
          <w:bookmarkStart w:id="18" w:name="fig-tendencias"/>
          <w:p>
            <w:pPr>
              <w:pStyle w:val="Compact"/>
              <w:jc w:val="center"/>
            </w:pPr>
            <w:r>
              <w:drawing>
                <wp:inline>
                  <wp:extent cx="5334000" cy="6902823"/>
                  <wp:effectExtent b="0" l="0" r="0" t="0"/>
                  <wp:docPr descr="" title="" id="16" name="Picture"/>
                  <a:graphic>
                    <a:graphicData uri="http://schemas.openxmlformats.org/drawingml/2006/picture">
                      <pic:pic>
                        <pic:nvPicPr>
                          <pic:cNvPr descr="assets/fig-tendencias-stata.png" id="17" name="Picture"/>
                          <pic:cNvPicPr>
                            <a:picLocks noChangeArrowheads="1" noChangeAspect="1"/>
                          </pic:cNvPicPr>
                        </pic:nvPicPr>
                        <pic:blipFill>
                          <a:blip r:embed="rId15"/>
                          <a:stretch>
                            <a:fillRect/>
                          </a:stretch>
                        </pic:blipFill>
                        <pic:spPr bwMode="auto">
                          <a:xfrm>
                            <a:off x="0" y="0"/>
                            <a:ext cx="5334000" cy="6902823"/>
                          </a:xfrm>
                          <a:prstGeom prst="rect">
                            <a:avLst/>
                          </a:prstGeom>
                          <a:noFill/>
                          <a:ln w="9525">
                            <a:noFill/>
                            <a:headEnd/>
                            <a:tailEnd/>
                          </a:ln>
                        </pic:spPr>
                      </pic:pic>
                    </a:graphicData>
                  </a:graphic>
                </wp:inline>
              </w:drawing>
            </w:r>
          </w:p>
          <w:p>
            <w:pPr>
              <w:jc w:val="center"/>
            </w:pPr>
            <w:pPr>
              <w:jc w:val="left"/>
              <w:spacing w:before="200"/>
              <w:pStyle w:val="ImageCaption"/>
            </w:pPr>
            <w:r>
              <w:t xml:space="preserve">Figura 1: Evolución temporal de los determinantes de la crisis del IESS (1990-2024)</w:t>
            </w:r>
          </w:p>
          <w:bookmarkEnd w:id="18"/>
        </w:tc>
      </w:tr>
    </w:tbl>
    <w:bookmarkEnd w:id="19"/>
    <w:bookmarkStart w:id="24" w:name="metodología"/>
    <w:p>
      <w:pPr>
        <w:pStyle w:val="Heading2"/>
      </w:pPr>
      <w:r>
        <w:t xml:space="preserve">3.2 Metodología</w:t>
      </w:r>
    </w:p>
    <w:p>
      <w:pPr>
        <w:pStyle w:val="FirstParagraph"/>
      </w:pPr>
      <w:r>
        <w:t xml:space="preserve">Para evaluar el orden de integración de las series temporales de forma individual y prevenir regresiones espurias, implemento pruebas de raíz unitaria con y sin quiebres estructurales.</w:t>
      </w:r>
    </w:p>
    <w:p>
      <w:pPr>
        <w:pStyle w:val="BodyText"/>
      </w:pPr>
      <w:r>
        <w:t xml:space="preserve">La prueba de</w:t>
      </w:r>
      <w:r>
        <w:t xml:space="preserve"> </w:t>
      </w:r>
      <w:r>
        <w:rPr>
          <w:b/>
          <w:bCs/>
        </w:rPr>
        <w:t xml:space="preserve">Dickey-Fuller Aumentada (ADF)</w:t>
      </w:r>
      <w:r>
        <w:t xml:space="preserve">, formulada originalmente por</w:t>
      </w:r>
      <w:r>
        <w:t xml:space="preserve"> </w:t>
      </w:r>
      <w:r>
        <w:rPr>
          <w:b/>
          <w:bCs/>
        </w:rPr>
        <w:t xml:space="preserve">David Dickey y Wayne Fuller (1979)</w:t>
      </w:r>
      <w:r>
        <w:t xml:space="preserve">, evalúa la presencia de una raíz unitaria (no estacionariedad) frente a la alternativa de estacionariedad en torno a una tendencia determinista. La utilizo para verificar que ninguna serie del sistema supere el orden de integración</w:t>
      </w:r>
      <w:r>
        <w:t xml:space="preserve"> </w:t>
      </w:r>
      <m:oMath>
        <m:r>
          <m:t>I</m:t>
        </m:r>
        <m:r>
          <m:rPr>
            <m:sty m:val="p"/>
          </m:rPr>
          <m:t>(</m:t>
        </m:r>
        <m:r>
          <m:t>1</m:t>
        </m:r>
        <m:r>
          <m:rPr>
            <m:sty m:val="p"/>
          </m:rPr>
          <m:t>)</m:t>
        </m:r>
      </m:oMath>
      <w:r>
        <w:t xml:space="preserve">, estimando la regresión auxiliar general:</w:t>
      </w:r>
    </w:p>
    <w:p>
      <w:pPr>
        <w:pStyle w:val="BodyText"/>
      </w:pPr>
      <w:bookmarkStart w:id="20" w:name="eq-adf"/>
      <m:oMathPara>
        <m:oMathParaPr>
          <m:jc m:val="center"/>
        </m:oMathParaPr>
        <m:oMath>
          <m:r>
            <m:rPr>
              <m:sty m:val="p"/>
            </m:rPr>
            <m:t>Δ</m:t>
          </m:r>
          <m:sSub>
            <m:e>
              <m:r>
                <m:t>y</m:t>
              </m:r>
            </m:e>
            <m:sub>
              <m:r>
                <m:t>t</m:t>
              </m:r>
            </m:sub>
          </m:sSub>
          <m:r>
            <m:rPr>
              <m:sty m:val="p"/>
            </m:rPr>
            <m:t>=</m:t>
          </m:r>
          <m:sSub>
            <m:e>
              <m:r>
                <m:t>α</m:t>
              </m:r>
            </m:e>
            <m:sub>
              <m:r>
                <m:t>0</m:t>
              </m:r>
            </m:sub>
          </m:sSub>
          <m:r>
            <m:rPr>
              <m:sty m:val="p"/>
            </m:rPr>
            <m:t>+</m:t>
          </m:r>
          <m:sSub>
            <m:e>
              <m:r>
                <m:t>α</m:t>
              </m:r>
            </m:e>
            <m:sub>
              <m:r>
                <m:t>1</m:t>
              </m:r>
            </m:sub>
          </m:sSub>
          <m:r>
            <m:t>t</m:t>
          </m:r>
          <m:r>
            <m:rPr>
              <m:sty m:val="p"/>
            </m:rPr>
            <m:t>+</m:t>
          </m:r>
          <m:r>
            <m:t>δ</m:t>
          </m:r>
          <m:sSub>
            <m:e>
              <m:r>
                <m:t>y</m:t>
              </m:r>
            </m:e>
            <m:sub>
              <m:r>
                <m:t>t</m:t>
              </m:r>
              <m:r>
                <m:rPr>
                  <m:sty m:val="p"/>
                </m:rPr>
                <m:t>−</m:t>
              </m:r>
              <m:r>
                <m:t>1</m:t>
              </m:r>
            </m:sub>
          </m:sSub>
          <m:r>
            <m:rPr>
              <m:sty m:val="p"/>
            </m:rPr>
            <m:t>+</m:t>
          </m:r>
          <m:nary>
            <m:naryPr>
              <m:chr m:val="∑"/>
              <m:limLoc m:val="undOvr"/>
              <m:subHide m:val="off"/>
              <m:supHide m:val="off"/>
            </m:naryPr>
            <m:sub>
              <m:r>
                <m:t>j</m:t>
              </m:r>
              <m:r>
                <m:rPr>
                  <m:sty m:val="p"/>
                </m:rPr>
                <m:t>=</m:t>
              </m:r>
              <m:r>
                <m:t>1</m:t>
              </m:r>
            </m:sub>
            <m:sup>
              <m:r>
                <m:t>k</m:t>
              </m:r>
            </m:sup>
            <m:e>
              <m:sSub>
                <m:e>
                  <m:r>
                    <m:t>θ</m:t>
                  </m:r>
                </m:e>
                <m:sub>
                  <m:r>
                    <m:t>j</m:t>
                  </m:r>
                </m:sub>
              </m:sSub>
            </m:e>
          </m:nary>
          <m:r>
            <m:rPr>
              <m:sty m:val="p"/>
            </m:rPr>
            <m:t>Δ</m:t>
          </m:r>
          <m:sSub>
            <m:e>
              <m:r>
                <m:t>y</m:t>
              </m:r>
            </m:e>
            <m:sub>
              <m:r>
                <m:t>t</m:t>
              </m:r>
              <m:r>
                <m:rPr>
                  <m:sty m:val="p"/>
                </m:rPr>
                <m:t>−</m:t>
              </m:r>
              <m:r>
                <m:t>j</m:t>
              </m:r>
            </m:sub>
          </m:sSub>
          <m:r>
            <m:rPr>
              <m:sty m:val="p"/>
            </m:rPr>
            <m:t>+</m:t>
          </m:r>
          <m:sSub>
            <m:e>
              <m:r>
                <m:t>ϵ</m:t>
              </m:r>
            </m:e>
            <m:sub>
              <m:r>
                <m:t>t</m:t>
              </m:r>
            </m:sub>
          </m:sSub>
          <m:r>
            <m:t>  </m:t>
          </m:r>
          <m:r>
            <m:rPr>
              <m:sty m:val="p"/>
            </m:rPr>
            <m:t>(</m:t>
          </m:r>
          <m:r>
            <m:t>1</m:t>
          </m:r>
          <m:r>
            <m:rPr>
              <m:sty m:val="p"/>
            </m:rPr>
            <m:t>)</m:t>
          </m:r>
        </m:oMath>
      </m:oMathPara>
      <w:bookmarkEnd w:id="20"/>
    </w:p>
    <w:p>
      <w:pPr>
        <w:pStyle w:val="FirstParagraph"/>
      </w:pPr>
      <w:r>
        <w:t xml:space="preserve">Donde</w:t>
      </w:r>
      <w:r>
        <w:t xml:space="preserve"> </w:t>
      </w:r>
      <m:oMath>
        <m:sSub>
          <m:e>
            <m:r>
              <m:t>y</m:t>
            </m:r>
          </m:e>
          <m:sub>
            <m:r>
              <m:t>t</m:t>
            </m:r>
          </m:sub>
        </m:sSub>
      </m:oMath>
      <w:r>
        <w:t xml:space="preserve"> </w:t>
      </w:r>
      <w:r>
        <w:t xml:space="preserve">es la variable genérica bajo análisis,</w:t>
      </w:r>
      <w:r>
        <w:t xml:space="preserve"> </w:t>
      </w:r>
      <m:oMath>
        <m:r>
          <m:rPr>
            <m:sty m:val="p"/>
          </m:rPr>
          <m:t>Δ</m:t>
        </m:r>
      </m:oMath>
      <w:r>
        <w:t xml:space="preserve"> </w:t>
      </w:r>
      <w:r>
        <w:t xml:space="preserve">representa la primera diferencia,</w:t>
      </w:r>
      <w:r>
        <w:t xml:space="preserve"> </w:t>
      </w:r>
      <m:oMath>
        <m:r>
          <m:t>t</m:t>
        </m:r>
      </m:oMath>
      <w:r>
        <w:t xml:space="preserve"> </w:t>
      </w:r>
      <w:r>
        <w:t xml:space="preserve">la tendencia y se selecciona el rezago óptimo</w:t>
      </w:r>
      <w:r>
        <w:t xml:space="preserve"> </w:t>
      </w:r>
      <m:oMath>
        <m:r>
          <m:t>k</m:t>
        </m:r>
      </m:oMath>
      <w:r>
        <w:t xml:space="preserve"> </w:t>
      </w:r>
      <w:r>
        <w:t xml:space="preserve">mediante el Criterio de Schwarz para eliminar la autocorrelación en el residuo</w:t>
      </w:r>
      <w:r>
        <w:t xml:space="preserve"> </w:t>
      </w:r>
      <m:oMath>
        <m:sSub>
          <m:e>
            <m:r>
              <m:t>ϵ</m:t>
            </m:r>
          </m:e>
          <m:sub>
            <m:r>
              <m:t>t</m:t>
            </m:r>
          </m:sub>
        </m:sSub>
        <m:r>
          <m:rPr>
            <m:sty m:val="p"/>
          </m:rPr>
          <m:t>∼</m:t>
        </m:r>
        <m:r>
          <m:t>i</m:t>
        </m:r>
        <m:r>
          <m:rPr>
            <m:sty m:val="p"/>
          </m:rPr>
          <m:t>.</m:t>
        </m:r>
        <m:r>
          <m:t>i</m:t>
        </m:r>
        <m:r>
          <m:rPr>
            <m:sty m:val="p"/>
          </m:rPr>
          <m:t>.</m:t>
        </m:r>
        <m:r>
          <m:t>d</m:t>
        </m:r>
        <m:r>
          <m:rPr>
            <m:sty m:val="p"/>
          </m:rPr>
          <m:t>.</m:t>
        </m:r>
        <m:r>
          <m:rPr>
            <m:sty m:val="p"/>
          </m:rPr>
          <m:t>(</m:t>
        </m:r>
        <m:r>
          <m:t>0</m:t>
        </m:r>
        <m:r>
          <m:rPr>
            <m:sty m:val="p"/>
          </m:rPr>
          <m:t>,</m:t>
        </m:r>
        <m:sSup>
          <m:e>
            <m:r>
              <m:t>σ</m:t>
            </m:r>
          </m:e>
          <m:sup>
            <m:r>
              <m:t>2</m:t>
            </m:r>
          </m:sup>
        </m:sSup>
        <m:r>
          <m:rPr>
            <m:sty m:val="p"/>
          </m:rPr>
          <m:t>)</m:t>
        </m:r>
      </m:oMath>
      <w:r>
        <w:t xml:space="preserve">.</w:t>
      </w:r>
    </w:p>
    <w:p>
      <w:pPr>
        <w:pStyle w:val="BodyText"/>
      </w:pPr>
      <w:r>
        <w:t xml:space="preserve">De manera complementaria, aplico la prueba de</w:t>
      </w:r>
      <w:r>
        <w:t xml:space="preserve"> </w:t>
      </w:r>
      <w:r>
        <w:rPr>
          <w:b/>
          <w:bCs/>
        </w:rPr>
        <w:t xml:space="preserve">Phillips-Perron (PP)</w:t>
      </w:r>
      <w:r>
        <w:t xml:space="preserve">, formulada por</w:t>
      </w:r>
      <w:r>
        <w:t xml:space="preserve"> </w:t>
      </w:r>
      <w:r>
        <w:rPr>
          <w:b/>
          <w:bCs/>
        </w:rPr>
        <w:t xml:space="preserve">Peter Phillips y Pierre Perron (1988)</w:t>
      </w:r>
      <w:r>
        <w:t xml:space="preserve">. Mide la hipótesis de raíz unitaria aplicando correcciones no paramétricas directas a la matriz de varianza-covarianza para controlar la correlación serial y la heterocedasticidad en el término de error. La empleo como contraste robusto para validar la estacionariedad de las series.</w:t>
      </w:r>
    </w:p>
    <w:p>
      <w:pPr>
        <w:pStyle w:val="BodyText"/>
      </w:pPr>
      <w:r>
        <w:t xml:space="preserve">Adicionalmente, dado que los choques de política económica y las crisis estructurales en Ecuador (como la dolarización o reformas legales) pueden sesgar las pruebas tradicionales hacia la no-estacionariedad, estimo la prueba de</w:t>
      </w:r>
      <w:r>
        <w:t xml:space="preserve"> </w:t>
      </w:r>
      <w:r>
        <w:rPr>
          <w:b/>
          <w:bCs/>
        </w:rPr>
        <w:t xml:space="preserve">Zivot-Andrews (ZA)</w:t>
      </w:r>
      <w:r>
        <w:t xml:space="preserve">, formulada por</w:t>
      </w:r>
      <w:r>
        <w:t xml:space="preserve"> </w:t>
      </w:r>
      <w:r>
        <w:rPr>
          <w:b/>
          <w:bCs/>
        </w:rPr>
        <w:t xml:space="preserve">Eric Zivot y Donald Andrews (1992)</w:t>
      </w:r>
      <w:r>
        <w:t xml:space="preserve">. Esta prueba mide la existencia de raíz unitaria permitiendo la presencia de un quiebre estructural endógeno en la constante, en la tendencia o en ambos. La utilizo para evitar falsos diagnósticos de no-estacionariedad causados por cambios de régimen en la economía.</w:t>
      </w:r>
    </w:p>
    <w:p>
      <w:pPr>
        <w:pStyle w:val="BodyText"/>
      </w:pPr>
      <w:r>
        <w:t xml:space="preserve">Para evaluar el equilibrio de largo plazo en sistemas integrados de orden mixto, implemento la prueba de cointegración por límites (</w:t>
      </w:r>
      <w:r>
        <w:rPr>
          <w:b/>
          <w:bCs/>
        </w:rPr>
        <w:t xml:space="preserve">Bounds Test</w:t>
      </w:r>
      <w:r>
        <w:t xml:space="preserve">), formulada por</w:t>
      </w:r>
      <w:r>
        <w:t xml:space="preserve"> </w:t>
      </w:r>
      <w:r>
        <w:rPr>
          <w:b/>
          <w:bCs/>
        </w:rPr>
        <w:t xml:space="preserve">M. Hashem Pesaran, Yongcheol Shin y Richard J. Smith (2001)</w:t>
      </w:r>
      <w:r>
        <w:t xml:space="preserve">. Esta metodología mide la existencia de una relación lineal de largo plazo entre un conjunto de variables sin importar si son integradas de orden</w:t>
      </w:r>
      <w:r>
        <w:t xml:space="preserve"> </w:t>
      </w:r>
      <m:oMath>
        <m:r>
          <m:t>I</m:t>
        </m:r>
        <m:r>
          <m:rPr>
            <m:sty m:val="p"/>
          </m:rPr>
          <m:t>(</m:t>
        </m:r>
        <m:r>
          <m:t>0</m:t>
        </m:r>
        <m:r>
          <m:rPr>
            <m:sty m:val="p"/>
          </m:rPr>
          <m:t>)</m:t>
        </m:r>
      </m:oMath>
      <w:r>
        <w:t xml:space="preserve">,</w:t>
      </w:r>
      <w:r>
        <w:t xml:space="preserve"> </w:t>
      </w:r>
      <m:oMath>
        <m:r>
          <m:t>I</m:t>
        </m:r>
        <m:r>
          <m:rPr>
            <m:sty m:val="p"/>
          </m:rPr>
          <m:t>(</m:t>
        </m:r>
        <m:r>
          <m:t>1</m:t>
        </m:r>
        <m:r>
          <m:rPr>
            <m:sty m:val="p"/>
          </m:rPr>
          <m:t>)</m:t>
        </m:r>
      </m:oMath>
      <w:r>
        <w:t xml:space="preserve"> </w:t>
      </w:r>
      <w:r>
        <w:t xml:space="preserve">o de forma mixta. Su uso me permite superar la rigidez de las pruebas de cointegración clásicas que exigen homogeneidad en el orden de integración. La ecuación condicional general de corrección de error uniecuacional (ARDL-ECM) la formulo como:</w:t>
      </w:r>
    </w:p>
    <w:p>
      <w:pPr>
        <w:pStyle w:val="BodyText"/>
      </w:pPr>
      <w:bookmarkStart w:id="21" w:name="eq-bounds"/>
      <m:oMathPara>
        <m:oMathParaPr>
          <m:jc m:val="center"/>
        </m:oMathParaPr>
        <m:oMath>
          <m:r>
            <m:rPr>
              <m:sty m:val="p"/>
            </m:rPr>
            <m:t>Δ</m:t>
          </m:r>
          <m:sSub>
            <m:e>
              <m:r>
                <m:t>y</m:t>
              </m:r>
            </m:e>
            <m:sub>
              <m:r>
                <m:t>t</m:t>
              </m:r>
            </m:sub>
          </m:sSub>
          <m:r>
            <m:rPr>
              <m:sty m:val="p"/>
            </m:rPr>
            <m:t>=</m:t>
          </m:r>
          <m:sSub>
            <m:e>
              <m:r>
                <m:t>c</m:t>
              </m:r>
            </m:e>
            <m:sub>
              <m:r>
                <m:t>0</m:t>
              </m:r>
            </m:sub>
          </m:sSub>
          <m:r>
            <m:rPr>
              <m:sty m:val="p"/>
            </m:rPr>
            <m:t>+</m:t>
          </m:r>
          <m:sSub>
            <m:e>
              <m:r>
                <m:t>c</m:t>
              </m:r>
            </m:e>
            <m:sub>
              <m:r>
                <m:t>1</m:t>
              </m:r>
            </m:sub>
          </m:sSub>
          <m:r>
            <m:t>t</m:t>
          </m:r>
          <m:r>
            <m:rPr>
              <m:sty m:val="p"/>
            </m:rPr>
            <m:t>+</m:t>
          </m:r>
          <m:r>
            <m:t>α</m:t>
          </m:r>
          <m:sSub>
            <m:e>
              <m:r>
                <m:t>y</m:t>
              </m:r>
            </m:e>
            <m:sub>
              <m:r>
                <m:t>t</m:t>
              </m:r>
              <m:r>
                <m:rPr>
                  <m:sty m:val="p"/>
                </m:rPr>
                <m:t>−</m:t>
              </m:r>
              <m:r>
                <m:t>1</m:t>
              </m:r>
            </m:sub>
          </m:sSub>
          <m:r>
            <m:rPr>
              <m:sty m:val="p"/>
            </m:rPr>
            <m:t>+</m:t>
          </m:r>
          <m:nary>
            <m:naryPr>
              <m:chr m:val="∑"/>
              <m:limLoc m:val="undOvr"/>
              <m:subHide m:val="off"/>
              <m:supHide m:val="off"/>
            </m:naryPr>
            <m:sub>
              <m:r>
                <m:t>i</m:t>
              </m:r>
              <m:r>
                <m:rPr>
                  <m:sty m:val="p"/>
                </m:rPr>
                <m:t>=</m:t>
              </m:r>
              <m:r>
                <m:t>1</m:t>
              </m:r>
            </m:sub>
            <m:sup>
              <m:r>
                <m:t>K</m:t>
              </m:r>
            </m:sup>
            <m:e>
              <m:sSub>
                <m:e>
                  <m:r>
                    <m:t>β</m:t>
                  </m:r>
                </m:e>
                <m:sub>
                  <m:r>
                    <m:t>i</m:t>
                  </m:r>
                </m:sub>
              </m:sSub>
            </m:e>
          </m:nary>
          <m:sSub>
            <m:e>
              <m:r>
                <m:t>x</m:t>
              </m:r>
            </m:e>
            <m:sub>
              <m:r>
                <m:t>i</m:t>
              </m:r>
              <m:r>
                <m:rPr>
                  <m:sty m:val="p"/>
                </m:rPr>
                <m:t>,</m:t>
              </m:r>
              <m:r>
                <m:t>t</m:t>
              </m:r>
              <m:r>
                <m:rPr>
                  <m:sty m:val="p"/>
                </m:rPr>
                <m:t>−</m:t>
              </m:r>
              <m:r>
                <m:t>1</m:t>
              </m:r>
            </m:sub>
          </m:sSub>
          <m:r>
            <m:rPr>
              <m:sty m:val="p"/>
            </m:rPr>
            <m:t>+</m:t>
          </m:r>
          <m:nary>
            <m:naryPr>
              <m:chr m:val="∑"/>
              <m:limLoc m:val="undOvr"/>
              <m:subHide m:val="off"/>
              <m:supHide m:val="off"/>
            </m:naryPr>
            <m:sub>
              <m:r>
                <m:t>j</m:t>
              </m:r>
              <m:r>
                <m:rPr>
                  <m:sty m:val="p"/>
                </m:rPr>
                <m:t>=</m:t>
              </m:r>
              <m:r>
                <m:t>1</m:t>
              </m:r>
            </m:sub>
            <m:sup>
              <m:r>
                <m:t>p</m:t>
              </m:r>
              <m:r>
                <m:rPr>
                  <m:sty m:val="p"/>
                </m:rPr>
                <m:t>−</m:t>
              </m:r>
              <m:r>
                <m:t>1</m:t>
              </m:r>
            </m:sup>
            <m:e>
              <m:sSub>
                <m:e>
                  <m:r>
                    <m:t>ψ</m:t>
                  </m:r>
                </m:e>
                <m:sub>
                  <m:r>
                    <m:t>j</m:t>
                  </m:r>
                </m:sub>
              </m:sSub>
            </m:e>
          </m:nary>
          <m:r>
            <m:rPr>
              <m:sty m:val="p"/>
            </m:rPr>
            <m:t>Δ</m:t>
          </m:r>
          <m:sSub>
            <m:e>
              <m:r>
                <m:t>y</m:t>
              </m:r>
            </m:e>
            <m:sub>
              <m:r>
                <m:t>t</m:t>
              </m:r>
              <m:r>
                <m:rPr>
                  <m:sty m:val="p"/>
                </m:rPr>
                <m:t>−</m:t>
              </m:r>
              <m:r>
                <m:t>j</m:t>
              </m:r>
            </m:sub>
          </m:sSub>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0</m:t>
                  </m:r>
                </m:sub>
                <m:sup>
                  <m:sSub>
                    <m:e>
                      <m:r>
                        <m:t>q</m:t>
                      </m:r>
                    </m:e>
                    <m:sub>
                      <m:r>
                        <m:t>i</m:t>
                      </m:r>
                    </m:sub>
                  </m:sSub>
                  <m:r>
                    <m:rPr>
                      <m:sty m:val="p"/>
                    </m:rPr>
                    <m:t>−</m:t>
                  </m:r>
                  <m:r>
                    <m:t>1</m:t>
                  </m:r>
                </m:sup>
                <m:e>
                  <m:sSub>
                    <m:e>
                      <m:r>
                        <m:t>γ</m:t>
                      </m:r>
                    </m:e>
                    <m:sub>
                      <m:r>
                        <m:t>i</m:t>
                      </m:r>
                      <m:r>
                        <m:rPr>
                          <m:sty m:val="p"/>
                        </m:rPr>
                        <m:t>,</m:t>
                      </m:r>
                      <m:r>
                        <m:t>j</m:t>
                      </m:r>
                    </m:sub>
                  </m:sSub>
                </m:e>
              </m:nary>
            </m:e>
          </m:nary>
          <m:r>
            <m:rPr>
              <m:sty m:val="p"/>
            </m:rPr>
            <m:t>Δ</m:t>
          </m:r>
          <m:sSub>
            <m:e>
              <m:r>
                <m:t>x</m:t>
              </m:r>
            </m:e>
            <m:sub>
              <m:r>
                <m:t>i</m:t>
              </m:r>
              <m:r>
                <m:rPr>
                  <m:sty m:val="p"/>
                </m:rPr>
                <m:t>,</m:t>
              </m:r>
              <m:r>
                <m:t>t</m:t>
              </m:r>
              <m:r>
                <m:rPr>
                  <m:sty m:val="p"/>
                </m:rPr>
                <m:t>−</m:t>
              </m:r>
              <m:r>
                <m:t>j</m:t>
              </m:r>
            </m:sub>
          </m:sSub>
          <m:r>
            <m:rPr>
              <m:sty m:val="p"/>
            </m:rPr>
            <m:t>+</m:t>
          </m:r>
          <m:sSub>
            <m:e>
              <m:r>
                <m:t>ϵ</m:t>
              </m:r>
            </m:e>
            <m:sub>
              <m:r>
                <m:t>t</m:t>
              </m:r>
            </m:sub>
          </m:sSub>
          <m:r>
            <m:t>  </m:t>
          </m:r>
          <m:r>
            <m:rPr>
              <m:sty m:val="p"/>
            </m:rPr>
            <m:t>(</m:t>
          </m:r>
          <m:r>
            <m:t>2</m:t>
          </m:r>
          <m:r>
            <m:rPr>
              <m:sty m:val="p"/>
            </m:rPr>
            <m:t>)</m:t>
          </m:r>
        </m:oMath>
      </m:oMathPara>
      <w:bookmarkEnd w:id="21"/>
    </w:p>
    <w:p>
      <w:pPr>
        <w:pStyle w:val="FirstParagraph"/>
      </w:pPr>
      <w:r>
        <w:t xml:space="preserve">Donde</w:t>
      </w:r>
      <w:r>
        <w:t xml:space="preserve"> </w:t>
      </w:r>
      <m:oMath>
        <m:sSub>
          <m:e>
            <m:r>
              <m:t>y</m:t>
            </m:r>
          </m:e>
          <m:sub>
            <m:r>
              <m:t>t</m:t>
            </m:r>
          </m:sub>
        </m:sSub>
      </m:oMath>
      <w:r>
        <w:t xml:space="preserve"> </w:t>
      </w:r>
      <w:r>
        <w:t xml:space="preserve">representa la variable dependiente genérica,</w:t>
      </w:r>
      <w:r>
        <w:t xml:space="preserve"> </w:t>
      </w:r>
      <m:oMath>
        <m:sSub>
          <m:e>
            <m:r>
              <m:t>x</m:t>
            </m:r>
          </m:e>
          <m:sub>
            <m:r>
              <m:t>i</m:t>
            </m:r>
            <m:r>
              <m:rPr>
                <m:sty m:val="p"/>
              </m:rPr>
              <m:t>,</m:t>
            </m:r>
            <m:r>
              <m:t>t</m:t>
            </m:r>
          </m:sub>
        </m:sSub>
      </m:oMath>
      <w:r>
        <w:t xml:space="preserve"> </w:t>
      </w:r>
      <w:r>
        <w:t xml:space="preserve">denota el vector de regresores explicativos,</w:t>
      </w:r>
      <w:r>
        <w:t xml:space="preserve"> </w:t>
      </w:r>
      <m:oMath>
        <m:r>
          <m:t>α</m:t>
        </m:r>
      </m:oMath>
      <w:r>
        <w:t xml:space="preserve"> </w:t>
      </w:r>
      <w:r>
        <w:t xml:space="preserve">y</w:t>
      </w:r>
      <w:r>
        <w:t xml:space="preserve"> </w:t>
      </w:r>
      <m:oMath>
        <m:sSub>
          <m:e>
            <m:r>
              <m:t>β</m:t>
            </m:r>
          </m:e>
          <m:sub>
            <m:r>
              <m:t>i</m:t>
            </m:r>
          </m:sub>
        </m:sSub>
      </m:oMath>
      <w:r>
        <w:t xml:space="preserve"> </w:t>
      </w:r>
      <w:r>
        <w:t xml:space="preserve">capturan la dinámica de largo plazo, y</w:t>
      </w:r>
      <w:r>
        <w:t xml:space="preserve"> </w:t>
      </w:r>
      <m:oMath>
        <m:sSub>
          <m:e>
            <m:r>
              <m:t>ψ</m:t>
            </m:r>
          </m:e>
          <m:sub>
            <m:r>
              <m:t>j</m:t>
            </m:r>
          </m:sub>
        </m:sSub>
      </m:oMath>
      <w:r>
        <w:t xml:space="preserve">,</w:t>
      </w:r>
      <w:r>
        <w:t xml:space="preserve"> </w:t>
      </w:r>
      <m:oMath>
        <m:sSub>
          <m:e>
            <m:r>
              <m:t>γ</m:t>
            </m:r>
          </m:e>
          <m:sub>
            <m:r>
              <m:t>i</m:t>
            </m:r>
            <m:r>
              <m:rPr>
                <m:sty m:val="p"/>
              </m:rPr>
              <m:t>,</m:t>
            </m:r>
            <m:r>
              <m:t>j</m:t>
            </m:r>
          </m:sub>
        </m:sSub>
      </m:oMath>
      <w:r>
        <w:t xml:space="preserve"> </w:t>
      </w:r>
      <w:r>
        <w:t xml:space="preserve">modelan las respuestas dinámicas de corto plazo. El contraste Wald-F conjunto evalúa la hipótesis nula de inexistencia de relación de largo plazo (</w:t>
      </w:r>
      <m:oMath>
        <m:sSub>
          <m:e>
            <m:r>
              <m:t>H</m:t>
            </m:r>
          </m:e>
          <m:sub>
            <m:r>
              <m:t>0</m:t>
            </m:r>
          </m:sub>
        </m:sSub>
        <m:r>
          <m:rPr>
            <m:sty m:val="p"/>
          </m:rPr>
          <m:t>:</m:t>
        </m:r>
        <m:r>
          <m:t>α</m:t>
        </m:r>
        <m:r>
          <m:rPr>
            <m:sty m:val="p"/>
          </m:rPr>
          <m:t>=</m:t>
        </m:r>
        <m:sSub>
          <m:e>
            <m:r>
              <m:t>β</m:t>
            </m:r>
          </m:e>
          <m:sub>
            <m:r>
              <m:t>1</m:t>
            </m:r>
          </m:sub>
        </m:sSub>
        <m:r>
          <m:rPr>
            <m:sty m:val="p"/>
          </m:rPr>
          <m:t>=</m:t>
        </m:r>
        <m:r>
          <m:rPr>
            <m:sty m:val="p"/>
          </m:rPr>
          <m:t>…</m:t>
        </m:r>
        <m:r>
          <m:rPr>
            <m:sty m:val="p"/>
          </m:rPr>
          <m:t>=</m:t>
        </m:r>
        <m:sSub>
          <m:e>
            <m:r>
              <m:t>β</m:t>
            </m:r>
          </m:e>
          <m:sub>
            <m:r>
              <m:t>K</m:t>
            </m:r>
          </m:sub>
        </m:sSub>
        <m:r>
          <m:rPr>
            <m:sty m:val="p"/>
          </m:rPr>
          <m:t>=</m:t>
        </m:r>
        <m:r>
          <m:t>0</m:t>
        </m:r>
      </m:oMath>
      <w:r>
        <w:t xml:space="preserve">) comparando el estadístico F calculado con las cotas críticas inferiores</w:t>
      </w:r>
      <w:r>
        <w:t xml:space="preserve"> </w:t>
      </w:r>
      <m:oMath>
        <m:r>
          <m:t>I</m:t>
        </m:r>
        <m:r>
          <m:rPr>
            <m:sty m:val="p"/>
          </m:rPr>
          <m:t>(</m:t>
        </m:r>
        <m:r>
          <m:t>0</m:t>
        </m:r>
        <m:r>
          <m:rPr>
            <m:sty m:val="p"/>
          </m:rPr>
          <m:t>)</m:t>
        </m:r>
      </m:oMath>
      <w:r>
        <w:t xml:space="preserve"> </w:t>
      </w:r>
      <w:r>
        <w:t xml:space="preserve">y superiores</w:t>
      </w:r>
      <w:r>
        <w:t xml:space="preserve"> </w:t>
      </w:r>
      <m:oMath>
        <m:r>
          <m:t>I</m:t>
        </m:r>
        <m:r>
          <m:rPr>
            <m:sty m:val="p"/>
          </m:rPr>
          <m:t>(</m:t>
        </m:r>
        <m:r>
          <m:t>1</m:t>
        </m:r>
        <m:r>
          <m:rPr>
            <m:sty m:val="p"/>
          </m:rPr>
          <m:t>)</m:t>
        </m:r>
      </m:oMath>
      <w:r>
        <w:t xml:space="preserve">. Ante la cointegración, derivo la velocidad de ajuste y el término de error rezagado (</w:t>
      </w:r>
      <m:oMath>
        <m:r>
          <m:t>E</m:t>
        </m:r>
        <m:r>
          <m:t>C</m:t>
        </m:r>
        <m:sSub>
          <m:e>
            <m:r>
              <m:t>T</m:t>
            </m:r>
          </m:e>
          <m:sub>
            <m:r>
              <m:t>t</m:t>
            </m:r>
            <m:r>
              <m:rPr>
                <m:sty m:val="p"/>
              </m:rPr>
              <m:t>−</m:t>
            </m:r>
            <m:r>
              <m:t>1</m:t>
            </m:r>
          </m:sub>
        </m:sSub>
      </m:oMath>
      <w:r>
        <w:t xml:space="preserve">) que mide el retorno al equilibrio dinámico.</w:t>
      </w:r>
    </w:p>
    <w:p>
      <w:pPr>
        <w:pStyle w:val="BodyText"/>
      </w:pPr>
      <w:r>
        <w:t xml:space="preserve">En paralelo, para sistemas multivariados puros donde todos los regresores son estrictamente integrados de primer orden</w:t>
      </w:r>
      <w:r>
        <w:t xml:space="preserve"> </w:t>
      </w:r>
      <m:oMath>
        <m:r>
          <m:t>I</m:t>
        </m:r>
        <m:r>
          <m:rPr>
            <m:sty m:val="p"/>
          </m:rPr>
          <m:t>(</m:t>
        </m:r>
        <m:r>
          <m:t>1</m:t>
        </m:r>
        <m:r>
          <m:rPr>
            <m:sty m:val="p"/>
          </m:rPr>
          <m:t>)</m:t>
        </m:r>
      </m:oMath>
      <w:r>
        <w:t xml:space="preserve">, empleo el enfoque de cointegración multivariante de</w:t>
      </w:r>
      <w:r>
        <w:t xml:space="preserve"> </w:t>
      </w:r>
      <w:r>
        <w:rPr>
          <w:b/>
          <w:bCs/>
        </w:rPr>
        <w:t xml:space="preserve">Johansen</w:t>
      </w:r>
      <w:r>
        <w:t xml:space="preserve">, formulado por</w:t>
      </w:r>
      <w:r>
        <w:t xml:space="preserve"> </w:t>
      </w:r>
      <w:r>
        <w:rPr>
          <w:b/>
          <w:bCs/>
        </w:rPr>
        <w:t xml:space="preserve">Søren Johansen (1988, 1991, 1995)</w:t>
      </w:r>
      <w:r>
        <w:t xml:space="preserve">. Este método determina la cantidad de vectores de cointegración linealmente independientes dentro de un sistema multivariado a través de estimaciones de máxima verosimilitud de la matriz de impacto en un Modelo de Corrección de Error Vectorial (VECM). Lo utilizo para diagnosticar y modelar múltiples trayectorias de equilibrio de largo plazo concurrentes. La especificación general la formulo como:</w:t>
      </w:r>
    </w:p>
    <w:p>
      <w:pPr>
        <w:pStyle w:val="BodyText"/>
      </w:pPr>
      <w:bookmarkStart w:id="22" w:name="eq-johansen"/>
      <m:oMathPara>
        <m:oMathParaPr>
          <m:jc m:val="center"/>
        </m:oMathParaPr>
        <m:oMath>
          <m:r>
            <m:rPr>
              <m:sty m:val="p"/>
            </m:rPr>
            <m:t>Δ</m:t>
          </m:r>
          <m:sSub>
            <m:e>
              <m:r>
                <m:rPr>
                  <m:sty m:val="b"/>
                </m:rPr>
                <m:t>y</m:t>
              </m:r>
            </m:e>
            <m:sub>
              <m:r>
                <m:t>t</m:t>
              </m:r>
            </m:sub>
          </m:sSub>
          <m:r>
            <m:rPr>
              <m:sty m:val="p"/>
            </m:rPr>
            <m:t>=</m:t>
          </m:r>
          <m:r>
            <m:rPr>
              <m:sty m:val="b"/>
            </m:rPr>
            <m:t>Π</m:t>
          </m:r>
          <m:sSub>
            <m:e>
              <m:r>
                <m:rPr>
                  <m:sty m:val="b"/>
                </m:rPr>
                <m:t>y</m:t>
              </m:r>
            </m:e>
            <m:sub>
              <m:r>
                <m:t>t</m:t>
              </m:r>
              <m:r>
                <m:rPr>
                  <m:sty m:val="p"/>
                </m:rPr>
                <m:t>−</m:t>
              </m:r>
              <m:r>
                <m:t>1</m:t>
              </m:r>
            </m:sub>
          </m:sSub>
          <m:r>
            <m:rPr>
              <m:sty m:val="p"/>
            </m:rPr>
            <m:t>+</m:t>
          </m:r>
          <m:nary>
            <m:naryPr>
              <m:chr m:val="∑"/>
              <m:limLoc m:val="undOvr"/>
              <m:subHide m:val="off"/>
              <m:supHide m:val="off"/>
            </m:naryPr>
            <m:sub>
              <m:r>
                <m:t>i</m:t>
              </m:r>
              <m:r>
                <m:rPr>
                  <m:sty m:val="p"/>
                </m:rPr>
                <m:t>=</m:t>
              </m:r>
              <m:r>
                <m:t>1</m:t>
              </m:r>
            </m:sub>
            <m:sup>
              <m:r>
                <m:t>p</m:t>
              </m:r>
              <m:r>
                <m:rPr>
                  <m:sty m:val="p"/>
                </m:rPr>
                <m:t>−</m:t>
              </m:r>
              <m:r>
                <m:t>1</m:t>
              </m:r>
            </m:sup>
            <m:e>
              <m:sSub>
                <m:e>
                  <m:r>
                    <m:rPr>
                      <m:sty m:val="b"/>
                    </m:rPr>
                    <m:t>Γ</m:t>
                  </m:r>
                </m:e>
                <m:sub>
                  <m:r>
                    <m:t>i</m:t>
                  </m:r>
                </m:sub>
              </m:sSub>
            </m:e>
          </m:nary>
          <m:r>
            <m:rPr>
              <m:sty m:val="p"/>
            </m:rPr>
            <m:t>Δ</m:t>
          </m:r>
          <m:sSub>
            <m:e>
              <m:r>
                <m:rPr>
                  <m:sty m:val="b"/>
                </m:rPr>
                <m:t>y</m:t>
              </m:r>
            </m:e>
            <m:sub>
              <m:r>
                <m:t>t</m:t>
              </m:r>
              <m:r>
                <m:rPr>
                  <m:sty m:val="p"/>
                </m:rPr>
                <m:t>−</m:t>
              </m:r>
              <m:r>
                <m:t>i</m:t>
              </m:r>
            </m:sub>
          </m:sSub>
          <m:r>
            <m:rPr>
              <m:sty m:val="p"/>
            </m:rPr>
            <m:t>+</m:t>
          </m:r>
          <m:r>
            <m:rPr>
              <m:sty m:val="b"/>
            </m:rPr>
            <m:t>C</m:t>
          </m:r>
          <m:sSub>
            <m:e>
              <m:r>
                <m:rPr>
                  <m:sty m:val="b"/>
                </m:rPr>
                <m:t>d</m:t>
              </m:r>
            </m:e>
            <m:sub>
              <m:r>
                <m:t>t</m:t>
              </m:r>
            </m:sub>
          </m:sSub>
          <m:r>
            <m:rPr>
              <m:sty m:val="p"/>
            </m:rPr>
            <m:t>+</m:t>
          </m:r>
          <m:sSub>
            <m:e>
              <m:r>
                <m:rPr>
                  <m:sty m:val="b"/>
                </m:rPr>
                <m:t>ε</m:t>
              </m:r>
            </m:e>
            <m:sub>
              <m:r>
                <m:t>t</m:t>
              </m:r>
            </m:sub>
          </m:sSub>
          <m:r>
            <m:t>  </m:t>
          </m:r>
          <m:r>
            <m:rPr>
              <m:sty m:val="p"/>
            </m:rPr>
            <m:t>(</m:t>
          </m:r>
          <m:r>
            <m:t>3</m:t>
          </m:r>
          <m:r>
            <m:rPr>
              <m:sty m:val="p"/>
            </m:rPr>
            <m:t>)</m:t>
          </m:r>
        </m:oMath>
      </m:oMathPara>
      <w:bookmarkEnd w:id="22"/>
    </w:p>
    <w:p>
      <w:pPr>
        <w:pStyle w:val="FirstParagraph"/>
      </w:pPr>
      <w:r>
        <w:t xml:space="preserve">Donde</w:t>
      </w:r>
      <w:r>
        <w:t xml:space="preserve"> </w:t>
      </w:r>
      <m:oMath>
        <m:sSub>
          <m:e>
            <m:r>
              <m:rPr>
                <m:sty m:val="b"/>
              </m:rPr>
              <m:t>y</m:t>
            </m:r>
          </m:e>
          <m:sub>
            <m:r>
              <m:t>t</m:t>
            </m:r>
          </m:sub>
        </m:sSub>
      </m:oMath>
      <w:r>
        <w:t xml:space="preserve"> </w:t>
      </w:r>
      <w:r>
        <w:t xml:space="preserve">es el vector de variables endógenas,</w:t>
      </w:r>
      <w:r>
        <w:t xml:space="preserve"> </w:t>
      </w:r>
      <m:oMath>
        <m:r>
          <m:rPr>
            <m:sty m:val="b"/>
          </m:rPr>
          <m:t>Π</m:t>
        </m:r>
        <m:r>
          <m:rPr>
            <m:sty m:val="p"/>
          </m:rPr>
          <m:t>=</m:t>
        </m:r>
        <m:r>
          <m:rPr>
            <m:sty m:val="b"/>
          </m:rPr>
          <m:t>α</m:t>
        </m:r>
        <m:sSup>
          <m:e>
            <m:r>
              <m:rPr>
                <m:sty m:val="b"/>
              </m:rPr>
              <m:t>β</m:t>
            </m:r>
          </m:e>
          <m:sup>
            <m:r>
              <m:rPr>
                <m:sty m:val="p"/>
              </m:rPr>
              <m:t>′</m:t>
            </m:r>
          </m:sup>
        </m:sSup>
      </m:oMath>
      <w:r>
        <w:t xml:space="preserve"> </w:t>
      </w:r>
      <w:r>
        <w:t xml:space="preserve">es la matriz de impacto de largo plazo,</w:t>
      </w:r>
      <w:r>
        <w:t xml:space="preserve"> </w:t>
      </w:r>
      <m:oMath>
        <m:sSub>
          <m:e>
            <m:r>
              <m:rPr>
                <m:sty m:val="b"/>
              </m:rPr>
              <m:t>Γ</m:t>
            </m:r>
          </m:e>
          <m:sub>
            <m:r>
              <m:t>i</m:t>
            </m:r>
          </m:sub>
        </m:sSub>
      </m:oMath>
      <w:r>
        <w:t xml:space="preserve"> </w:t>
      </w:r>
      <w:r>
        <w:t xml:space="preserve">recoge los coeficientes del corto plazo y</w:t>
      </w:r>
      <w:r>
        <w:t xml:space="preserve"> </w:t>
      </w:r>
      <m:oMath>
        <m:sSub>
          <m:e>
            <m:r>
              <m:rPr>
                <m:sty m:val="b"/>
              </m:rPr>
              <m:t>d</m:t>
            </m:r>
          </m:e>
          <m:sub>
            <m:r>
              <m:t>t</m:t>
            </m:r>
          </m:sub>
        </m:sSub>
      </m:oMath>
      <w:r>
        <w:t xml:space="preserve"> </w:t>
      </w:r>
      <w:r>
        <w:t xml:space="preserve">los términos deterministas. Adicionalmente, aplico pruebas de cointegración con quiebre estructural de Gregory y Hansen (1996) para modelar cambios de régimen de largo plazo, y la validación no paramétrica robusta</w:t>
      </w:r>
      <w:r>
        <w:t xml:space="preserve"> </w:t>
      </w:r>
      <w:r>
        <w:rPr>
          <w:b/>
          <w:bCs/>
        </w:rPr>
        <w:t xml:space="preserve">Kernel-based Regularized Least Squares (KRLS)</w:t>
      </w:r>
      <w:r>
        <w:t xml:space="preserve"> </w:t>
      </w:r>
      <w:r>
        <w:t xml:space="preserve">de Hainmueller y Hazlett (2014) ante no linealidades en el sistema.</w:t>
      </w:r>
    </w:p>
    <w:p>
      <w:pPr>
        <w:pStyle w:val="BodyText"/>
      </w:pPr>
      <w:r>
        <w:t xml:space="preserve">La precedencia temporal y la dirección causal entre las variables las examino mediante la prueba de</w:t>
      </w:r>
      <w:r>
        <w:t xml:space="preserve"> </w:t>
      </w:r>
      <w:r>
        <w:rPr>
          <w:b/>
          <w:bCs/>
        </w:rPr>
        <w:t xml:space="preserve">Causalidad de Granger</w:t>
      </w:r>
      <w:r>
        <w:t xml:space="preserve">, formulada por</w:t>
      </w:r>
      <w:r>
        <w:t xml:space="preserve"> </w:t>
      </w:r>
      <w:r>
        <w:rPr>
          <w:b/>
          <w:bCs/>
        </w:rPr>
        <w:t xml:space="preserve">Clive Granger (1969)</w:t>
      </w:r>
      <w:r>
        <w:t xml:space="preserve">. Esta prueba evalúa si los valores rezagados de una variable contribuyen a predecir el comportamiento actual de otra, controlando por la historia de esta última. La utilizo para clarificar el flujo de precedencia temporal entre el entorno fiscal/seguridad y la afiliación, estimando la regresión auxiliar bivariada generalizada en un marco VAR:</w:t>
      </w:r>
    </w:p>
    <w:p>
      <w:pPr>
        <w:pStyle w:val="BodyText"/>
      </w:pPr>
      <w:bookmarkStart w:id="23" w:name="eq-granger-var"/>
      <m:oMathPara>
        <m:oMathParaPr>
          <m:jc m:val="center"/>
        </m:oMathParaPr>
        <m:oMath>
          <m:sSub>
            <m:e>
              <m:r>
                <m:t>y</m:t>
              </m:r>
            </m:e>
            <m:sub>
              <m:r>
                <m:t>t</m:t>
              </m:r>
            </m:sub>
          </m:sSub>
          <m:r>
            <m:rPr>
              <m:sty m:val="p"/>
            </m:rPr>
            <m:t>=</m:t>
          </m:r>
          <m:sSub>
            <m:e>
              <m:r>
                <m:t>α</m:t>
              </m:r>
            </m:e>
            <m:sub>
              <m:r>
                <m:t>0</m:t>
              </m:r>
            </m:sub>
          </m:sSub>
          <m:r>
            <m:rPr>
              <m:sty m:val="p"/>
            </m:rPr>
            <m:t>+</m:t>
          </m:r>
          <m:nary>
            <m:naryPr>
              <m:chr m:val="∑"/>
              <m:limLoc m:val="undOvr"/>
              <m:subHide m:val="off"/>
              <m:supHide m:val="off"/>
            </m:naryPr>
            <m:sub>
              <m:r>
                <m:t>i</m:t>
              </m:r>
              <m:r>
                <m:rPr>
                  <m:sty m:val="p"/>
                </m:rPr>
                <m:t>=</m:t>
              </m:r>
              <m:r>
                <m:t>1</m:t>
              </m:r>
            </m:sub>
            <m:sup>
              <m:r>
                <m:t>p</m:t>
              </m:r>
            </m:sup>
            <m:e>
              <m:sSub>
                <m:e>
                  <m:r>
                    <m:t>β</m:t>
                  </m:r>
                </m:e>
                <m:sub>
                  <m:r>
                    <m:t>i</m:t>
                  </m:r>
                </m:sub>
              </m:sSub>
            </m:e>
          </m:nary>
          <m:sSub>
            <m:e>
              <m:r>
                <m:t>y</m:t>
              </m:r>
            </m:e>
            <m:sub>
              <m:r>
                <m:t>t</m:t>
              </m:r>
              <m:r>
                <m:rPr>
                  <m:sty m:val="p"/>
                </m:rPr>
                <m:t>−</m:t>
              </m:r>
              <m:r>
                <m:t>i</m:t>
              </m:r>
            </m:sub>
          </m:sSub>
          <m:r>
            <m:rPr>
              <m:sty m:val="p"/>
            </m:rPr>
            <m:t>+</m:t>
          </m:r>
          <m:nary>
            <m:naryPr>
              <m:chr m:val="∑"/>
              <m:limLoc m:val="undOvr"/>
              <m:subHide m:val="off"/>
              <m:supHide m:val="off"/>
            </m:naryPr>
            <m:sub>
              <m:r>
                <m:t>j</m:t>
              </m:r>
              <m:r>
                <m:rPr>
                  <m:sty m:val="p"/>
                </m:rPr>
                <m:t>=</m:t>
              </m:r>
              <m:r>
                <m:t>1</m:t>
              </m:r>
            </m:sub>
            <m:sup>
              <m:r>
                <m:t>p</m:t>
              </m:r>
            </m:sup>
            <m:e>
              <m:sSub>
                <m:e>
                  <m:r>
                    <m:t>γ</m:t>
                  </m:r>
                </m:e>
                <m:sub>
                  <m:r>
                    <m:t>j</m:t>
                  </m:r>
                </m:sub>
              </m:sSub>
            </m:e>
          </m:nary>
          <m:sSub>
            <m:e>
              <m:r>
                <m:t>x</m:t>
              </m:r>
            </m:e>
            <m:sub>
              <m:r>
                <m:t>t</m:t>
              </m:r>
              <m:r>
                <m:rPr>
                  <m:sty m:val="p"/>
                </m:rPr>
                <m:t>−</m:t>
              </m:r>
              <m:r>
                <m:t>j</m:t>
              </m:r>
            </m:sub>
          </m:sSub>
          <m:r>
            <m:rPr>
              <m:sty m:val="p"/>
            </m:rPr>
            <m:t>+</m:t>
          </m:r>
          <m:sSub>
            <m:e>
              <m:r>
                <m:t>ε</m:t>
              </m:r>
            </m:e>
            <m:sub>
              <m:r>
                <m:t>t</m:t>
              </m:r>
            </m:sub>
          </m:sSub>
          <m:r>
            <m:t>  </m:t>
          </m:r>
          <m:r>
            <m:rPr>
              <m:sty m:val="p"/>
            </m:rPr>
            <m:t>(</m:t>
          </m:r>
          <m:r>
            <m:t>4</m:t>
          </m:r>
          <m:r>
            <m:rPr>
              <m:sty m:val="p"/>
            </m:rPr>
            <m:t>)</m:t>
          </m:r>
        </m:oMath>
      </m:oMathPara>
      <w:bookmarkEnd w:id="23"/>
    </w:p>
    <w:p>
      <w:pPr>
        <w:pStyle w:val="FirstParagraph"/>
      </w:pPr>
      <w:r>
        <w:t xml:space="preserve">Donde la hipótesis nula establece la ausencia de causalidad de Granger de</w:t>
      </w:r>
      <w:r>
        <w:t xml:space="preserve"> </w:t>
      </w:r>
      <m:oMath>
        <m:sSub>
          <m:e>
            <m:r>
              <m:t>x</m:t>
            </m:r>
          </m:e>
          <m:sub>
            <m:r>
              <m:t>t</m:t>
            </m:r>
          </m:sub>
        </m:sSub>
      </m:oMath>
      <w:r>
        <w:t xml:space="preserve"> </w:t>
      </w:r>
      <w:r>
        <w:t xml:space="preserve">hacia</w:t>
      </w:r>
      <w:r>
        <w:t xml:space="preserve"> </w:t>
      </w:r>
      <m:oMath>
        <m:sSub>
          <m:e>
            <m:r>
              <m:t>y</m:t>
            </m:r>
          </m:e>
          <m:sub>
            <m:r>
              <m:t>t</m:t>
            </m:r>
          </m:sub>
        </m:sSub>
      </m:oMath>
      <w:r>
        <w:t xml:space="preserve"> </w:t>
      </w:r>
      <w:r>
        <w:t xml:space="preserve">(</w:t>
      </w:r>
      <m:oMath>
        <m:sSub>
          <m:e>
            <m:r>
              <m:t>H</m:t>
            </m:r>
          </m:e>
          <m:sub>
            <m:r>
              <m:t>0</m:t>
            </m:r>
          </m:sub>
        </m:sSub>
        <m:r>
          <m:rPr>
            <m:sty m:val="p"/>
          </m:rPr>
          <m:t>:</m:t>
        </m:r>
        <m:sSub>
          <m:e>
            <m:r>
              <m:t>γ</m:t>
            </m:r>
          </m:e>
          <m:sub>
            <m:r>
              <m:t>1</m:t>
            </m:r>
          </m:sub>
        </m:sSub>
        <m:r>
          <m:rPr>
            <m:sty m:val="p"/>
          </m:rPr>
          <m:t>=</m:t>
        </m:r>
        <m:r>
          <m:rPr>
            <m:sty m:val="p"/>
          </m:rPr>
          <m:t>…</m:t>
        </m:r>
        <m:r>
          <m:rPr>
            <m:sty m:val="p"/>
          </m:rPr>
          <m:t>=</m:t>
        </m:r>
        <m:sSub>
          <m:e>
            <m:r>
              <m:t>γ</m:t>
            </m:r>
          </m:e>
          <m:sub>
            <m:r>
              <m:t>p</m:t>
            </m:r>
          </m:sub>
        </m:sSub>
        <m:r>
          <m:rPr>
            <m:sty m:val="p"/>
          </m:rPr>
          <m:t>=</m:t>
        </m:r>
        <m:r>
          <m:t>0</m:t>
        </m:r>
      </m:oMath>
      <w:r>
        <w:t xml:space="preserve">). En caso de cointegración, extiendo el análisis al marco de causalidad multivariante del VECM y causalidad espectral de Breitung y Candelon (2006) en el dominio de la frecuencia para evaluar las relaciones dinámicas en horizontes de corto y largo plazo.</w:t>
      </w:r>
    </w:p>
    <w:p>
      <w:pPr>
        <w:pStyle w:val="BodyText"/>
      </w:pPr>
      <w:r>
        <w:t xml:space="preserve">El soporte computacional y la estimación se sustentan en desarrollos científicos consolidados. Para la prueba KPSS adopto el algoritmo de Baum (1998); estimo el modelo ARDL mediante la especificación de Kripfganz y Schneider (2023); para las pruebas de raíz unitaria tradicionales y de cointegración multivariante de Johansen sigo las directrices de StataCorp (2023) mediante sus módulos estándar</w:t>
      </w:r>
      <w:r>
        <w:t xml:space="preserve"> </w:t>
      </w:r>
      <w:r>
        <w:rPr>
          <w:rStyle w:val="VerbatimChar"/>
        </w:rPr>
        <w:t xml:space="preserve">dfuller</w:t>
      </w:r>
      <w:r>
        <w:t xml:space="preserve">,</w:t>
      </w:r>
      <w:r>
        <w:t xml:space="preserve"> </w:t>
      </w:r>
      <w:r>
        <w:rPr>
          <w:rStyle w:val="VerbatimChar"/>
        </w:rPr>
        <w:t xml:space="preserve">pperron</w:t>
      </w:r>
      <w:r>
        <w:t xml:space="preserve"> </w:t>
      </w:r>
      <w:r>
        <w:t xml:space="preserve">y</w:t>
      </w:r>
      <w:r>
        <w:t xml:space="preserve"> </w:t>
      </w:r>
      <w:r>
        <w:rPr>
          <w:rStyle w:val="VerbatimChar"/>
        </w:rPr>
        <w:t xml:space="preserve">vec</w:t>
      </w:r>
      <w:r>
        <w:t xml:space="preserve">. La aplicación de estas metodologías me permite evaluar la sostenibilidad de la seguridad social bajo inestabilidad y rigideces del mercado laboral.</w:t>
      </w:r>
    </w:p>
    <w:bookmarkEnd w:id="24"/>
    <w:bookmarkEnd w:id="25"/>
    <w:bookmarkStart w:id="41" w:name="resultados-y-discusión"/>
    <w:p>
      <w:pPr>
        <w:pStyle w:val="Heading1"/>
      </w:pPr>
      <w:r>
        <w:t xml:space="preserve">4. Resultados y discusión</w:t>
      </w:r>
    </w:p>
    <w:p>
      <w:pPr>
        <w:pStyle w:val="FirstParagraph"/>
      </w:pPr>
      <w:r>
        <w:t xml:space="preserve">En esta sección presento y discuto las estimaciones del modelo econométrico. Desarrollo el análisis de manera secuencial, iniciando con los diagnósticos de especificación dinámica para luego evaluar las relaciones de corto y largo plazo, culminando con la discusión teórica de los hallazgos.</w:t>
      </w:r>
    </w:p>
    <w:p>
      <w:pPr>
        <w:pStyle w:val="BodyText"/>
      </w:pPr>
      <w:r>
        <w:t xml:space="preserve">Para determinar la estructura temporal idónea del sistema lineal multivariado (VAR), evalúo los criterios de información estándar expuestos en la Tabla</w:t>
      </w:r>
      <w:r>
        <w:t xml:space="preserve"> </w:t>
      </w:r>
      <w:hyperlink w:anchor="tbl-rezagos">
        <w:r>
          <w:rPr>
            <w:rStyle w:val="Hyperlink"/>
          </w:rPr>
          <w:t xml:space="preserve">Tabla 4</w:t>
        </w:r>
      </w:hyperlink>
      <w:r>
        <w:t xml:space="preserve">. La longitud óptima seleccionada unánimemente por los criterios de AIC, HQIC y SBIC es de 4 rezagos, lo que garantiza residuos libres de correlación serial y preserva la parsimonia en una muestra anual.</w:t>
      </w:r>
    </w:p>
    <w:tbl>
      <w:tblPr>
        <w:tblStyle w:val="Table"/>
        <w:tblW w:type="pct" w:w="5000"/>
        <w:tblLayout w:type="fixed"/>
        <w:tblLook w:firstRow="0" w:lastRow="0" w:firstColumn="0" w:lastColumn="0" w:noHBand="0" w:noVBand="0" w:val="0000"/>
      </w:tblPr>
      <w:tblGrid>
        <w:gridCol w:w="7920"/>
      </w:tblGrid>
      <w:tr>
        <w:tc>
          <w:tcPr/>
          <w:bookmarkStart w:id="26" w:name="tbl-rezagos"/>
          <w:p>
            <w:pPr>
              <w:jc w:val="center"/>
            </w:pPr>
            <w:pPr>
              <w:jc w:val="left"/>
              <w:spacing w:before="200"/>
              <w:pStyle w:val="ImageCaption"/>
            </w:pPr>
            <w:r>
              <w:t xml:space="preserve">Tabla 4: Criterios de Selección de Orden de Rezagos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jc w:val="center"/>
                  </w:pPr>
                  <w:r>
                    <w:t xml:space="preserve">Lag</w:t>
                  </w:r>
                </w:p>
              </w:tc>
              <w:tc>
                <w:tcPr/>
                <w:p>
                  <w:pPr>
                    <w:pStyle w:val="Compact"/>
                    <w:jc w:val="center"/>
                    <w:jc w:val="center"/>
                  </w:pPr>
                  <w:r>
                    <w:t xml:space="preserve">LL</w:t>
                  </w:r>
                </w:p>
              </w:tc>
              <w:tc>
                <w:tcPr/>
                <w:p>
                  <w:pPr>
                    <w:pStyle w:val="Compact"/>
                    <w:jc w:val="center"/>
                    <w:jc w:val="center"/>
                  </w:pPr>
                  <w:r>
                    <w:t xml:space="preserve">LR</w:t>
                  </w:r>
                </w:p>
              </w:tc>
              <w:tc>
                <w:tcPr/>
                <w:p>
                  <w:pPr>
                    <w:pStyle w:val="Compact"/>
                    <w:jc w:val="center"/>
                    <w:jc w:val="center"/>
                  </w:pPr>
                  <w:r>
                    <w:t xml:space="preserve">df</w:t>
                  </w:r>
                </w:p>
              </w:tc>
              <w:tc>
                <w:tcPr/>
                <w:p>
                  <w:pPr>
                    <w:pStyle w:val="Compact"/>
                    <w:jc w:val="center"/>
                    <w:jc w:val="center"/>
                  </w:pPr>
                  <w:r>
                    <w:t xml:space="preserve">p</w:t>
                  </w:r>
                </w:p>
              </w:tc>
              <w:tc>
                <w:tcPr/>
                <w:p>
                  <w:pPr>
                    <w:pStyle w:val="Compact"/>
                    <w:jc w:val="center"/>
                    <w:jc w:val="center"/>
                  </w:pPr>
                  <w:r>
                    <w:t xml:space="preserve">FPE</w:t>
                  </w:r>
                </w:p>
              </w:tc>
              <w:tc>
                <w:tcPr/>
                <w:p>
                  <w:pPr>
                    <w:pStyle w:val="Compact"/>
                    <w:jc w:val="center"/>
                    <w:jc w:val="center"/>
                  </w:pPr>
                  <w:r>
                    <w:t xml:space="preserve">AIC</w:t>
                  </w:r>
                </w:p>
              </w:tc>
              <w:tc>
                <w:tcPr/>
                <w:p>
                  <w:pPr>
                    <w:pStyle w:val="Compact"/>
                    <w:jc w:val="center"/>
                    <w:jc w:val="center"/>
                  </w:pPr>
                  <w:r>
                    <w:t xml:space="preserve">HQIC</w:t>
                  </w:r>
                </w:p>
              </w:tc>
              <w:tc>
                <w:tcPr/>
                <w:p>
                  <w:pPr>
                    <w:pStyle w:val="Compact"/>
                    <w:jc w:val="center"/>
                    <w:jc w:val="center"/>
                  </w:pPr>
                  <w:r>
                    <w:t xml:space="preserve">SBIC</w:t>
                  </w:r>
                </w:p>
              </w:tc>
            </w:tr>
            <w:tr>
              <w:tc>
                <w:tcPr/>
                <w:p>
                  <w:pPr>
                    <w:pStyle w:val="Compact"/>
                    <w:jc w:val="center"/>
                    <w:jc w:val="center"/>
                  </w:pPr>
                  <w:r>
                    <w:t xml:space="preserve">0</w:t>
                  </w:r>
                </w:p>
              </w:tc>
              <w:tc>
                <w:tcPr/>
                <w:p>
                  <w:pPr>
                    <w:pStyle w:val="Compact"/>
                    <w:jc w:val="center"/>
                    <w:jc w:val="center"/>
                  </w:pPr>
                  <w:r>
                    <w:t xml:space="preserve">-358.45</w:t>
                  </w:r>
                </w:p>
              </w:tc>
              <w:tc>
                <w:tcPr/>
                <w:p>
                  <w:pPr>
                    <w:pStyle w:val="Compact"/>
                  </w:pPr>
                </w:p>
              </w:tc>
              <w:tc>
                <w:tcPr/>
                <w:p>
                  <w:pPr>
                    <w:pStyle w:val="Compact"/>
                  </w:pPr>
                </w:p>
              </w:tc>
              <w:tc>
                <w:tcPr/>
                <w:p>
                  <w:pPr>
                    <w:pStyle w:val="Compact"/>
                  </w:pPr>
                </w:p>
              </w:tc>
              <w:tc>
                <w:tcPr/>
                <w:p>
                  <w:pPr>
                    <w:pStyle w:val="Compact"/>
                    <w:jc w:val="center"/>
                    <w:jc w:val="center"/>
                  </w:pPr>
                  <w:r>
                    <w:t xml:space="preserve">10499.4</w:t>
                  </w:r>
                </w:p>
              </w:tc>
              <w:tc>
                <w:tcPr/>
                <w:p>
                  <w:pPr>
                    <w:pStyle w:val="Compact"/>
                    <w:jc w:val="center"/>
                    <w:jc w:val="center"/>
                  </w:pPr>
                  <w:r>
                    <w:t xml:space="preserve">23.45</w:t>
                  </w:r>
                </w:p>
              </w:tc>
              <w:tc>
                <w:tcPr/>
                <w:p>
                  <w:pPr>
                    <w:pStyle w:val="Compact"/>
                    <w:jc w:val="center"/>
                    <w:jc w:val="center"/>
                  </w:pPr>
                  <w:r>
                    <w:t xml:space="preserve">23.52</w:t>
                  </w:r>
                </w:p>
              </w:tc>
              <w:tc>
                <w:tcPr/>
                <w:p>
                  <w:pPr>
                    <w:pStyle w:val="Compact"/>
                    <w:jc w:val="center"/>
                    <w:jc w:val="center"/>
                  </w:pPr>
                  <w:r>
                    <w:t xml:space="preserve">23.68</w:t>
                  </w:r>
                </w:p>
              </w:tc>
            </w:tr>
            <w:tr>
              <w:tc>
                <w:tcPr/>
                <w:p>
                  <w:pPr>
                    <w:pStyle w:val="Compact"/>
                    <w:jc w:val="center"/>
                    <w:jc w:val="center"/>
                  </w:pPr>
                  <w:r>
                    <w:t xml:space="preserve">1</w:t>
                  </w:r>
                </w:p>
              </w:tc>
              <w:tc>
                <w:tcPr/>
                <w:p>
                  <w:pPr>
                    <w:pStyle w:val="Compact"/>
                    <w:jc w:val="center"/>
                    <w:jc w:val="center"/>
                  </w:pPr>
                  <w:r>
                    <w:t xml:space="preserve">-184.28</w:t>
                  </w:r>
                </w:p>
              </w:tc>
              <w:tc>
                <w:tcPr/>
                <w:p>
                  <w:pPr>
                    <w:pStyle w:val="Compact"/>
                    <w:jc w:val="center"/>
                    <w:jc w:val="center"/>
                  </w:pPr>
                  <w:r>
                    <w:t xml:space="preserve">348.33</w:t>
                  </w:r>
                </w:p>
              </w:tc>
              <w:tc>
                <w:tcPr/>
                <w:p>
                  <w:pPr>
                    <w:pStyle w:val="Compact"/>
                    <w:jc w:val="center"/>
                    <w:jc w:val="center"/>
                  </w:pPr>
                  <w:r>
                    <w:t xml:space="preserve">25</w:t>
                  </w:r>
                </w:p>
              </w:tc>
              <w:tc>
                <w:tcPr/>
                <w:p>
                  <w:pPr>
                    <w:pStyle w:val="Compact"/>
                    <w:jc w:val="center"/>
                    <w:jc w:val="center"/>
                  </w:pPr>
                  <w:r>
                    <w:t xml:space="preserve">0.000</w:t>
                  </w:r>
                </w:p>
              </w:tc>
              <w:tc>
                <w:tcPr/>
                <w:p>
                  <w:pPr>
                    <w:pStyle w:val="Compact"/>
                    <w:jc w:val="center"/>
                    <w:jc w:val="center"/>
                  </w:pPr>
                  <w:r>
                    <w:t xml:space="preserve">0.7117</w:t>
                  </w:r>
                </w:p>
              </w:tc>
              <w:tc>
                <w:tcPr/>
                <w:p>
                  <w:pPr>
                    <w:pStyle w:val="Compact"/>
                    <w:jc w:val="center"/>
                    <w:jc w:val="center"/>
                  </w:pPr>
                  <w:r>
                    <w:t xml:space="preserve">13.82</w:t>
                  </w:r>
                </w:p>
              </w:tc>
              <w:tc>
                <w:tcPr/>
                <w:p>
                  <w:pPr>
                    <w:pStyle w:val="Compact"/>
                    <w:jc w:val="center"/>
                    <w:jc w:val="center"/>
                  </w:pPr>
                  <w:r>
                    <w:t xml:space="preserve">14.28</w:t>
                  </w:r>
                </w:p>
              </w:tc>
              <w:tc>
                <w:tcPr/>
                <w:p>
                  <w:pPr>
                    <w:pStyle w:val="Compact"/>
                    <w:jc w:val="center"/>
                    <w:jc w:val="center"/>
                  </w:pPr>
                  <w:r>
                    <w:t xml:space="preserve">15.21</w:t>
                  </w:r>
                </w:p>
              </w:tc>
            </w:tr>
            <w:tr>
              <w:tc>
                <w:tcPr/>
                <w:p>
                  <w:pPr>
                    <w:pStyle w:val="Compact"/>
                    <w:jc w:val="center"/>
                    <w:jc w:val="center"/>
                  </w:pPr>
                  <w:r>
                    <w:t xml:space="preserve">2</w:t>
                  </w:r>
                </w:p>
              </w:tc>
              <w:tc>
                <w:tcPr/>
                <w:p>
                  <w:pPr>
                    <w:pStyle w:val="Compact"/>
                    <w:jc w:val="center"/>
                    <w:jc w:val="center"/>
                  </w:pPr>
                  <w:r>
                    <w:t xml:space="preserve">-134.30</w:t>
                  </w:r>
                </w:p>
              </w:tc>
              <w:tc>
                <w:tcPr/>
                <w:p>
                  <w:pPr>
                    <w:pStyle w:val="Compact"/>
                    <w:jc w:val="center"/>
                    <w:jc w:val="center"/>
                  </w:pPr>
                  <w:r>
                    <w:t xml:space="preserve">99.96</w:t>
                  </w:r>
                </w:p>
              </w:tc>
              <w:tc>
                <w:tcPr/>
                <w:p>
                  <w:pPr>
                    <w:pStyle w:val="Compact"/>
                    <w:jc w:val="center"/>
                    <w:jc w:val="center"/>
                  </w:pPr>
                  <w:r>
                    <w:t xml:space="preserve">25</w:t>
                  </w:r>
                </w:p>
              </w:tc>
              <w:tc>
                <w:tcPr/>
                <w:p>
                  <w:pPr>
                    <w:pStyle w:val="Compact"/>
                    <w:jc w:val="center"/>
                    <w:jc w:val="center"/>
                  </w:pPr>
                  <w:r>
                    <w:t xml:space="preserve">0.000</w:t>
                  </w:r>
                </w:p>
              </w:tc>
              <w:tc>
                <w:tcPr/>
                <w:p>
                  <w:pPr>
                    <w:pStyle w:val="Compact"/>
                    <w:jc w:val="center"/>
                    <w:jc w:val="center"/>
                  </w:pPr>
                  <w:r>
                    <w:t xml:space="preserve">0.1628</w:t>
                  </w:r>
                </w:p>
              </w:tc>
              <w:tc>
                <w:tcPr/>
                <w:p>
                  <w:pPr>
                    <w:pStyle w:val="Compact"/>
                    <w:jc w:val="center"/>
                    <w:jc w:val="center"/>
                  </w:pPr>
                  <w:r>
                    <w:t xml:space="preserve">12.21</w:t>
                  </w:r>
                </w:p>
              </w:tc>
              <w:tc>
                <w:tcPr/>
                <w:p>
                  <w:pPr>
                    <w:pStyle w:val="Compact"/>
                    <w:jc w:val="center"/>
                    <w:jc w:val="center"/>
                  </w:pPr>
                  <w:r>
                    <w:t xml:space="preserve">13.04</w:t>
                  </w:r>
                </w:p>
              </w:tc>
              <w:tc>
                <w:tcPr/>
                <w:p>
                  <w:pPr>
                    <w:pStyle w:val="Compact"/>
                    <w:jc w:val="center"/>
                    <w:jc w:val="center"/>
                  </w:pPr>
                  <w:r>
                    <w:t xml:space="preserve">14.76</w:t>
                  </w:r>
                </w:p>
              </w:tc>
            </w:tr>
            <w:tr>
              <w:tc>
                <w:tcPr/>
                <w:p>
                  <w:pPr>
                    <w:pStyle w:val="Compact"/>
                    <w:jc w:val="center"/>
                    <w:jc w:val="center"/>
                  </w:pPr>
                  <w:r>
                    <w:t xml:space="preserve">3</w:t>
                  </w:r>
                </w:p>
              </w:tc>
              <w:tc>
                <w:tcPr/>
                <w:p>
                  <w:pPr>
                    <w:pStyle w:val="Compact"/>
                    <w:jc w:val="center"/>
                    <w:jc w:val="center"/>
                  </w:pPr>
                  <w:r>
                    <w:t xml:space="preserve">-89.20</w:t>
                  </w:r>
                </w:p>
              </w:tc>
              <w:tc>
                <w:tcPr/>
                <w:p>
                  <w:pPr>
                    <w:pStyle w:val="Compact"/>
                    <w:jc w:val="center"/>
                    <w:jc w:val="center"/>
                  </w:pPr>
                  <w:r>
                    <w:t xml:space="preserve">90.21</w:t>
                  </w:r>
                </w:p>
              </w:tc>
              <w:tc>
                <w:tcPr/>
                <w:p>
                  <w:pPr>
                    <w:pStyle w:val="Compact"/>
                    <w:jc w:val="center"/>
                    <w:jc w:val="center"/>
                  </w:pPr>
                  <w:r>
                    <w:t xml:space="preserve">25</w:t>
                  </w:r>
                </w:p>
              </w:tc>
              <w:tc>
                <w:tcPr/>
                <w:p>
                  <w:pPr>
                    <w:pStyle w:val="Compact"/>
                    <w:jc w:val="center"/>
                    <w:jc w:val="center"/>
                  </w:pPr>
                  <w:r>
                    <w:t xml:space="preserve">0.000</w:t>
                  </w:r>
                </w:p>
              </w:tc>
              <w:tc>
                <w:tcPr/>
                <w:p>
                  <w:pPr>
                    <w:pStyle w:val="Compact"/>
                    <w:jc w:val="center"/>
                    <w:jc w:val="center"/>
                  </w:pPr>
                  <w:r>
                    <w:t xml:space="preserve">0.0656</w:t>
                  </w:r>
                </w:p>
              </w:tc>
              <w:tc>
                <w:tcPr/>
                <w:p>
                  <w:pPr>
                    <w:pStyle w:val="Compact"/>
                    <w:jc w:val="center"/>
                    <w:jc w:val="center"/>
                  </w:pPr>
                  <w:r>
                    <w:t xml:space="preserve">10.92</w:t>
                  </w:r>
                </w:p>
              </w:tc>
              <w:tc>
                <w:tcPr/>
                <w:p>
                  <w:pPr>
                    <w:pStyle w:val="Compact"/>
                    <w:jc w:val="center"/>
                    <w:jc w:val="center"/>
                  </w:pPr>
                  <w:r>
                    <w:t xml:space="preserve">12.12</w:t>
                  </w:r>
                </w:p>
              </w:tc>
              <w:tc>
                <w:tcPr/>
                <w:p>
                  <w:pPr>
                    <w:pStyle w:val="Compact"/>
                    <w:jc w:val="center"/>
                    <w:jc w:val="center"/>
                  </w:pPr>
                  <w:r>
                    <w:t xml:space="preserve">14.62</w:t>
                  </w:r>
                </w:p>
              </w:tc>
            </w:tr>
            <w:tr>
              <w:tc>
                <w:tcPr/>
                <w:p>
                  <w:pPr>
                    <w:pStyle w:val="Compact"/>
                    <w:jc w:val="center"/>
                    <w:jc w:val="center"/>
                  </w:pPr>
                  <w:r>
                    <w:t xml:space="preserve">4</w:t>
                  </w:r>
                </w:p>
              </w:tc>
              <w:tc>
                <w:tcPr/>
                <w:p>
                  <w:pPr>
                    <w:pStyle w:val="Compact"/>
                    <w:jc w:val="center"/>
                    <w:jc w:val="center"/>
                  </w:pPr>
                  <w:r>
                    <w:t xml:space="preserve">-31.07</w:t>
                  </w:r>
                </w:p>
              </w:tc>
              <w:tc>
                <w:tcPr/>
                <w:p>
                  <w:pPr>
                    <w:pStyle w:val="Compact"/>
                    <w:jc w:val="center"/>
                    <w:jc w:val="center"/>
                  </w:pPr>
                  <w:r>
                    <w:t xml:space="preserve">116.25*</w:t>
                  </w:r>
                </w:p>
              </w:tc>
              <w:tc>
                <w:tcPr/>
                <w:p>
                  <w:pPr>
                    <w:pStyle w:val="Compact"/>
                    <w:jc w:val="center"/>
                    <w:jc w:val="center"/>
                  </w:pPr>
                  <w:r>
                    <w:t xml:space="preserve">25</w:t>
                  </w:r>
                </w:p>
              </w:tc>
              <w:tc>
                <w:tcPr/>
                <w:p>
                  <w:pPr>
                    <w:pStyle w:val="Compact"/>
                    <w:jc w:val="center"/>
                    <w:jc w:val="center"/>
                  </w:pPr>
                  <w:r>
                    <w:t xml:space="preserve">0.000</w:t>
                  </w:r>
                </w:p>
              </w:tc>
              <w:tc>
                <w:tcPr/>
                <w:p>
                  <w:pPr>
                    <w:pStyle w:val="Compact"/>
                    <w:jc w:val="center"/>
                    <w:jc w:val="center"/>
                  </w:pPr>
                  <w:r>
                    <w:rPr>
                      <w:b/>
                      <w:bCs/>
                    </w:rPr>
                    <w:t xml:space="preserve">0.0194</w:t>
                  </w:r>
                  <w:r>
                    <w:t xml:space="preserve">*</w:t>
                  </w:r>
                </w:p>
              </w:tc>
              <w:tc>
                <w:tcPr/>
                <w:p>
                  <w:pPr>
                    <w:pStyle w:val="Compact"/>
                    <w:jc w:val="center"/>
                    <w:jc w:val="center"/>
                  </w:pPr>
                  <w:r>
                    <w:rPr>
                      <w:b/>
                      <w:bCs/>
                    </w:rPr>
                    <w:t xml:space="preserve">8.78</w:t>
                  </w:r>
                  <w:r>
                    <w:t xml:space="preserve">*</w:t>
                  </w:r>
                </w:p>
              </w:tc>
              <w:tc>
                <w:tcPr/>
                <w:p>
                  <w:pPr>
                    <w:pStyle w:val="Compact"/>
                    <w:jc w:val="center"/>
                    <w:jc w:val="center"/>
                  </w:pPr>
                  <w:r>
                    <w:rPr>
                      <w:b/>
                      <w:bCs/>
                    </w:rPr>
                    <w:t xml:space="preserve">10.36</w:t>
                  </w:r>
                  <w:r>
                    <w:t xml:space="preserve">*</w:t>
                  </w:r>
                </w:p>
              </w:tc>
              <w:tc>
                <w:tcPr/>
                <w:p>
                  <w:pPr>
                    <w:pStyle w:val="Compact"/>
                    <w:jc w:val="center"/>
                    <w:jc w:val="center"/>
                  </w:pPr>
                  <w:r>
                    <w:rPr>
                      <w:b/>
                      <w:bCs/>
                    </w:rPr>
                    <w:t xml:space="preserve">13.64</w:t>
                  </w:r>
                  <w:r>
                    <w:t xml:space="preserve">*</w:t>
                  </w:r>
                </w:p>
              </w:tc>
            </w:tr>
          </w:tbl>
          <w:bookmarkEnd w:id="26"/>
          <w:p/>
        </w:tc>
      </w:tr>
    </w:tbl>
    <w:p>
      <w:pPr>
        <w:pStyle w:val="BodyText"/>
      </w:pPr>
      <w:r>
        <w:t xml:space="preserve">Evalúo la precedencia predictiva de los determinantes de seguridad e institucionalidad sobre la masa de afiliados mediante la prueba de Causalidad de Granger en la Tabla</w:t>
      </w:r>
      <w:r>
        <w:t xml:space="preserve"> </w:t>
      </w:r>
      <w:hyperlink w:anchor="tbl-granger">
        <w:r>
          <w:rPr>
            <w:rStyle w:val="Hyperlink"/>
          </w:rPr>
          <w:t xml:space="preserve">Tabla 5</w:t>
        </w:r>
      </w:hyperlink>
      <w:r>
        <w:t xml:space="preserve">. Los estadísticos de Wald rechazan con fuerza la hipótesis nula de no-causalidad para todos los regresores explicativos de forma individual y conjunta al 5% de significancia, confirmando que las variaciones en el gasto militar, la migración, la tasa de homicidios y la fuerza laboral anteceden temporalmente al padrón de cotizantes.</w:t>
      </w:r>
    </w:p>
    <w:tbl>
      <w:tblPr>
        <w:tblStyle w:val="Table"/>
        <w:tblW w:type="pct" w:w="5000"/>
        <w:tblLayout w:type="fixed"/>
        <w:tblLook w:firstRow="0" w:lastRow="0" w:firstColumn="0" w:lastColumn="0" w:noHBand="0" w:noVBand="0" w:val="0000"/>
      </w:tblPr>
      <w:tblGrid>
        <w:gridCol w:w="7920"/>
      </w:tblGrid>
      <w:tr>
        <w:tc>
          <w:tcPr/>
          <w:bookmarkStart w:id="27" w:name="tbl-granger"/>
          <w:p>
            <w:pPr>
              <w:jc w:val="center"/>
            </w:pPr>
            <w:pPr>
              <w:jc w:val="left"/>
              <w:spacing w:before="200"/>
              <w:pStyle w:val="ImageCaption"/>
            </w:pPr>
            <w:r>
              <w:t xml:space="preserve">Tabla 5: Pruebas de Causalidad de Granger (Wald Tests)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Ecuación</w:t>
                  </w:r>
                </w:p>
              </w:tc>
              <w:tc>
                <w:tcPr/>
                <w:p>
                  <w:pPr>
                    <w:pStyle w:val="Compact"/>
                    <w:jc w:val="left"/>
                    <w:jc w:val="center"/>
                  </w:pPr>
                  <w:r>
                    <w:t xml:space="preserve">Variable Excluida</w:t>
                  </w:r>
                </w:p>
              </w:tc>
              <w:tc>
                <w:tcPr/>
                <w:p>
                  <w:pPr>
                    <w:pStyle w:val="Compact"/>
                    <w:jc w:val="center"/>
                    <w:jc w:val="center"/>
                  </w:pPr>
                  <m:oMath>
                    <m:sSup>
                      <m:e>
                        <m:r>
                          <m:t>χ</m:t>
                        </m:r>
                      </m:e>
                      <m:sup>
                        <m:r>
                          <m:t>2</m:t>
                        </m:r>
                      </m:sup>
                    </m:sSup>
                  </m:oMath>
                </w:p>
              </w:tc>
              <w:tc>
                <w:tcPr/>
                <w:p>
                  <w:pPr>
                    <w:pStyle w:val="Compact"/>
                    <w:jc w:val="center"/>
                    <w:jc w:val="center"/>
                  </w:pPr>
                  <w:r>
                    <w:t xml:space="preserve">p-valor</w:t>
                  </w:r>
                </w:p>
              </w:tc>
            </w:tr>
            <w:tr>
              <w:tc>
                <w:tcPr/>
                <w:p>
                  <w:pPr>
                    <w:pStyle w:val="Compact"/>
                    <w:jc w:val="left"/>
                    <w:jc w:val="center"/>
                  </w:pPr>
                  <w:r>
                    <w:rPr>
                      <w:b/>
                      <w:bCs/>
                    </w:rPr>
                    <w:t xml:space="preserve">Afiliados (AF)</w:t>
                  </w:r>
                </w:p>
              </w:tc>
              <w:tc>
                <w:tcPr/>
                <w:p>
                  <w:pPr>
                    <w:pStyle w:val="Compact"/>
                    <w:jc w:val="left"/>
                    <w:jc w:val="center"/>
                  </w:pPr>
                  <w:r>
                    <w:t xml:space="preserve">Gasto Militar (GM)</w:t>
                  </w:r>
                </w:p>
              </w:tc>
              <w:tc>
                <w:tcPr/>
                <w:p>
                  <w:pPr>
                    <w:pStyle w:val="Compact"/>
                    <w:jc w:val="center"/>
                    <w:jc w:val="center"/>
                  </w:pPr>
                  <w:r>
                    <w:t xml:space="preserve">14.77</w:t>
                  </w:r>
                </w:p>
              </w:tc>
              <w:tc>
                <w:tcPr/>
                <w:p>
                  <w:pPr>
                    <w:pStyle w:val="Compact"/>
                    <w:jc w:val="center"/>
                    <w:jc w:val="center"/>
                  </w:pPr>
                  <w:r>
                    <w:t xml:space="preserve">0.005</w:t>
                  </w:r>
                </w:p>
              </w:tc>
            </w:tr>
            <w:tr>
              <w:tc>
                <w:tcPr/>
                <w:p>
                  <w:pPr>
                    <w:pStyle w:val="Compact"/>
                  </w:pPr>
                </w:p>
              </w:tc>
              <w:tc>
                <w:tcPr/>
                <w:p>
                  <w:pPr>
                    <w:pStyle w:val="Compact"/>
                    <w:jc w:val="left"/>
                    <w:jc w:val="center"/>
                  </w:pPr>
                  <w:r>
                    <w:t xml:space="preserve">Migración (MI)</w:t>
                  </w:r>
                </w:p>
              </w:tc>
              <w:tc>
                <w:tcPr/>
                <w:p>
                  <w:pPr>
                    <w:pStyle w:val="Compact"/>
                    <w:jc w:val="center"/>
                    <w:jc w:val="center"/>
                  </w:pPr>
                  <w:r>
                    <w:t xml:space="preserve">22.25</w:t>
                  </w:r>
                </w:p>
              </w:tc>
              <w:tc>
                <w:tcPr/>
                <w:p>
                  <w:pPr>
                    <w:pStyle w:val="Compact"/>
                    <w:jc w:val="center"/>
                    <w:jc w:val="center"/>
                  </w:pPr>
                  <w:r>
                    <w:t xml:space="preserve">0.000</w:t>
                  </w:r>
                </w:p>
              </w:tc>
            </w:tr>
            <w:tr>
              <w:tc>
                <w:tcPr/>
                <w:p>
                  <w:pPr>
                    <w:pStyle w:val="Compact"/>
                  </w:pPr>
                </w:p>
              </w:tc>
              <w:tc>
                <w:tcPr/>
                <w:p>
                  <w:pPr>
                    <w:pStyle w:val="Compact"/>
                    <w:jc w:val="left"/>
                    <w:jc w:val="center"/>
                  </w:pPr>
                  <w:r>
                    <w:t xml:space="preserve">Homicidios (HO)</w:t>
                  </w:r>
                </w:p>
              </w:tc>
              <w:tc>
                <w:tcPr/>
                <w:p>
                  <w:pPr>
                    <w:pStyle w:val="Compact"/>
                    <w:jc w:val="center"/>
                    <w:jc w:val="center"/>
                  </w:pPr>
                  <w:r>
                    <w:t xml:space="preserve">12.79</w:t>
                  </w:r>
                </w:p>
              </w:tc>
              <w:tc>
                <w:tcPr/>
                <w:p>
                  <w:pPr>
                    <w:pStyle w:val="Compact"/>
                    <w:jc w:val="center"/>
                    <w:jc w:val="center"/>
                  </w:pPr>
                  <w:r>
                    <w:t xml:space="preserve">0.012</w:t>
                  </w:r>
                </w:p>
              </w:tc>
            </w:tr>
            <w:tr>
              <w:tc>
                <w:tcPr/>
                <w:p>
                  <w:pPr>
                    <w:pStyle w:val="Compact"/>
                  </w:pPr>
                </w:p>
              </w:tc>
              <w:tc>
                <w:tcPr/>
                <w:p>
                  <w:pPr>
                    <w:pStyle w:val="Compact"/>
                  </w:pPr>
                </w:p>
              </w:tc>
              <w:tc>
                <w:tcPr/>
                <w:p>
                  <w:pPr>
                    <w:pStyle w:val="Compact"/>
                    <w:jc w:val="center"/>
                    <w:jc w:val="center"/>
                  </w:pPr>
                  <w:r>
                    <w:t xml:space="preserve">Fuerza Laboral (FL)</w:t>
                  </w:r>
                </w:p>
              </w:tc>
              <w:tc>
                <w:tcPr/>
                <w:p>
                  <w:pPr>
                    <w:pStyle w:val="Compact"/>
                    <w:jc w:val="center"/>
                    <w:jc w:val="center"/>
                  </w:pPr>
                  <w:r>
                    <w:t xml:space="preserve">13.81</w:t>
                  </w:r>
                </w:p>
              </w:tc>
            </w:tr>
            <w:tr>
              <w:tc>
                <w:tcPr/>
                <w:p>
                  <w:pPr>
                    <w:pStyle w:val="Compact"/>
                  </w:pPr>
                </w:p>
              </w:tc>
              <w:tc>
                <w:tcPr/>
                <w:p>
                  <w:pPr>
                    <w:pStyle w:val="Compact"/>
                    <w:jc w:val="left"/>
                    <w:jc w:val="center"/>
                  </w:pPr>
                  <w:r>
                    <w:rPr>
                      <w:b/>
                      <w:bCs/>
                    </w:rPr>
                    <w:t xml:space="preserve">TOTAL</w:t>
                  </w:r>
                </w:p>
              </w:tc>
              <w:tc>
                <w:tcPr/>
                <w:p>
                  <w:pPr>
                    <w:pStyle w:val="Compact"/>
                    <w:jc w:val="center"/>
                    <w:jc w:val="center"/>
                  </w:pPr>
                  <w:r>
                    <w:rPr>
                      <w:b/>
                      <w:bCs/>
                    </w:rPr>
                    <w:t xml:space="preserve">81.77</w:t>
                  </w:r>
                </w:p>
              </w:tc>
              <w:tc>
                <w:tcPr/>
                <w:p>
                  <w:pPr>
                    <w:pStyle w:val="Compact"/>
                    <w:jc w:val="center"/>
                    <w:jc w:val="center"/>
                  </w:pPr>
                  <w:r>
                    <w:rPr>
                      <w:b/>
                      <w:bCs/>
                    </w:rPr>
                    <w:t xml:space="preserve">0.000</w:t>
                  </w:r>
                </w:p>
              </w:tc>
            </w:tr>
            <w:tr>
              <w:tc>
                <w:tcPr/>
                <w:p>
                  <w:pPr>
                    <w:pStyle w:val="Compact"/>
                    <w:jc w:val="left"/>
                    <w:jc w:val="center"/>
                  </w:pPr>
                  <w:r>
                    <w:rPr>
                      <w:b/>
                      <w:bCs/>
                    </w:rPr>
                    <w:t xml:space="preserve">Gasto Militar (GM)</w:t>
                  </w:r>
                </w:p>
              </w:tc>
              <w:tc>
                <w:tcPr/>
                <w:p>
                  <w:pPr>
                    <w:pStyle w:val="Compact"/>
                    <w:jc w:val="left"/>
                    <w:jc w:val="center"/>
                  </w:pPr>
                  <w:r>
                    <w:t xml:space="preserve">Afiliados (AF)</w:t>
                  </w:r>
                </w:p>
              </w:tc>
              <w:tc>
                <w:tcPr/>
                <w:p>
                  <w:pPr>
                    <w:pStyle w:val="Compact"/>
                    <w:jc w:val="center"/>
                    <w:jc w:val="center"/>
                  </w:pPr>
                  <w:r>
                    <w:t xml:space="preserve">150.17</w:t>
                  </w:r>
                </w:p>
              </w:tc>
              <w:tc>
                <w:tcPr/>
                <w:p>
                  <w:pPr>
                    <w:pStyle w:val="Compact"/>
                    <w:jc w:val="center"/>
                    <w:jc w:val="center"/>
                  </w:pPr>
                  <w:r>
                    <w:t xml:space="preserve">0.000</w:t>
                  </w:r>
                </w:p>
              </w:tc>
            </w:tr>
            <w:tr>
              <w:tc>
                <w:tcPr/>
                <w:p>
                  <w:pPr>
                    <w:pStyle w:val="Compact"/>
                    <w:jc w:val="left"/>
                    <w:jc w:val="center"/>
                  </w:pPr>
                  <w:r>
                    <w:rPr>
                      <w:b/>
                      <w:bCs/>
                    </w:rPr>
                    <w:t xml:space="preserve">Migración (MI)</w:t>
                  </w:r>
                </w:p>
              </w:tc>
              <w:tc>
                <w:tcPr/>
                <w:p>
                  <w:pPr>
                    <w:pStyle w:val="Compact"/>
                    <w:jc w:val="left"/>
                    <w:jc w:val="center"/>
                  </w:pPr>
                  <w:r>
                    <w:t xml:space="preserve">Homicidios (HO)</w:t>
                  </w:r>
                </w:p>
              </w:tc>
              <w:tc>
                <w:tcPr/>
                <w:p>
                  <w:pPr>
                    <w:pStyle w:val="Compact"/>
                    <w:jc w:val="center"/>
                    <w:jc w:val="center"/>
                  </w:pPr>
                  <w:r>
                    <w:t xml:space="preserve">66.10</w:t>
                  </w:r>
                </w:p>
              </w:tc>
              <w:tc>
                <w:tcPr/>
                <w:p>
                  <w:pPr>
                    <w:pStyle w:val="Compact"/>
                    <w:jc w:val="center"/>
                    <w:jc w:val="center"/>
                  </w:pPr>
                  <w:r>
                    <w:t xml:space="preserve">0.000</w:t>
                  </w:r>
                </w:p>
              </w:tc>
            </w:tr>
            <w:tr>
              <w:tc>
                <w:tcPr/>
                <w:p>
                  <w:pPr>
                    <w:pStyle w:val="Compact"/>
                    <w:jc w:val="left"/>
                    <w:jc w:val="center"/>
                  </w:pPr>
                  <w:r>
                    <w:rPr>
                      <w:b/>
                      <w:bCs/>
                    </w:rPr>
                    <w:t xml:space="preserve">Homicidios (HO)</w:t>
                  </w:r>
                </w:p>
              </w:tc>
              <w:tc>
                <w:tcPr/>
                <w:p>
                  <w:pPr>
                    <w:pStyle w:val="Compact"/>
                    <w:jc w:val="left"/>
                    <w:jc w:val="center"/>
                  </w:pPr>
                  <w:r>
                    <w:t xml:space="preserve">Migración (MI)</w:t>
                  </w:r>
                </w:p>
              </w:tc>
              <w:tc>
                <w:tcPr/>
                <w:p>
                  <w:pPr>
                    <w:pStyle w:val="Compact"/>
                    <w:jc w:val="center"/>
                    <w:jc w:val="center"/>
                  </w:pPr>
                  <w:r>
                    <w:t xml:space="preserve">43.68</w:t>
                  </w:r>
                </w:p>
              </w:tc>
              <w:tc>
                <w:tcPr/>
                <w:p>
                  <w:pPr>
                    <w:pStyle w:val="Compact"/>
                    <w:jc w:val="center"/>
                    <w:jc w:val="center"/>
                  </w:pPr>
                  <w:r>
                    <w:t xml:space="preserve">0.000</w:t>
                  </w:r>
                </w:p>
              </w:tc>
            </w:tr>
            <w:tr>
              <w:tc>
                <w:tcPr/>
                <w:p>
                  <w:pPr>
                    <w:pStyle w:val="Compact"/>
                    <w:jc w:val="left"/>
                    <w:jc w:val="center"/>
                  </w:pPr>
                  <w:r>
                    <w:rPr>
                      <w:b/>
                      <w:bCs/>
                    </w:rPr>
                    <w:t xml:space="preserve">Fuerza Laboral (FL)</w:t>
                  </w:r>
                </w:p>
              </w:tc>
              <w:tc>
                <w:tcPr/>
                <w:p>
                  <w:pPr>
                    <w:pStyle w:val="Compact"/>
                    <w:jc w:val="left"/>
                    <w:jc w:val="center"/>
                  </w:pPr>
                  <w:r>
                    <w:t xml:space="preserve">Todos</w:t>
                  </w:r>
                </w:p>
              </w:tc>
              <w:tc>
                <w:tcPr/>
                <w:p>
                  <w:pPr>
                    <w:pStyle w:val="Compact"/>
                    <w:jc w:val="center"/>
                    <w:jc w:val="center"/>
                  </w:pPr>
                  <w:r>
                    <w:t xml:space="preserve">312.74</w:t>
                  </w:r>
                </w:p>
              </w:tc>
              <w:tc>
                <w:tcPr/>
                <w:p>
                  <w:pPr>
                    <w:pStyle w:val="Compact"/>
                    <w:jc w:val="center"/>
                    <w:jc w:val="center"/>
                  </w:pPr>
                  <w:r>
                    <w:t xml:space="preserve">0.000</w:t>
                  </w:r>
                </w:p>
              </w:tc>
            </w:tr>
          </w:tbl>
          <w:bookmarkEnd w:id="27"/>
          <w:p/>
        </w:tc>
      </w:tr>
    </w:tbl>
    <w:p>
      <w:pPr>
        <w:pStyle w:val="BodyText"/>
      </w:pPr>
      <w:r>
        <w:t xml:space="preserve">Para constatar la presencia de trayectorias de equilibrio de largo plazo, implemento la prueba de cointegración multivariada de Johansen expuesta en la Tabla</w:t>
      </w:r>
      <w:r>
        <w:t xml:space="preserve"> </w:t>
      </w:r>
      <w:hyperlink w:anchor="tbl-johansen">
        <w:r>
          <w:rPr>
            <w:rStyle w:val="Hyperlink"/>
          </w:rPr>
          <w:t xml:space="preserve">Tabla 6</w:t>
        </w:r>
      </w:hyperlink>
      <w:r>
        <w:t xml:space="preserve">. El estadístico de la traza identifica la existencia de exactamente 2 vectores de cointegración al 5% de significancia, validando la estimación de modelos dinámicos de corrección de error para capturar la dinámica previsional.</w:t>
      </w:r>
    </w:p>
    <w:tbl>
      <w:tblPr>
        <w:tblStyle w:val="Table"/>
        <w:tblW w:type="pct" w:w="5000"/>
        <w:tblLayout w:type="fixed"/>
        <w:tblLook w:firstRow="0" w:lastRow="0" w:firstColumn="0" w:lastColumn="0" w:noHBand="0" w:noVBand="0" w:val="0000"/>
      </w:tblPr>
      <w:tblGrid>
        <w:gridCol w:w="7920"/>
      </w:tblGrid>
      <w:tr>
        <w:tc>
          <w:tcPr/>
          <w:bookmarkStart w:id="28" w:name="tbl-johansen"/>
          <w:p>
            <w:pPr>
              <w:jc w:val="center"/>
            </w:pPr>
            <w:pPr>
              <w:jc w:val="left"/>
              <w:spacing w:before="200"/>
              <w:pStyle w:val="ImageCaption"/>
            </w:pPr>
            <w:r>
              <w:t xml:space="preserve">Tabla 6: Prueba de Cointegración de Johansen (Trace Statistic)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jc w:val="center"/>
                  </w:pPr>
                  <w:r>
                    <w:t xml:space="preserve">Rango Máximo</w:t>
                  </w:r>
                </w:p>
              </w:tc>
              <w:tc>
                <w:tcPr/>
                <w:p>
                  <w:pPr>
                    <w:pStyle w:val="Compact"/>
                    <w:jc w:val="center"/>
                    <w:jc w:val="center"/>
                  </w:pPr>
                  <w:r>
                    <w:t xml:space="preserve">Autovalor</w:t>
                  </w:r>
                </w:p>
              </w:tc>
              <w:tc>
                <w:tcPr/>
                <w:p>
                  <w:pPr>
                    <w:pStyle w:val="Compact"/>
                    <w:jc w:val="center"/>
                    <w:jc w:val="center"/>
                  </w:pPr>
                  <w:r>
                    <w:t xml:space="preserve">Traza</w:t>
                  </w:r>
                </w:p>
              </w:tc>
              <w:tc>
                <w:tcPr/>
                <w:p>
                  <w:pPr>
                    <w:pStyle w:val="Compact"/>
                    <w:jc w:val="center"/>
                    <w:jc w:val="center"/>
                  </w:pPr>
                  <w:r>
                    <w:t xml:space="preserve">Valor Crítico (5%)</w:t>
                  </w:r>
                </w:p>
              </w:tc>
              <w:tc>
                <w:tcPr/>
                <w:p>
                  <w:pPr>
                    <w:pStyle w:val="Compact"/>
                    <w:jc w:val="center"/>
                    <w:jc w:val="center"/>
                  </w:pPr>
                  <w:r>
                    <w:t xml:space="preserve">Decisión</w:t>
                  </w:r>
                </w:p>
              </w:tc>
            </w:tr>
            <w:tr>
              <w:tc>
                <w:tcPr/>
                <w:p>
                  <w:pPr>
                    <w:pStyle w:val="Compact"/>
                    <w:jc w:val="center"/>
                    <w:jc w:val="center"/>
                  </w:pPr>
                  <w:r>
                    <w:t xml:space="preserve">r = 0</w:t>
                  </w:r>
                </w:p>
              </w:tc>
              <w:tc>
                <w:tcPr/>
                <w:p>
                  <w:pPr>
                    <w:pStyle w:val="Compact"/>
                    <w:jc w:val="center"/>
                    <w:jc w:val="center"/>
                  </w:pPr>
                  <w:r>
                    <w:t xml:space="preserve">.</w:t>
                  </w:r>
                </w:p>
              </w:tc>
              <w:tc>
                <w:tcPr/>
                <w:p>
                  <w:pPr>
                    <w:pStyle w:val="Compact"/>
                    <w:jc w:val="center"/>
                    <w:jc w:val="center"/>
                  </w:pPr>
                  <w:r>
                    <w:t xml:space="preserve">99.41</w:t>
                  </w:r>
                </w:p>
              </w:tc>
              <w:tc>
                <w:tcPr/>
                <w:p>
                  <w:pPr>
                    <w:pStyle w:val="Compact"/>
                    <w:jc w:val="center"/>
                    <w:jc w:val="center"/>
                  </w:pPr>
                  <w:r>
                    <w:t xml:space="preserve">68.52</w:t>
                  </w:r>
                </w:p>
              </w:tc>
              <w:tc>
                <w:tcPr/>
                <w:p>
                  <w:pPr>
                    <w:pStyle w:val="Compact"/>
                    <w:jc w:val="center"/>
                    <w:jc w:val="center"/>
                  </w:pPr>
                  <w:r>
                    <w:t xml:space="preserve">Rechazar H0</w:t>
                  </w:r>
                </w:p>
              </w:tc>
            </w:tr>
            <w:tr>
              <w:tc>
                <w:tcPr/>
                <w:p>
                  <w:pPr>
                    <w:pStyle w:val="Compact"/>
                    <w:jc w:val="center"/>
                    <w:jc w:val="center"/>
                  </w:pPr>
                  <w:r>
                    <w:t xml:space="preserve">r = 1</w:t>
                  </w:r>
                </w:p>
              </w:tc>
              <w:tc>
                <w:tcPr/>
                <w:p>
                  <w:pPr>
                    <w:pStyle w:val="Compact"/>
                    <w:jc w:val="center"/>
                    <w:jc w:val="center"/>
                  </w:pPr>
                  <w:r>
                    <w:t xml:space="preserve">0.7741</w:t>
                  </w:r>
                </w:p>
              </w:tc>
              <w:tc>
                <w:tcPr/>
                <w:p>
                  <w:pPr>
                    <w:pStyle w:val="Compact"/>
                    <w:jc w:val="center"/>
                    <w:jc w:val="center"/>
                  </w:pPr>
                  <w:r>
                    <w:t xml:space="preserve">50.31</w:t>
                  </w:r>
                </w:p>
              </w:tc>
              <w:tc>
                <w:tcPr/>
                <w:p>
                  <w:pPr>
                    <w:pStyle w:val="Compact"/>
                    <w:jc w:val="center"/>
                    <w:jc w:val="center"/>
                  </w:pPr>
                  <w:r>
                    <w:t xml:space="preserve">47.21</w:t>
                  </w:r>
                </w:p>
              </w:tc>
              <w:tc>
                <w:tcPr/>
                <w:p>
                  <w:pPr>
                    <w:pStyle w:val="Compact"/>
                    <w:jc w:val="center"/>
                    <w:jc w:val="center"/>
                  </w:pPr>
                  <w:r>
                    <w:t xml:space="preserve">Rechazar H0</w:t>
                  </w:r>
                </w:p>
              </w:tc>
            </w:tr>
            <w:tr>
              <w:tc>
                <w:tcPr/>
                <w:p>
                  <w:pPr>
                    <w:pStyle w:val="Compact"/>
                    <w:jc w:val="center"/>
                    <w:jc w:val="center"/>
                  </w:pPr>
                  <w:r>
                    <w:t xml:space="preserve">r = 2</w:t>
                  </w:r>
                </w:p>
              </w:tc>
              <w:tc>
                <w:tcPr/>
                <w:p>
                  <w:pPr>
                    <w:pStyle w:val="Compact"/>
                    <w:jc w:val="center"/>
                    <w:jc w:val="center"/>
                  </w:pPr>
                  <w:r>
                    <w:t xml:space="preserve">0.5015</w:t>
                  </w:r>
                </w:p>
              </w:tc>
              <w:tc>
                <w:tcPr/>
                <w:p>
                  <w:pPr>
                    <w:pStyle w:val="Compact"/>
                    <w:jc w:val="center"/>
                    <w:jc w:val="center"/>
                  </w:pPr>
                  <w:r>
                    <w:t xml:space="preserve">27.34*</w:t>
                  </w:r>
                </w:p>
              </w:tc>
              <w:tc>
                <w:tcPr/>
                <w:p>
                  <w:pPr>
                    <w:pStyle w:val="Compact"/>
                    <w:jc w:val="center"/>
                    <w:jc w:val="center"/>
                  </w:pPr>
                  <w:r>
                    <w:t xml:space="preserve">29.68</w:t>
                  </w:r>
                </w:p>
              </w:tc>
              <w:tc>
                <w:tcPr/>
                <w:p>
                  <w:pPr>
                    <w:pStyle w:val="Compact"/>
                    <w:jc w:val="center"/>
                    <w:jc w:val="center"/>
                  </w:pPr>
                  <w:r>
                    <w:rPr>
                      <w:b/>
                      <w:bCs/>
                    </w:rPr>
                    <w:t xml:space="preserve">No Rechazar</w:t>
                  </w:r>
                </w:p>
              </w:tc>
            </w:tr>
          </w:tbl>
          <w:bookmarkEnd w:id="28"/>
          <w:p/>
        </w:tc>
      </w:tr>
    </w:tbl>
    <w:p>
      <w:pPr>
        <w:pStyle w:val="BodyText"/>
      </w:pPr>
      <w:r>
        <w:t xml:space="preserve">La Tabla</w:t>
      </w:r>
      <w:r>
        <w:t xml:space="preserve"> </w:t>
      </w:r>
      <w:hyperlink w:anchor="tbl-ardl-sr">
        <w:r>
          <w:rPr>
            <w:rStyle w:val="Hyperlink"/>
          </w:rPr>
          <w:t xml:space="preserve">Tabla 7</w:t>
        </w:r>
      </w:hyperlink>
      <w:r>
        <w:t xml:space="preserve"> </w:t>
      </w:r>
      <w:r>
        <w:t xml:space="preserve">reporta la dinámica de corto plazo estimada a través del modelo de corrección de error ARDL. El gasto militar ejerce un efecto contractivo inmediato y significativo de -0.0699 sobre el crecimiento de los afiliados, mientras que la fuerza laboral constituye el principal soporte dinámico de corto plazo con un coeficiente de 0.7986.</w:t>
      </w:r>
    </w:p>
    <w:tbl>
      <w:tblPr>
        <w:tblStyle w:val="Table"/>
        <w:tblW w:type="pct" w:w="5000"/>
        <w:tblLayout w:type="fixed"/>
        <w:tblLook w:firstRow="0" w:lastRow="0" w:firstColumn="0" w:lastColumn="0" w:noHBand="0" w:noVBand="0" w:val="0000"/>
      </w:tblPr>
      <w:tblGrid>
        <w:gridCol w:w="7920"/>
      </w:tblGrid>
      <w:tr>
        <w:tc>
          <w:tcPr/>
          <w:bookmarkStart w:id="29" w:name="tbl-ardl-sr"/>
          <w:p>
            <w:pPr>
              <w:jc w:val="center"/>
            </w:pPr>
            <w:pPr>
              <w:jc w:val="left"/>
              <w:spacing w:before="200"/>
              <w:pStyle w:val="ImageCaption"/>
            </w:pPr>
            <w:r>
              <w:t xml:space="preserve">Tabla 7: Coeficientes de Corto Plazo - Modelo ARDL(1,2,2,1,1)</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jc w:val="center"/>
                  </w:pPr>
                  <w:r>
                    <w:t xml:space="preserve">Regresor</w:t>
                  </w:r>
                </w:p>
              </w:tc>
              <w:tc>
                <w:tcPr/>
                <w:p>
                  <w:pPr>
                    <w:pStyle w:val="Compact"/>
                    <w:jc w:val="center"/>
                    <w:jc w:val="center"/>
                  </w:pPr>
                  <w:r>
                    <w:t xml:space="preserve">Diferencia (D1.)</w:t>
                  </w:r>
                </w:p>
              </w:tc>
              <w:tc>
                <w:tcPr/>
                <w:p>
                  <w:pPr>
                    <w:pStyle w:val="Compact"/>
                    <w:jc w:val="center"/>
                    <w:jc w:val="center"/>
                  </w:pPr>
                  <w:r>
                    <w:t xml:space="preserve">p-valor</w:t>
                  </w:r>
                </w:p>
              </w:tc>
              <w:tc>
                <w:tcPr/>
                <w:p>
                  <w:pPr>
                    <w:pStyle w:val="Compact"/>
                    <w:jc w:val="left"/>
                    <w:jc w:val="center"/>
                  </w:pPr>
                  <w:r>
                    <w:t xml:space="preserve">Interpretación</w:t>
                  </w:r>
                </w:p>
              </w:tc>
            </w:tr>
            <w:tr>
              <w:tc>
                <w:tcPr/>
                <w:p>
                  <w:pPr>
                    <w:pStyle w:val="Compact"/>
                    <w:jc w:val="left"/>
                    <w:jc w:val="center"/>
                  </w:pPr>
                  <w:r>
                    <w:rPr>
                      <w:b/>
                      <w:bCs/>
                    </w:rPr>
                    <w:t xml:space="preserve">Gasto Militar</w:t>
                  </w:r>
                  <w:r>
                    <w:t xml:space="preserve"> </w:t>
                  </w:r>
                  <w:r>
                    <w:t xml:space="preserve">(GM)</w:t>
                  </w:r>
                </w:p>
              </w:tc>
              <w:tc>
                <w:tcPr/>
                <w:p>
                  <w:pPr>
                    <w:pStyle w:val="Compact"/>
                    <w:jc w:val="center"/>
                    <w:jc w:val="center"/>
                  </w:pPr>
                  <w:r>
                    <w:t xml:space="preserve">-0.0699</w:t>
                  </w:r>
                </w:p>
              </w:tc>
              <w:tc>
                <w:tcPr/>
                <w:p>
                  <w:pPr>
                    <w:pStyle w:val="Compact"/>
                    <w:jc w:val="center"/>
                    <w:jc w:val="center"/>
                  </w:pPr>
                  <w:r>
                    <w:t xml:space="preserve">0.022</w:t>
                  </w:r>
                </w:p>
              </w:tc>
              <w:tc>
                <w:tcPr/>
                <w:p>
                  <w:pPr>
                    <w:pStyle w:val="Compact"/>
                    <w:jc w:val="left"/>
                    <w:jc w:val="center"/>
                  </w:pPr>
                  <w:r>
                    <w:t xml:space="preserve">Efecto contractivo inmediato (S)</w:t>
                  </w:r>
                </w:p>
              </w:tc>
            </w:tr>
            <w:tr>
              <w:tc>
                <w:tcPr/>
                <w:p>
                  <w:pPr>
                    <w:pStyle w:val="Compact"/>
                    <w:jc w:val="left"/>
                    <w:jc w:val="center"/>
                  </w:pPr>
                  <w:r>
                    <w:rPr>
                      <w:b/>
                      <w:bCs/>
                    </w:rPr>
                    <w:t xml:space="preserve">Migración Neta</w:t>
                  </w:r>
                  <w:r>
                    <w:t xml:space="preserve"> </w:t>
                  </w:r>
                  <w:r>
                    <w:t xml:space="preserve">(MI)</w:t>
                  </w:r>
                </w:p>
              </w:tc>
              <w:tc>
                <w:tcPr/>
                <w:p>
                  <w:pPr>
                    <w:pStyle w:val="Compact"/>
                    <w:jc w:val="center"/>
                    <w:jc w:val="center"/>
                  </w:pPr>
                  <w:r>
                    <w:t xml:space="preserve">-0.0000</w:t>
                  </w:r>
                </w:p>
              </w:tc>
              <w:tc>
                <w:tcPr/>
                <w:p>
                  <w:pPr>
                    <w:pStyle w:val="Compact"/>
                    <w:jc w:val="center"/>
                    <w:jc w:val="center"/>
                  </w:pPr>
                  <w:r>
                    <w:t xml:space="preserve">0.082</w:t>
                  </w:r>
                </w:p>
              </w:tc>
              <w:tc>
                <w:tcPr/>
                <w:p>
                  <w:pPr>
                    <w:pStyle w:val="Compact"/>
                    <w:jc w:val="left"/>
                    <w:jc w:val="center"/>
                  </w:pPr>
                  <w:r>
                    <w:t xml:space="preserve">Impacto marginal en el flujo (S)</w:t>
                  </w:r>
                </w:p>
              </w:tc>
            </w:tr>
            <w:tr>
              <w:tc>
                <w:tcPr/>
                <w:p>
                  <w:pPr>
                    <w:pStyle w:val="Compact"/>
                    <w:jc w:val="left"/>
                    <w:jc w:val="center"/>
                  </w:pPr>
                  <w:r>
                    <w:rPr>
                      <w:b/>
                      <w:bCs/>
                    </w:rPr>
                    <w:t xml:space="preserve">Log Tasa Homicidios</w:t>
                  </w:r>
                  <w:r>
                    <w:t xml:space="preserve"> </w:t>
                  </w:r>
                  <w:r>
                    <w:t xml:space="preserve">(HO)</w:t>
                  </w:r>
                </w:p>
              </w:tc>
              <w:tc>
                <w:tcPr/>
                <w:p>
                  <w:pPr>
                    <w:pStyle w:val="Compact"/>
                    <w:jc w:val="center"/>
                    <w:jc w:val="center"/>
                  </w:pPr>
                  <w:r>
                    <w:t xml:space="preserve">0.0516</w:t>
                  </w:r>
                </w:p>
              </w:tc>
              <w:tc>
                <w:tcPr/>
                <w:p>
                  <w:pPr>
                    <w:pStyle w:val="Compact"/>
                    <w:jc w:val="center"/>
                    <w:jc w:val="center"/>
                  </w:pPr>
                  <w:r>
                    <w:t xml:space="preserve">0.181</w:t>
                  </w:r>
                </w:p>
              </w:tc>
              <w:tc>
                <w:tcPr/>
                <w:p>
                  <w:pPr>
                    <w:pStyle w:val="Compact"/>
                    <w:jc w:val="left"/>
                    <w:jc w:val="center"/>
                  </w:pPr>
                  <w:r>
                    <w:t xml:space="preserve">No significativo en el corto plazo</w:t>
                  </w:r>
                </w:p>
              </w:tc>
            </w:tr>
            <w:tr>
              <w:tc>
                <w:tcPr/>
                <w:p>
                  <w:pPr>
                    <w:pStyle w:val="Compact"/>
                    <w:jc w:val="left"/>
                    <w:jc w:val="center"/>
                  </w:pPr>
                  <w:r>
                    <w:rPr>
                      <w:b/>
                      <w:bCs/>
                    </w:rPr>
                    <w:t xml:space="preserve">Log Fuerza Laboral</w:t>
                  </w:r>
                  <w:r>
                    <w:t xml:space="preserve"> </w:t>
                  </w:r>
                  <w:r>
                    <w:t xml:space="preserve">(FL)</w:t>
                  </w:r>
                </w:p>
              </w:tc>
              <w:tc>
                <w:tcPr/>
                <w:p>
                  <w:pPr>
                    <w:pStyle w:val="Compact"/>
                    <w:jc w:val="center"/>
                    <w:jc w:val="center"/>
                  </w:pPr>
                  <w:r>
                    <w:t xml:space="preserve">0.7986</w:t>
                  </w:r>
                </w:p>
              </w:tc>
              <w:tc>
                <w:tcPr/>
                <w:p>
                  <w:pPr>
                    <w:pStyle w:val="Compact"/>
                    <w:jc w:val="center"/>
                    <w:jc w:val="center"/>
                  </w:pPr>
                  <w:r>
                    <w:t xml:space="preserve">0.005</w:t>
                  </w:r>
                </w:p>
              </w:tc>
              <w:tc>
                <w:tcPr/>
                <w:p>
                  <w:pPr>
                    <w:pStyle w:val="Compact"/>
                    <w:jc w:val="left"/>
                    <w:jc w:val="center"/>
                  </w:pPr>
                  <w:r>
                    <w:t xml:space="preserve">Principal soporte dinámico (HS)</w:t>
                  </w:r>
                </w:p>
              </w:tc>
            </w:tr>
            <w:tr>
              <w:tc>
                <w:tcPr/>
                <w:p>
                  <w:pPr>
                    <w:pStyle w:val="Compact"/>
                    <w:jc w:val="left"/>
                    <w:jc w:val="center"/>
                  </w:pPr>
                  <w:r>
                    <w:rPr>
                      <w:b/>
                      <w:bCs/>
                    </w:rPr>
                    <w:t xml:space="preserve">Constante</w:t>
                  </w:r>
                </w:p>
              </w:tc>
              <w:tc>
                <w:tcPr/>
                <w:p>
                  <w:pPr>
                    <w:pStyle w:val="Compact"/>
                    <w:jc w:val="center"/>
                    <w:jc w:val="center"/>
                  </w:pPr>
                  <w:r>
                    <w:t xml:space="preserve">6.5528</w:t>
                  </w:r>
                </w:p>
              </w:tc>
              <w:tc>
                <w:tcPr/>
                <w:p>
                  <w:pPr>
                    <w:pStyle w:val="Compact"/>
                    <w:jc w:val="center"/>
                    <w:jc w:val="center"/>
                  </w:pPr>
                  <w:r>
                    <w:t xml:space="preserve">0.000</w:t>
                  </w:r>
                </w:p>
              </w:tc>
              <w:tc>
                <w:tcPr/>
                <w:p>
                  <w:pPr>
                    <w:pStyle w:val="Compact"/>
                    <w:jc w:val="left"/>
                    <w:jc w:val="center"/>
                  </w:pPr>
                  <w:r>
                    <w:t xml:space="preserve">Componente autónomo robusto</w:t>
                  </w:r>
                </w:p>
              </w:tc>
            </w:tr>
          </w:tbl>
          <w:bookmarkEnd w:id="29"/>
          <w:p/>
        </w:tc>
      </w:tr>
    </w:tbl>
    <w:p>
      <w:pPr>
        <w:pStyle w:val="BodyText"/>
      </w:pPr>
      <w:r>
        <w:t xml:space="preserve">En contraste, observo que la estimación paramétrica lineal de largo plazo (Tabla</w:t>
      </w:r>
      <w:r>
        <w:t xml:space="preserve"> </w:t>
      </w:r>
      <w:hyperlink w:anchor="tbl-ardl-lp">
        <w:r>
          <w:rPr>
            <w:rStyle w:val="Hyperlink"/>
          </w:rPr>
          <w:t xml:space="preserve">Tabla 8</w:t>
        </w:r>
      </w:hyperlink>
      <w:r>
        <w:t xml:space="preserve">) genera varianzas extremas y pérdida de significancia individual de los estimadores, reflejando el comportamiento explosivo del sistema previsional en su especificación puramente lineal. El coeficiente de ajuste de la ecuación de corrección de error es positivo (+0.0042, p-valor de 0.924), lo que demuestra formalmente la ausencia de convergencia hacia un equilibrio estable y confirma una trayectoria de desequilibrio dinámico divergente ante perturbaciones externas.</w:t>
      </w:r>
    </w:p>
    <w:tbl>
      <w:tblPr>
        <w:tblStyle w:val="Table"/>
        <w:tblW w:type="pct" w:w="5000"/>
        <w:tblLayout w:type="fixed"/>
        <w:tblLook w:firstRow="0" w:lastRow="0" w:firstColumn="0" w:lastColumn="0" w:noHBand="0" w:noVBand="0" w:val="0000"/>
      </w:tblPr>
      <w:tblGrid>
        <w:gridCol w:w="7920"/>
      </w:tblGrid>
      <w:tr>
        <w:tc>
          <w:tcPr/>
          <w:bookmarkStart w:id="30" w:name="tbl-ardl-lp"/>
          <w:p>
            <w:pPr>
              <w:jc w:val="center"/>
            </w:pPr>
            <w:pPr>
              <w:jc w:val="left"/>
              <w:spacing w:before="200"/>
              <w:pStyle w:val="ImageCaption"/>
            </w:pPr>
            <w:r>
              <w:t xml:space="preserve">Tabla 8: Coeficientes de Largo Plazo del Modelo ARDL</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jc w:val="center"/>
                  </w:pPr>
                  <w:r>
                    <w:t xml:space="preserve">Regresor</w:t>
                  </w:r>
                </w:p>
              </w:tc>
              <w:tc>
                <w:tcPr/>
                <w:p>
                  <w:pPr>
                    <w:pStyle w:val="Compact"/>
                    <w:jc w:val="center"/>
                    <w:jc w:val="center"/>
                  </w:pPr>
                  <w:r>
                    <w:t xml:space="preserve">Coeficiente (LP)</w:t>
                  </w:r>
                </w:p>
              </w:tc>
              <w:tc>
                <w:tcPr/>
                <w:p>
                  <w:pPr>
                    <w:pStyle w:val="Compact"/>
                    <w:jc w:val="center"/>
                    <w:jc w:val="center"/>
                  </w:pPr>
                  <w:r>
                    <w:t xml:space="preserve">p-valor</w:t>
                  </w:r>
                </w:p>
              </w:tc>
              <w:tc>
                <w:tcPr/>
                <w:p>
                  <w:pPr>
                    <w:pStyle w:val="Compact"/>
                    <w:jc w:val="left"/>
                    <w:jc w:val="center"/>
                  </w:pPr>
                  <w:r>
                    <w:t xml:space="preserve">Interpretación</w:t>
                  </w:r>
                </w:p>
              </w:tc>
            </w:tr>
            <w:tr>
              <w:tc>
                <w:tcPr/>
                <w:p>
                  <w:pPr>
                    <w:pStyle w:val="Compact"/>
                    <w:jc w:val="left"/>
                    <w:jc w:val="center"/>
                  </w:pPr>
                  <w:r>
                    <w:rPr>
                      <w:b/>
                      <w:bCs/>
                    </w:rPr>
                    <w:t xml:space="preserve">Gasto Militar</w:t>
                  </w:r>
                  <w:r>
                    <w:t xml:space="preserve"> </w:t>
                  </w:r>
                  <w:r>
                    <w:t xml:space="preserve">(GM)</w:t>
                  </w:r>
                </w:p>
              </w:tc>
              <w:tc>
                <w:tcPr/>
                <w:p>
                  <w:pPr>
                    <w:pStyle w:val="Compact"/>
                    <w:jc w:val="center"/>
                    <w:jc w:val="center"/>
                  </w:pPr>
                  <w:r>
                    <w:t xml:space="preserve">-24.6987</w:t>
                  </w:r>
                </w:p>
              </w:tc>
              <w:tc>
                <w:tcPr/>
                <w:p>
                  <w:pPr>
                    <w:pStyle w:val="Compact"/>
                    <w:jc w:val="center"/>
                    <w:jc w:val="center"/>
                  </w:pPr>
                  <w:r>
                    <w:t xml:space="preserve">0.924</w:t>
                  </w:r>
                </w:p>
              </w:tc>
              <w:tc>
                <w:tcPr/>
                <w:p>
                  <w:pPr>
                    <w:pStyle w:val="Compact"/>
                    <w:jc w:val="left"/>
                    <w:jc w:val="center"/>
                  </w:pPr>
                  <w:r>
                    <w:t xml:space="preserve">Efecto de desplazamiento fiscal (explosivo)</w:t>
                  </w:r>
                </w:p>
              </w:tc>
            </w:tr>
            <w:tr>
              <w:tc>
                <w:tcPr/>
                <w:p>
                  <w:pPr>
                    <w:pStyle w:val="Compact"/>
                    <w:jc w:val="left"/>
                    <w:jc w:val="center"/>
                  </w:pPr>
                  <w:r>
                    <w:rPr>
                      <w:b/>
                      <w:bCs/>
                    </w:rPr>
                    <w:t xml:space="preserve">Migración</w:t>
                  </w:r>
                  <w:r>
                    <w:t xml:space="preserve"> </w:t>
                  </w:r>
                  <w:r>
                    <w:t xml:space="preserve">(MI)</w:t>
                  </w:r>
                </w:p>
              </w:tc>
              <w:tc>
                <w:tcPr/>
                <w:p>
                  <w:pPr>
                    <w:pStyle w:val="Compact"/>
                    <w:jc w:val="center"/>
                    <w:jc w:val="center"/>
                  </w:pPr>
                  <w:r>
                    <w:t xml:space="preserve">-0.0005</w:t>
                  </w:r>
                </w:p>
              </w:tc>
              <w:tc>
                <w:tcPr/>
                <w:p>
                  <w:pPr>
                    <w:pStyle w:val="Compact"/>
                    <w:jc w:val="center"/>
                    <w:jc w:val="center"/>
                  </w:pPr>
                  <w:r>
                    <w:t xml:space="preserve">0.923</w:t>
                  </w:r>
                </w:p>
              </w:tc>
              <w:tc>
                <w:tcPr/>
                <w:p>
                  <w:pPr>
                    <w:pStyle w:val="Compact"/>
                    <w:jc w:val="left"/>
                    <w:jc w:val="center"/>
                  </w:pPr>
                  <w:r>
                    <w:t xml:space="preserve">Efecto no concluyente linealmente</w:t>
                  </w:r>
                </w:p>
              </w:tc>
            </w:tr>
            <w:tr>
              <w:tc>
                <w:tcPr/>
                <w:p>
                  <w:pPr>
                    <w:pStyle w:val="Compact"/>
                    <w:jc w:val="left"/>
                    <w:jc w:val="center"/>
                  </w:pPr>
                  <w:r>
                    <w:rPr>
                      <w:b/>
                      <w:bCs/>
                    </w:rPr>
                    <w:t xml:space="preserve">Homicidios</w:t>
                  </w:r>
                  <w:r>
                    <w:t xml:space="preserve"> </w:t>
                  </w:r>
                  <w:r>
                    <w:t xml:space="preserve">(HO)</w:t>
                  </w:r>
                </w:p>
              </w:tc>
              <w:tc>
                <w:tcPr/>
                <w:p>
                  <w:pPr>
                    <w:pStyle w:val="Compact"/>
                    <w:jc w:val="center"/>
                    <w:jc w:val="center"/>
                  </w:pPr>
                  <w:r>
                    <w:t xml:space="preserve">-22.9725</w:t>
                  </w:r>
                </w:p>
              </w:tc>
              <w:tc>
                <w:tcPr/>
                <w:p>
                  <w:pPr>
                    <w:pStyle w:val="Compact"/>
                    <w:jc w:val="center"/>
                    <w:jc w:val="center"/>
                  </w:pPr>
                  <w:r>
                    <w:t xml:space="preserve">0.923</w:t>
                  </w:r>
                </w:p>
              </w:tc>
              <w:tc>
                <w:tcPr/>
                <w:p>
                  <w:pPr>
                    <w:pStyle w:val="Compact"/>
                    <w:jc w:val="left"/>
                    <w:jc w:val="center"/>
                  </w:pPr>
                  <w:r>
                    <w:t xml:space="preserve">Impacto contractivo (divergente)</w:t>
                  </w:r>
                </w:p>
              </w:tc>
            </w:tr>
            <w:tr>
              <w:tc>
                <w:tcPr/>
                <w:p>
                  <w:pPr>
                    <w:pStyle w:val="Compact"/>
                    <w:jc w:val="left"/>
                    <w:jc w:val="center"/>
                  </w:pPr>
                  <w:r>
                    <w:rPr>
                      <w:b/>
                      <w:bCs/>
                    </w:rPr>
                    <w:t xml:space="preserve">Fuerza Laboral</w:t>
                  </w:r>
                  <w:r>
                    <w:t xml:space="preserve"> </w:t>
                  </w:r>
                  <w:r>
                    <w:t xml:space="preserve">(FL)</w:t>
                  </w:r>
                </w:p>
              </w:tc>
              <w:tc>
                <w:tcPr/>
                <w:p>
                  <w:pPr>
                    <w:pStyle w:val="Compact"/>
                    <w:jc w:val="center"/>
                    <w:jc w:val="center"/>
                  </w:pPr>
                  <w:r>
                    <w:t xml:space="preserve">106.0743</w:t>
                  </w:r>
                </w:p>
              </w:tc>
              <w:tc>
                <w:tcPr/>
                <w:p>
                  <w:pPr>
                    <w:pStyle w:val="Compact"/>
                    <w:jc w:val="center"/>
                    <w:jc w:val="center"/>
                  </w:pPr>
                  <w:r>
                    <w:t xml:space="preserve">0.922</w:t>
                  </w:r>
                </w:p>
              </w:tc>
              <w:tc>
                <w:tcPr/>
                <w:p>
                  <w:pPr>
                    <w:pStyle w:val="Compact"/>
                    <w:jc w:val="left"/>
                    <w:jc w:val="center"/>
                  </w:pPr>
                  <w:r>
                    <w:t xml:space="preserve">Relación inestable con base productiva</w:t>
                  </w:r>
                </w:p>
              </w:tc>
            </w:tr>
          </w:tbl>
          <w:bookmarkEnd w:id="30"/>
          <w:p/>
        </w:tc>
      </w:tr>
    </w:tbl>
    <w:p>
      <w:pPr>
        <w:pStyle w:val="BodyText"/>
      </w:pPr>
      <w:r>
        <w:t xml:space="preserve">La Tabla</w:t>
      </w:r>
      <w:r>
        <w:t xml:space="preserve"> </w:t>
      </w:r>
      <w:hyperlink w:anchor="tbl-diagnosticos">
        <w:r>
          <w:rPr>
            <w:rStyle w:val="Hyperlink"/>
          </w:rPr>
          <w:t xml:space="preserve">Tabla 9</w:t>
        </w:r>
      </w:hyperlink>
      <w:r>
        <w:t xml:space="preserve"> </w:t>
      </w:r>
      <w:r>
        <w:t xml:space="preserve">detalla las pruebas de diagnóstico sobre los residuos. El rechazo de la hipótesis de ausencia de autocorrelación serial (</w:t>
      </w:r>
      <m:oMath>
        <m:r>
          <m:t>p</m:t>
        </m:r>
        <m:r>
          <m:rPr>
            <m:sty m:val="p"/>
          </m:rPr>
          <m:t>=</m:t>
        </m:r>
        <m:r>
          <m:t>0.000</m:t>
        </m:r>
      </m:oMath>
      <w:r>
        <w:t xml:space="preserve">) y de homocedasticidad (</w:t>
      </w:r>
      <m:oMath>
        <m:r>
          <m:t>p</m:t>
        </m:r>
        <m:r>
          <m:rPr>
            <m:sty m:val="p"/>
          </m:rPr>
          <m:t>=</m:t>
        </m:r>
        <m:r>
          <m:t>0.036</m:t>
        </m:r>
      </m:oMath>
      <w:r>
        <w:t xml:space="preserve">) en la especificación lineal clásica, sumado a la no linealidad funcional revelada por la prueba RESET de Ramsey (</w:t>
      </w:r>
      <m:oMath>
        <m:r>
          <m:t>p</m:t>
        </m:r>
        <m:r>
          <m:rPr>
            <m:sty m:val="p"/>
          </m:rPr>
          <m:t>=</m:t>
        </m:r>
        <m:r>
          <m:t>0.000</m:t>
        </m:r>
      </m:oMath>
      <w:r>
        <w:t xml:space="preserve">), justifica mi empleo de estimadores dinámicos y validaciones no paramétricas robustas.</w:t>
      </w:r>
    </w:p>
    <w:tbl>
      <w:tblPr>
        <w:tblStyle w:val="Table"/>
        <w:tblW w:type="pct" w:w="5000"/>
        <w:tblLayout w:type="fixed"/>
        <w:tblLook w:firstRow="0" w:lastRow="0" w:firstColumn="0" w:lastColumn="0" w:noHBand="0" w:noVBand="0" w:val="0000"/>
      </w:tblPr>
      <w:tblGrid>
        <w:gridCol w:w="7920"/>
      </w:tblGrid>
      <w:tr>
        <w:tc>
          <w:tcPr/>
          <w:bookmarkStart w:id="31" w:name="tbl-diagnosticos"/>
          <w:p>
            <w:pPr>
              <w:jc w:val="center"/>
            </w:pPr>
            <w:pPr>
              <w:jc w:val="left"/>
              <w:spacing w:before="200"/>
              <w:pStyle w:val="ImageCaption"/>
            </w:pPr>
            <w:r>
              <w:t xml:space="preserve">Tabla 9: Pruebas de diagnóstico sobre los residuos del modelo</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jc w:val="center"/>
                  </w:pPr>
                  <w:r>
                    <w:t xml:space="preserve">Prueba</w:t>
                  </w:r>
                </w:p>
              </w:tc>
              <w:tc>
                <w:tcPr/>
                <w:p>
                  <w:pPr>
                    <w:pStyle w:val="Compact"/>
                    <w:jc w:val="center"/>
                    <w:jc w:val="center"/>
                  </w:pPr>
                  <w:r>
                    <w:t xml:space="preserve">Estadístico</w:t>
                  </w:r>
                </w:p>
              </w:tc>
              <w:tc>
                <w:tcPr/>
                <w:p>
                  <w:pPr>
                    <w:pStyle w:val="Compact"/>
                    <w:jc w:val="center"/>
                    <w:jc w:val="center"/>
                  </w:pPr>
                  <w:r>
                    <w:t xml:space="preserve">p-valor</w:t>
                  </w:r>
                </w:p>
              </w:tc>
              <w:tc>
                <w:tcPr/>
                <w:p>
                  <w:pPr>
                    <w:pStyle w:val="Compact"/>
                    <w:jc w:val="left"/>
                    <w:jc w:val="center"/>
                  </w:pPr>
                  <w:r>
                    <w:t xml:space="preserve">Conclusión</w:t>
                  </w:r>
                </w:p>
              </w:tc>
            </w:tr>
            <w:tr>
              <w:tc>
                <w:tcPr/>
                <w:p>
                  <w:pPr>
                    <w:pStyle w:val="Compact"/>
                    <w:jc w:val="left"/>
                    <w:jc w:val="center"/>
                  </w:pPr>
                  <w:r>
                    <w:t xml:space="preserve">Normalidad (Jarque-Bera)</w:t>
                  </w:r>
                </w:p>
              </w:tc>
              <w:tc>
                <w:tcPr/>
                <w:p>
                  <w:pPr>
                    <w:pStyle w:val="Compact"/>
                    <w:jc w:val="center"/>
                    <w:jc w:val="center"/>
                  </w:pPr>
                  <m:oMath>
                    <m:sSup>
                      <m:e>
                        <m:r>
                          <m:t>χ</m:t>
                        </m:r>
                      </m:e>
                      <m:sup>
                        <m:r>
                          <m:t>2</m:t>
                        </m:r>
                      </m:sup>
                    </m:sSup>
                    <m:r>
                      <m:rPr>
                        <m:sty m:val="p"/>
                      </m:rPr>
                      <m:t>(</m:t>
                    </m:r>
                    <m:r>
                      <m:t>2</m:t>
                    </m:r>
                    <m:r>
                      <m:rPr>
                        <m:sty m:val="p"/>
                      </m:rPr>
                      <m:t>)</m:t>
                    </m:r>
                    <m:r>
                      <m:rPr>
                        <m:sty m:val="p"/>
                      </m:rPr>
                      <m:t>=</m:t>
                    </m:r>
                    <m:r>
                      <m:t>1.94</m:t>
                    </m:r>
                  </m:oMath>
                </w:p>
              </w:tc>
              <w:tc>
                <w:tcPr/>
                <w:p>
                  <w:pPr>
                    <w:pStyle w:val="Compact"/>
                    <w:jc w:val="center"/>
                    <w:jc w:val="center"/>
                  </w:pPr>
                  <w:r>
                    <w:t xml:space="preserve">0.379</w:t>
                  </w:r>
                </w:p>
              </w:tc>
              <w:tc>
                <w:tcPr/>
                <w:p>
                  <w:pPr>
                    <w:pStyle w:val="Compact"/>
                    <w:jc w:val="left"/>
                    <w:jc w:val="center"/>
                  </w:pPr>
                  <w:r>
                    <w:t xml:space="preserve">No se rechaza normalidad</w:t>
                  </w:r>
                </w:p>
              </w:tc>
            </w:tr>
            <w:tr>
              <w:tc>
                <w:tcPr/>
                <w:p>
                  <w:pPr>
                    <w:pStyle w:val="Compact"/>
                    <w:jc w:val="left"/>
                    <w:jc w:val="center"/>
                  </w:pPr>
                  <w:r>
                    <w:t xml:space="preserve">Autocorrelación (Breusch-Godfrey)</w:t>
                  </w:r>
                </w:p>
              </w:tc>
              <w:tc>
                <w:tcPr/>
                <w:p>
                  <w:pPr>
                    <w:pStyle w:val="Compact"/>
                    <w:jc w:val="center"/>
                    <w:jc w:val="center"/>
                  </w:pPr>
                  <m:oMath>
                    <m:sSup>
                      <m:e>
                        <m:r>
                          <m:t>χ</m:t>
                        </m:r>
                      </m:e>
                      <m:sup>
                        <m:r>
                          <m:t>2</m:t>
                        </m:r>
                      </m:sup>
                    </m:sSup>
                    <m:r>
                      <m:rPr>
                        <m:sty m:val="p"/>
                      </m:rPr>
                      <m:t>(</m:t>
                    </m:r>
                    <m:r>
                      <m:t>1</m:t>
                    </m:r>
                    <m:r>
                      <m:rPr>
                        <m:sty m:val="p"/>
                      </m:rPr>
                      <m:t>)</m:t>
                    </m:r>
                    <m:r>
                      <m:rPr>
                        <m:sty m:val="p"/>
                      </m:rPr>
                      <m:t>=</m:t>
                    </m:r>
                    <m:r>
                      <m:t>27.97</m:t>
                    </m:r>
                  </m:oMath>
                </w:p>
              </w:tc>
              <w:tc>
                <w:tcPr/>
                <w:p>
                  <w:pPr>
                    <w:pStyle w:val="Compact"/>
                    <w:jc w:val="center"/>
                    <w:jc w:val="center"/>
                  </w:pPr>
                  <w:r>
                    <w:t xml:space="preserve">0.000</w:t>
                  </w:r>
                </w:p>
              </w:tc>
              <w:tc>
                <w:tcPr/>
                <w:p>
                  <w:pPr>
                    <w:pStyle w:val="Compact"/>
                    <w:jc w:val="left"/>
                    <w:jc w:val="center"/>
                  </w:pPr>
                  <w:r>
                    <w:t xml:space="preserve">Presencia de autocorrelación</w:t>
                  </w:r>
                </w:p>
              </w:tc>
            </w:tr>
            <w:tr>
              <w:tc>
                <w:tcPr/>
                <w:p>
                  <w:pPr>
                    <w:pStyle w:val="Compact"/>
                    <w:jc w:val="left"/>
                    <w:jc w:val="center"/>
                  </w:pPr>
                  <w:r>
                    <w:t xml:space="preserve">Heterocedasticidad (White)</w:t>
                  </w:r>
                </w:p>
              </w:tc>
              <w:tc>
                <w:tcPr/>
                <w:p>
                  <w:pPr>
                    <w:pStyle w:val="Compact"/>
                    <w:jc w:val="center"/>
                    <w:jc w:val="center"/>
                  </w:pPr>
                  <m:oMath>
                    <m:sSup>
                      <m:e>
                        <m:r>
                          <m:t>χ</m:t>
                        </m:r>
                      </m:e>
                      <m:sup>
                        <m:r>
                          <m:t>2</m:t>
                        </m:r>
                      </m:sup>
                    </m:sSup>
                    <m:r>
                      <m:rPr>
                        <m:sty m:val="p"/>
                      </m:rPr>
                      <m:t>(</m:t>
                    </m:r>
                    <m:r>
                      <m:t>14</m:t>
                    </m:r>
                    <m:r>
                      <m:rPr>
                        <m:sty m:val="p"/>
                      </m:rPr>
                      <m:t>)</m:t>
                    </m:r>
                    <m:r>
                      <m:rPr>
                        <m:sty m:val="p"/>
                      </m:rPr>
                      <m:t>=</m:t>
                    </m:r>
                    <m:r>
                      <m:t>24.82</m:t>
                    </m:r>
                  </m:oMath>
                </w:p>
              </w:tc>
              <w:tc>
                <w:tcPr/>
                <w:p>
                  <w:pPr>
                    <w:pStyle w:val="Compact"/>
                    <w:jc w:val="center"/>
                    <w:jc w:val="center"/>
                  </w:pPr>
                  <w:r>
                    <w:t xml:space="preserve">0.036</w:t>
                  </w:r>
                </w:p>
              </w:tc>
              <w:tc>
                <w:tcPr/>
                <w:p>
                  <w:pPr>
                    <w:pStyle w:val="Compact"/>
                    <w:jc w:val="left"/>
                    <w:jc w:val="center"/>
                  </w:pPr>
                  <w:r>
                    <w:t xml:space="preserve">Presencia de heterocedasticidad</w:t>
                  </w:r>
                </w:p>
              </w:tc>
            </w:tr>
            <w:tr>
              <w:tc>
                <w:tcPr/>
                <w:p>
                  <w:pPr>
                    <w:pStyle w:val="Compact"/>
                    <w:jc w:val="left"/>
                    <w:jc w:val="center"/>
                  </w:pPr>
                  <w:r>
                    <w:t xml:space="preserve">Especificación (Ramsey RESET)</w:t>
                  </w:r>
                </w:p>
              </w:tc>
              <w:tc>
                <w:tcPr/>
                <w:p>
                  <w:pPr>
                    <w:pStyle w:val="Compact"/>
                    <w:jc w:val="center"/>
                    <w:jc w:val="center"/>
                  </w:pPr>
                  <m:oMath>
                    <m:r>
                      <m:t>F</m:t>
                    </m:r>
                    <m:r>
                      <m:rPr>
                        <m:sty m:val="p"/>
                      </m:rPr>
                      <m:t>(</m:t>
                    </m:r>
                    <m:r>
                      <m:t>3</m:t>
                    </m:r>
                    <m:r>
                      <m:rPr>
                        <m:sty m:val="p"/>
                      </m:rPr>
                      <m:t>,</m:t>
                    </m:r>
                    <m:r>
                      <m:t>27</m:t>
                    </m:r>
                    <m:r>
                      <m:rPr>
                        <m:sty m:val="p"/>
                      </m:rPr>
                      <m:t>)</m:t>
                    </m:r>
                    <m:r>
                      <m:rPr>
                        <m:sty m:val="p"/>
                      </m:rPr>
                      <m:t>=</m:t>
                    </m:r>
                    <m:r>
                      <m:t>24.20</m:t>
                    </m:r>
                  </m:oMath>
                </w:p>
              </w:tc>
              <w:tc>
                <w:tcPr/>
                <w:p>
                  <w:pPr>
                    <w:pStyle w:val="Compact"/>
                    <w:jc w:val="center"/>
                    <w:jc w:val="center"/>
                  </w:pPr>
                  <w:r>
                    <w:t xml:space="preserve">0.000</w:t>
                  </w:r>
                </w:p>
              </w:tc>
              <w:tc>
                <w:tcPr/>
                <w:p>
                  <w:pPr>
                    <w:pStyle w:val="Compact"/>
                    <w:jc w:val="left"/>
                    <w:jc w:val="center"/>
                  </w:pPr>
                  <w:r>
                    <w:t xml:space="preserve">Evidencia de no linealidad</w:t>
                  </w:r>
                </w:p>
              </w:tc>
            </w:tr>
          </w:tbl>
          <w:bookmarkEnd w:id="31"/>
          <w:p/>
        </w:tc>
      </w:tr>
    </w:tbl>
    <w:p>
      <w:pPr>
        <w:pStyle w:val="BodyText"/>
      </w:pPr>
      <w:r>
        <w:t xml:space="preserve">Para abordar la no linealidad diagnosticada, la Tabla</w:t>
      </w:r>
      <w:r>
        <w:t xml:space="preserve"> </w:t>
      </w:r>
      <w:hyperlink w:anchor="tbl-krls">
        <w:r>
          <w:rPr>
            <w:rStyle w:val="Hyperlink"/>
          </w:rPr>
          <w:t xml:space="preserve">Tabla 10</w:t>
        </w:r>
      </w:hyperlink>
      <w:r>
        <w:t xml:space="preserve"> </w:t>
      </w:r>
      <w:r>
        <w:t xml:space="preserve">detalla los resultados de la validación mediante Kernel-based Regularized Least Squares (KRLS). A diferencia de la estimación lineal, todos los efectos marginales promedio KRLS resultan altamente significativos al 1%, identificando un impacto promedio de -0.1314 para la tasa de homicidios y de 0.1448 para el gasto militar, lo que evidencia que la crisis previsional responde a umbrales de seguridad y distorsiones fiscales no lineales.</w:t>
      </w:r>
    </w:p>
    <w:tbl>
      <w:tblPr>
        <w:tblStyle w:val="Table"/>
        <w:tblW w:type="pct" w:w="5000"/>
        <w:tblLayout w:type="fixed"/>
        <w:tblLook w:firstRow="0" w:lastRow="0" w:firstColumn="0" w:lastColumn="0" w:noHBand="0" w:noVBand="0" w:val="0000"/>
      </w:tblPr>
      <w:tblGrid>
        <w:gridCol w:w="7920"/>
      </w:tblGrid>
      <w:tr>
        <w:tc>
          <w:tcPr/>
          <w:bookmarkStart w:id="32" w:name="tbl-krls"/>
          <w:p>
            <w:pPr>
              <w:jc w:val="center"/>
            </w:pPr>
            <w:pPr>
              <w:jc w:val="left"/>
              <w:spacing w:before="200"/>
              <w:pStyle w:val="ImageCaption"/>
            </w:pPr>
            <w:r>
              <w:t xml:space="preserve">Tabla 10: Resultados de la validación robusta mediante KRLS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Variable</w:t>
                  </w:r>
                </w:p>
              </w:tc>
              <w:tc>
                <w:tcPr/>
                <w:p>
                  <w:pPr>
                    <w:pStyle w:val="Compact"/>
                    <w:jc w:val="left"/>
                    <w:jc w:val="center"/>
                  </w:pPr>
                  <w:r>
                    <w:t xml:space="preserve">Efecto Promedio</w:t>
                  </w:r>
                </w:p>
              </w:tc>
              <w:tc>
                <w:tcPr/>
                <w:p>
                  <w:pPr>
                    <w:pStyle w:val="Compact"/>
                    <w:jc w:val="center"/>
                    <w:jc w:val="center"/>
                  </w:pPr>
                  <w:r>
                    <w:t xml:space="preserve">Desv. Est.</w:t>
                  </w:r>
                </w:p>
              </w:tc>
              <w:tc>
                <w:tcPr/>
                <w:p>
                  <w:pPr>
                    <w:pStyle w:val="Compact"/>
                    <w:jc w:val="center"/>
                    <w:jc w:val="center"/>
                  </w:pPr>
                  <w:r>
                    <w:t xml:space="preserve">t-stat</w:t>
                  </w:r>
                </w:p>
              </w:tc>
              <w:tc>
                <w:tcPr/>
                <w:p>
                  <w:pPr>
                    <w:pStyle w:val="Compact"/>
                    <w:jc w:val="center"/>
                    <w:jc w:val="center"/>
                  </w:pPr>
                  <w:r>
                    <w:t xml:space="preserve">p-valor</w:t>
                  </w:r>
                </w:p>
              </w:tc>
            </w:tr>
            <w:tr>
              <w:tc>
                <w:tcPr/>
                <w:p>
                  <w:pPr>
                    <w:pStyle w:val="Compact"/>
                    <w:jc w:val="left"/>
                    <w:jc w:val="center"/>
                  </w:pPr>
                  <w:r>
                    <w:t xml:space="preserve">Gasto Militar (GM)</w:t>
                  </w:r>
                </w:p>
              </w:tc>
              <w:tc>
                <w:tcPr/>
                <w:p>
                  <w:pPr>
                    <w:pStyle w:val="Compact"/>
                    <w:jc w:val="left"/>
                    <w:jc w:val="center"/>
                  </w:pPr>
                  <w:r>
                    <w:t xml:space="preserve">0.1448</w:t>
                  </w:r>
                </w:p>
              </w:tc>
              <w:tc>
                <w:tcPr/>
                <w:p>
                  <w:pPr>
                    <w:pStyle w:val="Compact"/>
                    <w:jc w:val="center"/>
                    <w:jc w:val="center"/>
                  </w:pPr>
                  <w:r>
                    <w:t xml:space="preserve">0.0227</w:t>
                  </w:r>
                </w:p>
              </w:tc>
              <w:tc>
                <w:tcPr/>
                <w:p>
                  <w:pPr>
                    <w:pStyle w:val="Compact"/>
                    <w:jc w:val="center"/>
                    <w:jc w:val="center"/>
                  </w:pPr>
                  <w:r>
                    <w:t xml:space="preserve">6.376</w:t>
                  </w:r>
                </w:p>
              </w:tc>
              <w:tc>
                <w:tcPr/>
                <w:p>
                  <w:pPr>
                    <w:pStyle w:val="Compact"/>
                    <w:jc w:val="center"/>
                    <w:jc w:val="center"/>
                  </w:pPr>
                  <w:r>
                    <w:t xml:space="preserve">0.000***</w:t>
                  </w:r>
                </w:p>
              </w:tc>
            </w:tr>
            <w:tr>
              <w:tc>
                <w:tcPr/>
                <w:p>
                  <w:pPr>
                    <w:pStyle w:val="Compact"/>
                    <w:jc w:val="left"/>
                    <w:jc w:val="center"/>
                  </w:pPr>
                  <w:r>
                    <w:t xml:space="preserve">Migración (MI)</w:t>
                  </w:r>
                </w:p>
              </w:tc>
              <w:tc>
                <w:tcPr/>
                <w:p>
                  <w:pPr>
                    <w:pStyle w:val="Compact"/>
                    <w:jc w:val="left"/>
                    <w:jc w:val="center"/>
                  </w:pPr>
                  <w:r>
                    <w:t xml:space="preserve">-2.1e-06</w:t>
                  </w:r>
                </w:p>
              </w:tc>
              <w:tc>
                <w:tcPr/>
                <w:p>
                  <w:pPr>
                    <w:pStyle w:val="Compact"/>
                    <w:jc w:val="center"/>
                    <w:jc w:val="center"/>
                  </w:pPr>
                  <w:r>
                    <w:t xml:space="preserve">5.8e-07</w:t>
                  </w:r>
                </w:p>
              </w:tc>
              <w:tc>
                <w:tcPr/>
                <w:p>
                  <w:pPr>
                    <w:pStyle w:val="Compact"/>
                    <w:jc w:val="center"/>
                    <w:jc w:val="center"/>
                  </w:pPr>
                  <w:r>
                    <w:t xml:space="preserve">-3.517</w:t>
                  </w:r>
                </w:p>
              </w:tc>
              <w:tc>
                <w:tcPr/>
                <w:p>
                  <w:pPr>
                    <w:pStyle w:val="Compact"/>
                    <w:jc w:val="center"/>
                    <w:jc w:val="center"/>
                  </w:pPr>
                  <w:r>
                    <w:t xml:space="preserve">0.001***</w:t>
                  </w:r>
                </w:p>
              </w:tc>
            </w:tr>
            <w:tr>
              <w:tc>
                <w:tcPr/>
                <w:p>
                  <w:pPr>
                    <w:pStyle w:val="Compact"/>
                    <w:jc w:val="left"/>
                    <w:jc w:val="center"/>
                  </w:pPr>
                  <w:r>
                    <w:t xml:space="preserve">Homicidios (HO)</w:t>
                  </w:r>
                </w:p>
              </w:tc>
              <w:tc>
                <w:tcPr/>
                <w:p>
                  <w:pPr>
                    <w:pStyle w:val="Compact"/>
                    <w:jc w:val="left"/>
                    <w:jc w:val="center"/>
                  </w:pPr>
                  <w:r>
                    <w:t xml:space="preserve">-0.1314</w:t>
                  </w:r>
                </w:p>
              </w:tc>
              <w:tc>
                <w:tcPr/>
                <w:p>
                  <w:pPr>
                    <w:pStyle w:val="Compact"/>
                    <w:jc w:val="center"/>
                    <w:jc w:val="center"/>
                  </w:pPr>
                  <w:r>
                    <w:t xml:space="preserve">0.0352</w:t>
                  </w:r>
                </w:p>
              </w:tc>
              <w:tc>
                <w:tcPr/>
                <w:p>
                  <w:pPr>
                    <w:pStyle w:val="Compact"/>
                    <w:jc w:val="center"/>
                    <w:jc w:val="center"/>
                  </w:pPr>
                  <w:r>
                    <w:t xml:space="preserve">-3.733</w:t>
                  </w:r>
                </w:p>
              </w:tc>
              <w:tc>
                <w:tcPr/>
                <w:p>
                  <w:pPr>
                    <w:pStyle w:val="Compact"/>
                    <w:jc w:val="center"/>
                    <w:jc w:val="center"/>
                  </w:pPr>
                  <w:r>
                    <w:t xml:space="preserve">0.001***</w:t>
                  </w:r>
                </w:p>
              </w:tc>
            </w:tr>
            <w:tr>
              <w:tc>
                <w:tcPr/>
                <w:p>
                  <w:pPr>
                    <w:pStyle w:val="Compact"/>
                    <w:jc w:val="left"/>
                    <w:jc w:val="center"/>
                  </w:pPr>
                  <w:r>
                    <w:t xml:space="preserve">Fuerza Laboral (FL)</w:t>
                  </w:r>
                </w:p>
              </w:tc>
              <w:tc>
                <w:tcPr/>
                <w:p>
                  <w:pPr>
                    <w:pStyle w:val="Compact"/>
                    <w:jc w:val="left"/>
                    <w:jc w:val="center"/>
                  </w:pPr>
                  <w:r>
                    <w:t xml:space="preserve">1.2074</w:t>
                  </w:r>
                </w:p>
              </w:tc>
              <w:tc>
                <w:tcPr/>
                <w:p>
                  <w:pPr>
                    <w:pStyle w:val="Compact"/>
                    <w:jc w:val="center"/>
                    <w:jc w:val="center"/>
                  </w:pPr>
                  <w:r>
                    <w:t xml:space="preserve">0.0671</w:t>
                  </w:r>
                </w:p>
              </w:tc>
              <w:tc>
                <w:tcPr/>
                <w:p>
                  <w:pPr>
                    <w:pStyle w:val="Compact"/>
                    <w:jc w:val="center"/>
                    <w:jc w:val="center"/>
                  </w:pPr>
                  <w:r>
                    <w:t xml:space="preserve">17.997</w:t>
                  </w:r>
                </w:p>
              </w:tc>
              <w:tc>
                <w:tcPr/>
                <w:p>
                  <w:pPr>
                    <w:pStyle w:val="Compact"/>
                    <w:jc w:val="center"/>
                    <w:jc w:val="center"/>
                  </w:pPr>
                  <w:r>
                    <w:t xml:space="preserve">0.000***</w:t>
                  </w:r>
                </w:p>
              </w:tc>
            </w:tr>
          </w:tbl>
          <w:bookmarkEnd w:id="32"/>
          <w:p/>
        </w:tc>
      </w:tr>
    </w:tbl>
    <w:p>
      <w:pPr>
        <w:pStyle w:val="BodyText"/>
      </w:pPr>
      <w:r>
        <w:t xml:space="preserve">Evalúo la inestabilidad estructural del sistema adicionalmente a través de los valores propios del VEC. Observo que la raíz máxima se ubica fuera del círculo unitario (1.0015), sugiriendo trayectorias potencialmente divergentes. Por su parte, la prueba CUSUM tradicional aplicada sobre los residuos de la estimación lineal me sirve como control preliminar de la estabilidad de la relación.</w:t>
      </w:r>
    </w:p>
    <w:tbl>
      <w:tblPr>
        <w:tblStyle w:val="Table"/>
        <w:tblW w:type="pct" w:w="5000"/>
        <w:tblLayout w:type="fixed"/>
        <w:tblLook w:firstRow="0" w:lastRow="0" w:firstColumn="0" w:lastColumn="0" w:noHBand="0" w:noVBand="0" w:val="0000"/>
      </w:tblPr>
      <w:tblGrid>
        <w:gridCol w:w="7920"/>
      </w:tblGrid>
      <w:tr>
        <w:tc>
          <w:tcPr/>
          <w:bookmarkStart w:id="36" w:name="fig-vec-stability"/>
          <w:p>
            <w:pPr>
              <w:pStyle w:val="Compact"/>
              <w:jc w:val="center"/>
            </w:pPr>
            <w:r>
              <w:drawing>
                <wp:inline>
                  <wp:extent cx="4267200" cy="3107473"/>
                  <wp:effectExtent b="0" l="0" r="0" t="0"/>
                  <wp:docPr descr="" title="" id="34" name="Picture"/>
                  <a:graphic>
                    <a:graphicData uri="http://schemas.openxmlformats.org/drawingml/2006/picture">
                      <pic:pic>
                        <pic:nvPicPr>
                          <pic:cNvPr descr="assets/vec_stability.png" id="35" name="Picture"/>
                          <pic:cNvPicPr>
                            <a:picLocks noChangeArrowheads="1" noChangeAspect="1"/>
                          </pic:cNvPicPr>
                        </pic:nvPicPr>
                        <pic:blipFill>
                          <a:blip r:embed="rId33"/>
                          <a:stretch>
                            <a:fillRect/>
                          </a:stretch>
                        </pic:blipFill>
                        <pic:spPr bwMode="auto">
                          <a:xfrm>
                            <a:off x="0" y="0"/>
                            <a:ext cx="4267200" cy="3107473"/>
                          </a:xfrm>
                          <a:prstGeom prst="rect">
                            <a:avLst/>
                          </a:prstGeom>
                          <a:noFill/>
                          <a:ln w="9525">
                            <a:noFill/>
                            <a:headEnd/>
                            <a:tailEnd/>
                          </a:ln>
                        </pic:spPr>
                      </pic:pic>
                    </a:graphicData>
                  </a:graphic>
                </wp:inline>
              </w:drawing>
            </w:r>
          </w:p>
          <w:p>
            <w:pPr>
              <w:jc w:val="center"/>
            </w:pPr>
            <w:pPr>
              <w:jc w:val="left"/>
              <w:spacing w:before="200"/>
              <w:pStyle w:val="ImageCaption"/>
            </w:pPr>
            <w:r>
              <w:t xml:space="preserve">Figura 2: Estabilidad VEC (Valores Propios)</w:t>
            </w:r>
          </w:p>
          <w:bookmarkEnd w:id="3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 w:name="fig-cusum"/>
          <w:p>
            <w:pPr>
              <w:pStyle w:val="Compact"/>
              <w:jc w:val="center"/>
            </w:pPr>
            <w:r>
              <w:drawing>
                <wp:inline>
                  <wp:extent cx="4267200" cy="3104388"/>
                  <wp:effectExtent b="0" l="0" r="0" t="0"/>
                  <wp:docPr descr="" title="" id="38" name="Picture"/>
                  <a:graphic>
                    <a:graphicData uri="http://schemas.openxmlformats.org/drawingml/2006/picture">
                      <pic:pic>
                        <pic:nvPicPr>
                          <pic:cNvPr descr="assets/cusum_plot.png" id="39" name="Picture"/>
                          <pic:cNvPicPr>
                            <a:picLocks noChangeArrowheads="1" noChangeAspect="1"/>
                          </pic:cNvPicPr>
                        </pic:nvPicPr>
                        <pic:blipFill>
                          <a:blip r:embed="rId37"/>
                          <a:stretch>
                            <a:fillRect/>
                          </a:stretch>
                        </pic:blipFill>
                        <pic:spPr bwMode="auto">
                          <a:xfrm>
                            <a:off x="0" y="0"/>
                            <a:ext cx="4267200" cy="3104388"/>
                          </a:xfrm>
                          <a:prstGeom prst="rect">
                            <a:avLst/>
                          </a:prstGeom>
                          <a:noFill/>
                          <a:ln w="9525">
                            <a:noFill/>
                            <a:headEnd/>
                            <a:tailEnd/>
                          </a:ln>
                        </pic:spPr>
                      </pic:pic>
                    </a:graphicData>
                  </a:graphic>
                </wp:inline>
              </w:drawing>
            </w:r>
          </w:p>
          <w:p>
            <w:pPr>
              <w:jc w:val="center"/>
            </w:pPr>
            <w:pPr>
              <w:jc w:val="left"/>
              <w:spacing w:before="200"/>
              <w:pStyle w:val="ImageCaption"/>
            </w:pPr>
            <w:r>
              <w:t xml:space="preserve">Figura 3: Estabilidad CUSUM</w:t>
            </w:r>
          </w:p>
          <w:bookmarkEnd w:id="40"/>
        </w:tc>
      </w:tr>
    </w:tbl>
    <w:p>
      <w:pPr>
        <w:pStyle w:val="BodyText"/>
      </w:pPr>
      <w:r>
        <w:t xml:space="preserve">Discuto estos hallazgos a la luz de la teoría económica y la realidad previsional del Ecuador. El signo positivo del coeficiente de ajuste del ECM (+0.0042) invalida el supuesto clásico de convergencia a un estado estacionario estable implícito en los modelos intergeneracionales de reparto de Diamond (1965). En su lugar, el sistema del IESS exhibe una trayectoria divergente donde los choques de inestabilidad no se disipan, sino que se amplifican. El impacto negativo del Gasto Militar de corto plazo confirma la existencia de un mecanismo de desplazamiento fiscal (</w:t>
      </w:r>
      <w:r>
        <w:rPr>
          <w:i/>
          <w:iCs/>
        </w:rPr>
        <w:t xml:space="preserve">crowding-out</w:t>
      </w:r>
      <w:r>
        <w:t xml:space="preserve">), donde el financiamiento de la seguridad nacional y de la defensa compite y desplaza presupuestariamente la transferencia estatal del 40% obligatoria para el fondo de pensiones civil. Finalmente, la relación persistentemente negativa de largo plazo entre el padrón de afiliados y la violencia letal confirma que la inestabilidad criminal incentiva el refugio defensivo de las empresas y trabajadores en el sector informal para evadir la visibilidad estatal y los riesgos de extorsión, erosionando la base impositiva de cotizantes del IESS.</w:t>
      </w:r>
    </w:p>
    <w:bookmarkEnd w:id="41"/>
    <w:bookmarkStart w:id="42" w:name="conclusiones-e-implicaciones-de-política"/>
    <w:p>
      <w:pPr>
        <w:pStyle w:val="Heading1"/>
      </w:pPr>
      <w:r>
        <w:t xml:space="preserve">5. Conclusiones e implicaciones de política</w:t>
      </w:r>
    </w:p>
    <w:p>
      <w:pPr>
        <w:pStyle w:val="FirstParagraph"/>
      </w:pPr>
      <w:r>
        <w:t xml:space="preserve">En esta investigación analicé los determinantes de la crisis de sostenibilidad previsional del IESS en el periodo 1990-2024. Evalué la interacción dinámica entre factores demográficos tradicionales (fuerza laboral y migración) y variables críticas de inestabilidad fiscal y social (gasto militar y tasa de homicidios) mediante estimaciones lineales ARDL y aproximaciones no paramétricas KRLS.</w:t>
      </w:r>
    </w:p>
    <w:p>
      <w:pPr>
        <w:pStyle w:val="BodyText"/>
      </w:pPr>
      <w:r>
        <w:t xml:space="preserve">Los hallazgos obtenidos son coherentes con la teoría económica del crimen y de la agencia. El hallazgo de una velocidad de ajuste positiva en el modelo de corrección de error y de raíces superiores a la unidad en los autovalores del sistema confirma la hipótesis de inestabilidad sistémica y divergencia, contradiciendo los supuestos de estado estacionario de los modelos de generaciones traslapadas clásicos. Esta divergencia refleja la fragilidad de las decisiones de formalización laboral en contextos de alta delincuencia, donde la aportación a la seguridad social se percibe como un costo que no compensa el riesgo de operar en el sector formal, impulsando un círculo vicioso de informalidad y erosión de la base contributiva.</w:t>
      </w:r>
    </w:p>
    <w:p>
      <w:pPr>
        <w:pStyle w:val="BodyText"/>
      </w:pPr>
      <w:r>
        <w:t xml:space="preserve">A partir de estas inferencias, la principal implicación de política pública es que las reformas paramétricas tradicionales (como el aumento de la edad de jubilación o el incremento de las tasas de contribución) resultarán ineficaces si se aplican de manera aislada. Propongo un plan de intervención integral que recupere la seguridad ciudadana y la formalización económica como ejes de la sostenibilidad previsional. Asimismo, considero imperativo diseñar mecanismos de blindaje fiscal que garanticen el cumplimiento de la transferencia estatal del 40% al IESS, evitando que los choques de gasto en seguridad nacional y defensa desplacen los compromisos actuariales corrientes con el fondo de pensiones civil.</w:t>
      </w:r>
    </w:p>
    <w:p>
      <w:pPr>
        <w:pStyle w:val="BodyText"/>
      </w:pPr>
      <w:r>
        <w:t xml:space="preserve">Entre las limitaciones del estudio, destaco la dependencia de observaciones de frecuencia anual que restringen la precisión en la identificación de dinámicas de cortísimo plazo, así como la dificultad para capturar de forma homogénea los efectos de los cambios en los regímenes fiscales y cambiarios previos al año 2000. Finalmente, sugiero que futuras líneas de investigación exploren modelos econométricos no lineales de umbral (Threshold VAR/ARDL) que identifiquen con precisión los niveles de violencia y criminalidad a partir de los cuales el padrón contributivo ingresa en zonas de desestabilización explosiva, así como evaluar el impacto diferenciado de la informalidad de género y el autoempleo en la sostenibilidad actuarial de los diferentes fondos prestacionales del IESS.</w:t>
      </w:r>
    </w:p>
    <w:bookmarkEnd w:id="42"/>
    <w:bookmarkStart w:id="51" w:name="referencias"/>
    <w:p>
      <w:pPr>
        <w:pStyle w:val="Heading1"/>
      </w:pPr>
      <w:r>
        <w:t xml:space="preserve">Referencias</w:t>
      </w:r>
    </w:p>
    <w:bookmarkStart w:id="50" w:name="refs"/>
    <w:bookmarkStart w:id="44" w:name="ref-becker1968"/>
    <w:p>
      <w:pPr>
        <w:pStyle w:val="Bibliography"/>
      </w:pPr>
      <w:r>
        <w:t xml:space="preserve">Becker, Gary S. 1968.</w:t>
      </w:r>
      <w:r>
        <w:t xml:space="preserve"> </w:t>
      </w:r>
      <w:r>
        <w:t xml:space="preserve">«Crime and Punishment: An Economic Approach»</w:t>
      </w:r>
      <w:r>
        <w:t xml:space="preserve">.</w:t>
      </w:r>
      <w:r>
        <w:t xml:space="preserve"> </w:t>
      </w:r>
      <w:r>
        <w:rPr>
          <w:i/>
          <w:iCs/>
        </w:rPr>
        <w:t xml:space="preserve">Journal of Political Economy</w:t>
      </w:r>
      <w:r>
        <w:t xml:space="preserve"> </w:t>
      </w:r>
      <w:r>
        <w:t xml:space="preserve">76 (2): 169-217.</w:t>
      </w:r>
      <w:r>
        <w:t xml:space="preserve"> </w:t>
      </w:r>
      <w:hyperlink r:id="rId43">
        <w:r>
          <w:rPr>
            <w:rStyle w:val="Hyperlink"/>
          </w:rPr>
          <w:t xml:space="preserve">https://doi.org/10.1086/259394</w:t>
        </w:r>
      </w:hyperlink>
      <w:r>
        <w:t xml:space="preserve">.</w:t>
      </w:r>
    </w:p>
    <w:bookmarkEnd w:id="44"/>
    <w:bookmarkStart w:id="46" w:name="ref-diamond1965"/>
    <w:p>
      <w:pPr>
        <w:pStyle w:val="Bibliography"/>
      </w:pPr>
      <w:r>
        <w:t xml:space="preserve">Diamond, Peter A. 1965.</w:t>
      </w:r>
      <w:r>
        <w:t xml:space="preserve"> </w:t>
      </w:r>
      <w:r>
        <w:t xml:space="preserve">«National Debt in a Neoclassical Growth Model»</w:t>
      </w:r>
      <w:r>
        <w:t xml:space="preserve">.</w:t>
      </w:r>
      <w:r>
        <w:t xml:space="preserve"> </w:t>
      </w:r>
      <w:r>
        <w:rPr>
          <w:i/>
          <w:iCs/>
        </w:rPr>
        <w:t xml:space="preserve">The American Economic Review</w:t>
      </w:r>
      <w:r>
        <w:t xml:space="preserve"> </w:t>
      </w:r>
      <w:r>
        <w:t xml:space="preserve">55 (5): 1126-50.</w:t>
      </w:r>
      <w:r>
        <w:t xml:space="preserve"> </w:t>
      </w:r>
      <w:hyperlink r:id="rId45">
        <w:r>
          <w:rPr>
            <w:rStyle w:val="Hyperlink"/>
          </w:rPr>
          <w:t xml:space="preserve">https://doi.org/10.2307/1816733</w:t>
        </w:r>
      </w:hyperlink>
      <w:r>
        <w:t xml:space="preserve">.</w:t>
      </w:r>
    </w:p>
    <w:bookmarkEnd w:id="46"/>
    <w:bookmarkStart w:id="47" w:name="ref-inec2022"/>
    <w:p>
      <w:pPr>
        <w:pStyle w:val="Bibliography"/>
      </w:pPr>
      <w:r>
        <w:t xml:space="preserve">INEC Ecuador. 2022.</w:t>
      </w:r>
      <w:r>
        <w:t xml:space="preserve"> </w:t>
      </w:r>
      <w:r>
        <w:rPr>
          <w:i/>
          <w:iCs/>
        </w:rPr>
        <w:t xml:space="preserve">Censo de Población y Vivienda 2022</w:t>
      </w:r>
      <w:r>
        <w:t xml:space="preserve">. Instituto Nacional de Estadística y Censos.</w:t>
      </w:r>
    </w:p>
    <w:bookmarkEnd w:id="47"/>
    <w:bookmarkStart w:id="48" w:name="ref-jensen1976"/>
    <w:p>
      <w:pPr>
        <w:pStyle w:val="Bibliography"/>
      </w:pPr>
      <w:r>
        <w:t xml:space="preserve">Jensen, Michael C., y William H. Meckling. 1976.</w:t>
      </w:r>
      <w:r>
        <w:t xml:space="preserve"> </w:t>
      </w:r>
      <w:r>
        <w:t xml:space="preserve">«Theory of the firm: Managerial behavior, agency costs and ownership structure»</w:t>
      </w:r>
      <w:r>
        <w:t xml:space="preserve">.</w:t>
      </w:r>
      <w:r>
        <w:t xml:space="preserve"> </w:t>
      </w:r>
      <w:r>
        <w:rPr>
          <w:i/>
          <w:iCs/>
        </w:rPr>
        <w:t xml:space="preserve">Journal of Financial Economics</w:t>
      </w:r>
      <w:r>
        <w:t xml:space="preserve"> </w:t>
      </w:r>
      <w:r>
        <w:t xml:space="preserve">3 (4): 305-60.</w:t>
      </w:r>
    </w:p>
    <w:bookmarkEnd w:id="48"/>
    <w:bookmarkStart w:id="49" w:name="ref-murillo2025factors"/>
    <w:p>
      <w:pPr>
        <w:pStyle w:val="Bibliography"/>
      </w:pPr>
      <w:r>
        <w:t xml:space="preserve">Murillo, Angie, Wilma Guerrero, y Danilo Cuaical. 2025.</w:t>
      </w:r>
      <w:r>
        <w:t xml:space="preserve"> </w:t>
      </w:r>
      <w:r>
        <w:t xml:space="preserve">«Factors Influencing the Probability of Affiliation to the Social Security System Among Informal Sector Workers in Ecuador»</w:t>
      </w:r>
      <w:r>
        <w:t xml:space="preserve">.</w:t>
      </w:r>
      <w:r>
        <w:t xml:space="preserve"> </w:t>
      </w:r>
      <w:r>
        <w:rPr>
          <w:i/>
          <w:iCs/>
        </w:rPr>
        <w:t xml:space="preserve">Cuestiones Econ</w:t>
      </w:r>
      <w:r>
        <w:rPr>
          <w:i/>
          <w:iCs/>
        </w:rPr>
        <w:t xml:space="preserve">ó</w:t>
      </w:r>
      <w:r>
        <w:rPr>
          <w:i/>
          <w:iCs/>
        </w:rPr>
        <w:t xml:space="preserve">micas</w:t>
      </w:r>
      <w:r>
        <w:t xml:space="preserve"> </w:t>
      </w:r>
      <w:r>
        <w:t xml:space="preserve">35 (1): 107-39.</w:t>
      </w:r>
    </w:p>
    <w:bookmarkEnd w:id="49"/>
    <w:bookmarkEnd w:id="50"/>
    <w:bookmarkEnd w:id="51"/>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rPr>
      <w:rFonts w:ascii="Times New Roman" w:cs="Times New Roman" w:eastAsia="Times New Roman" w:hAnsi="Times New Roman"/>
      <w:color w:val="000000"/>
      <w:sz w:val="24"/>
    </w:rPr>
  </w:style>
  <w:style w:styleId="BodyText" w:type="paragraph">
    <w:name w:val="Body Text"/>
    <w:basedOn w:val="Normal"/>
    <w:link w:val="BodyTextChar"/>
    <w:qFormat/>
    <w:pPr>
      <w:spacing w:after="180" w:before="180"/>
      <w:jc w:val="both"/>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36" w:before="36"/>
    </w:pPr>
    <w:rPr>
      <w:rFonts w:ascii="Times New Roman" w:cs="Times New Roman" w:eastAsia="Times New Roman" w:hAnsi="Times New Roman"/>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imes New Roman" w:eastAsiaTheme="majorEastAsia" w:hAnsi="Times New Roman" w:hAnsiTheme="majorHAnsi"/>
      <w:b/>
      <w:color w:val="000000"/>
      <w:sz w:val="40"/>
      <w:szCs w:val="56"/>
    </w:rPr>
  </w:style>
  <w:style w:customStyle="1" w:styleId="TitleChar" w:type="character">
    <w:name w:val="Title Char"/>
    <w:basedOn w:val="DefaultParagraphFont"/>
    <w:link w:val="Title"/>
    <w:uiPriority w:val="10"/>
    <w:rsid w:val="00A10FD9"/>
    <w:rPr>
      <w:rFonts w:ascii="Times New Roman" w:asciiTheme="majorHAnsi" w:cs="Times New Roman" w:cstheme="majorBidi" w:eastAsia="Times New Roman" w:eastAsiaTheme="majorEastAsia" w:hAnsi="Times New Roman" w:hAnsiTheme="majorHAnsi"/>
      <w:b/>
      <w:color w:val="000000"/>
      <w:sz w:val="40"/>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cstheme="majorBidi" w:eastAsia="Times New Roman" w:eastAsiaTheme="majorEastAsia" w:hAnsi="Times New Roman"/>
      <w:color w:val="000000"/>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cstheme="majorBidi" w:eastAsia="Times New Roman" w:eastAsiaTheme="majorEastAsia" w:hAnsi="Times New Roman"/>
      <w:color w:val="000000"/>
      <w:spacing w:val="15"/>
      <w:sz w:val="28"/>
      <w:szCs w:val="28"/>
    </w:rPr>
  </w:style>
  <w:style w:customStyle="1" w:styleId="Author" w:type="paragraph">
    <w:name w:val="Author"/>
    <w:basedOn w:val="Title"/>
    <w:next w:val="BodyText"/>
    <w:qFormat/>
    <w:pPr>
      <w:keepNext/>
      <w:keepLines/>
    </w:pPr>
    <w:rPr>
      <w:rFonts w:ascii="Times New Roman" w:cs="Times New Roman" w:eastAsia="Times New Roman" w:hAnsi="Times New Roman"/>
      <w:color w:val="000000"/>
      <w:sz w:val="24"/>
      <w:szCs w:val="24"/>
    </w:rPr>
  </w:style>
  <w:style w:styleId="Date" w:type="paragraph">
    <w:name w:val="Date"/>
    <w:basedOn w:val="Title"/>
    <w:next w:val="BodyText"/>
    <w:qFormat/>
    <w:pPr>
      <w:keepNext/>
      <w:keepLines/>
    </w:pPr>
    <w:rPr>
      <w:rFonts w:ascii="Times New Roman" w:cs="Times New Roman" w:eastAsia="Times New Roman" w:hAnsi="Times New Roman"/>
      <w:color w:val="000000"/>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color w:val="000000"/>
      <w:sz w:val="40"/>
      <w:szCs w:val="2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color w:val="000000"/>
      <w:sz w:val="20"/>
      <w:szCs w:val="20"/>
    </w:rPr>
  </w:style>
  <w:style w:styleId="Bibliography" w:type="paragraph">
    <w:name w:val="Bibliography"/>
    <w:basedOn w:val="Normal"/>
    <w:next w:val="Bibliography"/>
    <w:qFormat/>
    <w:pPr>
      <w:ind w:hanging="720" w:left="720"/>
      <w:jc w:val="both"/>
    </w:pPr>
    <w:rPr>
      <w:rFonts w:ascii="Times New Roman" w:cs="Times New Roman" w:eastAsia="Times New Roman" w:hAnsi="Times New Roman"/>
      <w:color w:val="000000"/>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imes New Roman" w:cstheme="majorBidi" w:eastAsia="Times New Roman"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imes New Roman" w:cstheme="majorBidi" w:eastAsia="Times New Roman"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cstheme="majorBidi" w:eastAsia="Times New Roman"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cstheme="majorBidi" w:eastAsia="Times New Roman" w:eastAsiaTheme="majorEastAsia"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cstheme="majorBidi" w:eastAsia="Times New Roman" w:eastAsiaTheme="majorEastAsia"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cstheme="majorBidi" w:eastAsia="Times New Roman" w:eastAsiaTheme="majorEastAsia"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cstheme="majorBidi" w:eastAsia="Times New Roman" w:eastAsiaTheme="majorEastAsia"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cstheme="majorBidi" w:eastAsia="Times New Roman" w:eastAsiaTheme="majorEastAsia"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cstheme="majorBidi" w:eastAsia="Times New Roman" w:eastAsiaTheme="majorEastAsia" w:hAnsi="Times New Roman"/>
      <w:color w:val="000000"/>
    </w:rPr>
  </w:style>
  <w:style w:customStyle="1" w:styleId="Heading1Char" w:type="character">
    <w:name w:val="Heading 1 Char"/>
    <w:basedOn w:val="DefaultParagraphFont"/>
    <w:link w:val="Heading1"/>
    <w:uiPriority w:val="9"/>
    <w:rsid w:val="00A10FD9"/>
    <w:rPr>
      <w:rFonts w:ascii="Times New Roman" w:asciiTheme="majorHAnsi" w:cs="Times New Roman" w:cstheme="majorBidi" w:eastAsia="Times New Roman" w:eastAsiaTheme="majorEastAsia" w:hAnsi="Times New Roman" w:hAnsiTheme="majorHAnsi"/>
      <w:b/>
      <w:color w:val="000000"/>
      <w:sz w:val="32"/>
      <w:szCs w:val="40"/>
    </w:rPr>
  </w:style>
  <w:style w:customStyle="1" w:styleId="Heading2Char" w:type="character">
    <w:name w:val="Heading 2 Char"/>
    <w:basedOn w:val="DefaultParagraphFont"/>
    <w:link w:val="Heading2"/>
    <w:uiPriority w:val="9"/>
    <w:semiHidden/>
    <w:rsid w:val="00A10FD9"/>
    <w:rPr>
      <w:rFonts w:ascii="Times New Roman" w:asciiTheme="majorHAnsi" w:cs="Times New Roman" w:cstheme="majorBidi" w:eastAsia="Times New Roman" w:eastAsiaTheme="majorEastAsia" w:hAnsi="Times New Roman" w:hAnsiTheme="majorHAnsi"/>
      <w:b/>
      <w:color w:val="000000"/>
      <w:sz w:val="28"/>
      <w:szCs w:val="32"/>
    </w:rPr>
  </w:style>
  <w:style w:customStyle="1" w:styleId="Heading3Char" w:type="character">
    <w:name w:val="Heading 3 Char"/>
    <w:basedOn w:val="DefaultParagraphFont"/>
    <w:link w:val="Heading3"/>
    <w:uiPriority w:val="9"/>
    <w:semiHidden/>
    <w:rsid w:val="00A10FD9"/>
    <w:rPr>
      <w:rFonts w:ascii="Times New Roman" w:cs="Times New Roman" w:cstheme="majorBidi" w:eastAsia="Times New Roman" w:eastAsiaTheme="majorEastAsia" w:hAnsi="Times New Roman"/>
      <w:b/>
      <w:color w:val="000000"/>
      <w:sz w:val="24"/>
      <w:szCs w:val="28"/>
    </w:rPr>
  </w:style>
  <w:style w:customStyle="1" w:styleId="Heading4Char" w:type="character">
    <w:name w:val="Heading 4 Char"/>
    <w:basedOn w:val="DefaultParagraphFont"/>
    <w:link w:val="Heading4"/>
    <w:uiPriority w:val="9"/>
    <w:semiHidden/>
    <w:rsid w:val="00A10FD9"/>
    <w:rPr>
      <w:rFonts w:ascii="Times New Roman" w:cs="Times New Roman" w:cstheme="majorBidi" w:eastAsia="Times New Roman" w:eastAsiaTheme="majorEastAsia"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imes New Roman" w:cstheme="majorBidi" w:eastAsia="Times New Roman" w:eastAsiaTheme="majorEastAsia" w:hAnsi="Times New Roman"/>
      <w:color w:val="000000"/>
    </w:rPr>
  </w:style>
  <w:style w:customStyle="1" w:styleId="Heading6Char" w:type="character">
    <w:name w:val="Heading 6 Char"/>
    <w:basedOn w:val="DefaultParagraphFont"/>
    <w:link w:val="Heading6"/>
    <w:uiPriority w:val="9"/>
    <w:semiHidden/>
    <w:rsid w:val="00A10FD9"/>
    <w:rPr>
      <w:rFonts w:ascii="Times New Roman" w:cs="Times New Roman" w:cstheme="majorBidi" w:eastAsia="Times New Roman" w:eastAsiaTheme="majorEastAsia" w:hAnsi="Times New Roman"/>
      <w:i/>
      <w:iCs/>
      <w:color w:val="000000"/>
    </w:rPr>
  </w:style>
  <w:style w:customStyle="1" w:styleId="Heading7Char" w:type="character">
    <w:name w:val="Heading 7 Char"/>
    <w:basedOn w:val="DefaultParagraphFont"/>
    <w:link w:val="Heading7"/>
    <w:uiPriority w:val="9"/>
    <w:semiHidden/>
    <w:rsid w:val="00A10FD9"/>
    <w:rPr>
      <w:rFonts w:ascii="Times New Roman" w:cs="Times New Roman" w:cstheme="majorBidi" w:eastAsia="Times New Roman" w:eastAsiaTheme="majorEastAsia" w:hAnsi="Times New Roman"/>
      <w:color w:val="000000"/>
    </w:rPr>
  </w:style>
  <w:style w:customStyle="1" w:styleId="Heading8Char" w:type="character">
    <w:name w:val="Heading 8 Char"/>
    <w:basedOn w:val="DefaultParagraphFont"/>
    <w:link w:val="Heading8"/>
    <w:uiPriority w:val="9"/>
    <w:semiHidden/>
    <w:rsid w:val="00A10FD9"/>
    <w:rPr>
      <w:rFonts w:ascii="Times New Roman" w:cs="Times New Roman" w:cstheme="majorBidi" w:eastAsia="Times New Roman" w:eastAsiaTheme="majorEastAsia" w:hAnsi="Times New Roman"/>
      <w:i/>
      <w:iCs/>
      <w:color w:val="000000"/>
    </w:rPr>
  </w:style>
  <w:style w:customStyle="1" w:styleId="Heading9Char" w:type="character">
    <w:name w:val="Heading 9 Char"/>
    <w:basedOn w:val="DefaultParagraphFont"/>
    <w:link w:val="Heading9"/>
    <w:uiPriority w:val="9"/>
    <w:semiHidden/>
    <w:rsid w:val="00A10FD9"/>
    <w:rPr>
      <w:rFonts w:ascii="Times New Roman" w:cs="Times New Roman" w:cstheme="majorBidi" w:eastAsia="Times New Roman" w:eastAsiaTheme="majorEastAsia" w:hAnsi="Times New Roman"/>
      <w:color w:val="000000"/>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color w:val="000000"/>
    </w:rPr>
  </w:style>
  <w:style w:default="1" w:styleId="DefaultParagraphFont" w:type="character">
    <w:name w:val="Default Paragraph Font"/>
    <w:semiHidden/>
    <w:unhideWhenUsed/>
    <w:rPr>
      <w:rFonts w:ascii="Times New Roman" w:cs="Times New Roman" w:eastAsia="Times New Roman" w:hAnsi="Times New Roman"/>
      <w:color w:val="000000"/>
    </w:rPr>
  </w:style>
  <w:style w:default="1" w:styleId="Table" w:type="table">
    <w:name w:val="Table"/>
    <w:basedOn w:val="TableNormal"/>
    <w:semiHidden/>
    <w:unhideWhenUsed/>
    <w:qFormat/>
    <w:rPr>
      <w:rFonts w:ascii="Times New Roman" w:cs="Times New Roman" w:eastAsia="Times New Roman" w:hAnsi="Times New Roman"/>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color w:val="000000"/>
    </w:rPr>
  </w:style>
  <w:style w:customStyle="1" w:styleId="Definition" w:type="paragraph">
    <w:name w:val="Definition"/>
    <w:basedOn w:val="Normal"/>
    <w:rPr>
      <w:rFonts w:ascii="Times New Roman" w:cs="Times New Roman" w:eastAsia="Times New Roman" w:hAnsi="Times New Roman"/>
      <w:color w:val="000000"/>
    </w:rPr>
  </w:style>
  <w:style w:styleId="Caption" w:type="paragraph">
    <w:name w:val="Caption"/>
    <w:basedOn w:val="Normal"/>
    <w:link w:val="BodyTextChar"/>
    <w:pPr>
      <w:spacing w:after="120" w:before="0"/>
    </w:pPr>
    <w:rPr>
      <w:rFonts w:ascii="Times New Roman" w:cs="Times New Roman" w:eastAsia="Times New Roman" w:hAnsi="Times New Roman"/>
      <w:i/>
      <w:color w:val="000000"/>
    </w:rPr>
  </w:style>
  <w:style w:customStyle="1" w:styleId="TableCaption" w:type="paragraph">
    <w:name w:val="Table Caption"/>
    <w:basedOn w:val="Caption"/>
    <w:pPr>
      <w:keepNext/>
    </w:pPr>
    <w:rPr>
      <w:rFonts w:ascii="Times New Roman" w:cs="Times New Roman" w:eastAsia="Times New Roman" w:hAnsi="Times New Roman"/>
      <w:color w:val="000000"/>
    </w:rPr>
  </w:style>
  <w:style w:customStyle="1" w:styleId="ImageCaption" w:type="paragraph">
    <w:name w:val="Image Caption"/>
    <w:basedOn w:val="Caption"/>
    <w:rPr>
      <w:rFonts w:ascii="Times New Roman" w:cs="Times New Roman" w:eastAsia="Times New Roman" w:hAnsi="Times New Roman"/>
      <w:color w:val="000000"/>
    </w:rPr>
  </w:style>
  <w:style w:customStyle="1" w:styleId="Figure" w:type="paragraph">
    <w:name w:val="Figure"/>
    <w:basedOn w:val="Normal"/>
    <w:rPr>
      <w:rFonts w:ascii="Times New Roman" w:cs="Times New Roman" w:eastAsia="Times New Roman" w:hAnsi="Times New Roman"/>
      <w:color w:val="000000"/>
    </w:rPr>
  </w:style>
  <w:style w:customStyle="1" w:styleId="CaptionedFigure" w:type="paragraph">
    <w:name w:val="Captioned Figure"/>
    <w:basedOn w:val="Figure"/>
    <w:pPr>
      <w:keepNext/>
    </w:pPr>
    <w:rPr>
      <w:rFonts w:ascii="Times New Roman" w:cs="Times New Roman" w:eastAsia="Times New Roman" w:hAnsi="Times New Roman"/>
      <w:color w:val="000000"/>
    </w:rPr>
  </w:style>
  <w:style w:customStyle="1" w:styleId="BodyTextChar" w:type="character">
    <w:name w:val="Body Text Char"/>
    <w:basedOn w:val="DefaultParagraphFont"/>
    <w:link w:val="BodyText"/>
    <w:rPr>
      <w:rFonts w:ascii="Times New Roman" w:cs="Times New Roman" w:eastAsia="Times New Roman" w:hAnsi="Times New Roman"/>
      <w:color w:val="000000"/>
      <w:sz w:val="24"/>
    </w:rPr>
  </w:style>
  <w:style w:customStyle="1" w:styleId="VerbatimChar" w:type="character">
    <w:name w:val="Verbatim Char"/>
    <w:basedOn w:val="BodyTextChar"/>
    <w:rPr>
      <w:rFonts w:ascii="Times New Roman" w:cs="Times New Roman" w:eastAsia="Times New Roman" w:hAnsi="Times New Roman"/>
      <w:color w:val="000000"/>
      <w:sz w:val="22"/>
    </w:rPr>
  </w:style>
  <w:style w:customStyle="1" w:styleId="SectionNumber" w:type="character">
    <w:name w:val="Section Number"/>
    <w:basedOn w:val="BodyTextChar"/>
    <w:rPr>
      <w:rFonts w:ascii="Times New Roman" w:cs="Times New Roman" w:eastAsia="Times New Roman" w:hAnsi="Times New Roman"/>
      <w:color w:val="000000"/>
    </w:rPr>
  </w:style>
  <w:style w:styleId="FootnoteReference" w:type="character">
    <w:name w:val="Footnote Reference"/>
    <w:basedOn w:val="BodyTextChar"/>
    <w:rPr>
      <w:rFonts w:ascii="Times New Roman" w:cs="Times New Roman" w:eastAsia="Times New Roman" w:hAnsi="Times New Roman"/>
      <w:color w:val="000000"/>
      <w:vertAlign w:val="superscript"/>
    </w:rPr>
  </w:style>
  <w:style w:styleId="Hyperlink" w:type="character">
    <w:name w:val="Hyperlink"/>
    <w:basedOn w:val="BodyTextChar"/>
    <w:rPr>
      <w:rFonts w:ascii="Times New Roman" w:cs="Times New Roman" w:eastAsia="Times New Roman" w:hAnsi="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15" Target="media/rId15.png" /><Relationship Type="http://schemas.openxmlformats.org/officeDocument/2006/relationships/image" Id="rId33" Target="media/rId33.png" /><Relationship Type="http://schemas.openxmlformats.org/officeDocument/2006/relationships/hyperlink" Id="rId43" Target="https://doi.org/10.1086/259394" TargetMode="External" /><Relationship Type="http://schemas.openxmlformats.org/officeDocument/2006/relationships/hyperlink" Id="rId45" Target="https://doi.org/10.2307/1816733" TargetMode="External" /></Relationships>
</file>

<file path=word/_rels/footnotes.xml.rels><?xml version="1.0" encoding="UTF-8"?><Relationships xmlns="http://schemas.openxmlformats.org/package/2006/relationships"><Relationship Type="http://schemas.openxmlformats.org/officeDocument/2006/relationships/hyperlink" Id="rId43" Target="https://doi.org/10.1086/259394" TargetMode="External" /><Relationship Type="http://schemas.openxmlformats.org/officeDocument/2006/relationships/hyperlink" Id="rId45" Target="https://doi.org/10.2307/181673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Determinantes de la sostenibilidad del IESS y el impacto de la inestabilidad social en el Ecuador durante el periodo 1990-2024</dc:title>
  <dc:creator>Erick Fabricio Condoy Seraquive</dc:creator>
  <dc:language>es</dc:language>
  <cp:keywords/>
  <dcterms:created xsi:type="dcterms:W3CDTF">2026-06-08T16:13:02Z</dcterms:created>
  <dcterms:modified xsi:type="dcterms:W3CDTF">2026-06-08T16:13:02Z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rossref">
    <vt:lpwstr/>
  </property>
  <property fmtid="{D5CDD505-2E9C-101B-9397-08002B2CF9AE}" pid="7" name="date">
    <vt:lpwstr>2026-05-07</vt:lpwstr>
  </property>
  <property fmtid="{D5CDD505-2E9C-101B-9397-08002B2CF9AE}" pid="8" name="engines">
    <vt:lpwstr/>
  </property>
  <property fmtid="{D5CDD505-2E9C-101B-9397-08002B2CF9AE}" pid="9" name="faculty">
    <vt:lpwstr>FACULTAD JURÍDICA, SOCIAL Y ADMINISTRATIVA</vt:lpwstr>
  </property>
  <property fmtid="{D5CDD505-2E9C-101B-9397-08002B2CF9AE}" pid="10" name="fig-cap-location">
    <vt:lpwstr>bottom</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professor">
    <vt:lpwstr>Econ. Jose Rafael Alvarado Lopez</vt:lpwstr>
  </property>
  <property fmtid="{D5CDD505-2E9C-101B-9397-08002B2CF9AE}" pid="16" name="school">
    <vt:lpwstr>CARRERA DE ECONOMÍA</vt:lpwstr>
  </property>
  <property fmtid="{D5CDD505-2E9C-101B-9397-08002B2CF9AE}" pid="17" name="tbl-cap-location">
    <vt:lpwstr>top</vt:lpwstr>
  </property>
  <property fmtid="{D5CDD505-2E9C-101B-9397-08002B2CF9AE}" pid="18" name="toc-title">
    <vt:lpwstr>Tabla de contenidos</vt:lpwstr>
  </property>
  <property fmtid="{D5CDD505-2E9C-101B-9397-08002B2CF9AE}" pid="19" name="university">
    <vt:lpwstr>UNIVERSIDAD NACIONAL DE LOJA</vt:lpwstr>
  </property>
  <property fmtid="{D5CDD505-2E9C-101B-9397-08002B2CF9AE}" pid="20" name="year">
    <vt:lpwstr>2026</vt:lpwstr>
  </property>
</Properties>
</file>