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91"/>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Determinantes de la sostenibilidad del IESS y el impacto de la inestabilidad social en el Ecuador durante el periodo 1990-2024</w:t>
      </w:r>
      <w:r>
        <w:rPr>
          <w:rFonts w:ascii="Times New Roman" w:hAnsi="Times New Roman" w:eastAsia="Times New Roman" w:cs="Times New Roman"/>
          <w:sz w:val="24"/>
          <w:szCs w:val="24"/>
        </w:rPr>
      </w:r>
    </w:p>
    <w:p>
      <w:pPr>
        <w:pStyle w:val="695"/>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Erick Fabricio Condoy Seraquive</w:t>
      </w:r>
      <w:r>
        <w:rPr>
          <w:rFonts w:ascii="Times New Roman" w:hAnsi="Times New Roman" w:eastAsia="Times New Roman" w:cs="Times New Roman"/>
          <w:sz w:val="24"/>
          <w:szCs w:val="24"/>
        </w:rPr>
      </w:r>
    </w:p>
    <w:p>
      <w:pPr>
        <w:pStyle w:val="696"/>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2026-05-07</w:t>
      </w:r>
      <w:r>
        <w:rPr>
          <w:rFonts w:ascii="Times New Roman" w:hAnsi="Times New Roman" w:eastAsia="Times New Roman" w:cs="Times New Roman"/>
          <w:sz w:val="24"/>
          <w:szCs w:val="24"/>
        </w:rPr>
      </w:r>
    </w:p>
    <w:p>
      <w:pPr>
        <w:pStyle w:val="700"/>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9" w:name="resumen"/>
      <w:r>
        <w:rPr>
          <w:rFonts w:ascii="Times New Roman" w:hAnsi="Times New Roman" w:eastAsia="Times New Roman" w:cs="Times New Roman"/>
          <w:sz w:val="24"/>
          <w:szCs w:val="24"/>
        </w:rPr>
        <w:t xml:space="preserve">Resumen</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 este estudio analizo los determinantes de la crisi</w:t>
      </w:r>
      <w:r>
        <w:rPr>
          <w:rFonts w:ascii="Times New Roman" w:hAnsi="Times New Roman" w:eastAsia="Times New Roman" w:cs="Times New Roman"/>
          <w:sz w:val="24"/>
          <w:szCs w:val="24"/>
        </w:rPr>
        <w:t xml:space="preserve">s de sostenibilidad del Instituto Ecuatoriano de Seguridad Social (IESS) durante el periodo 1990-2024, integrando factores demográficos y de inestabilidad social. Mediante un modelo de Rezagos Distribuidos Autorregresivos (ARDL), evalúo el impacto del gast</w:t>
      </w:r>
      <w:r>
        <w:rPr>
          <w:rFonts w:ascii="Times New Roman" w:hAnsi="Times New Roman" w:eastAsia="Times New Roman" w:cs="Times New Roman"/>
          <w:sz w:val="24"/>
          <w:szCs w:val="24"/>
        </w:rPr>
        <w:t xml:space="preserve">o militar, la migración y la tasa de homicidios sobre la masa de afiliados. Los resultados indican que el desplazamiento fiscal y la inseguridad ciudadana erosionan la base de cotizantes y comprometen la viabilidad del sistema de reparto en el largo plazo.</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Palabras clave: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IESS, Sostenibilidad, Crisis, Inestabilidad Social, Econometría, Modelo ARDL.</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Clasificación JEL: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H55, H68, K42, C22, J46.</w:t>
      </w:r>
      <w:bookmarkEnd w:id="9"/>
      <w:r>
        <w:rPr>
          <w:sz w:val="24"/>
          <w:szCs w:val="24"/>
        </w:rPr>
      </w:r>
      <w:r>
        <w:rPr>
          <w:rFonts w:ascii="Times New Roman" w:hAnsi="Times New Roman" w:eastAsia="Times New Roman" w:cs="Times New Roman"/>
          <w:sz w:val="24"/>
          <w:szCs w:val="24"/>
        </w:rPr>
      </w:r>
    </w:p>
    <w:p>
      <w:pPr>
        <w:pStyle w:val="700"/>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10" w:name="introducción"/>
      <w:r>
        <w:rPr>
          <w:rFonts w:ascii="Times New Roman" w:hAnsi="Times New Roman" w:eastAsia="Times New Roman" w:cs="Times New Roman"/>
          <w:sz w:val="24"/>
          <w:szCs w:val="24"/>
        </w:rPr>
        <w:t xml:space="preserve">1. Introducción</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sostenibilidad prev</w:t>
      </w:r>
      <w:r>
        <w:rPr>
          <w:rFonts w:ascii="Times New Roman" w:hAnsi="Times New Roman" w:eastAsia="Times New Roman" w:cs="Times New Roman"/>
          <w:sz w:val="24"/>
          <w:szCs w:val="24"/>
        </w:rPr>
        <w:t xml:space="preserve">isional del Instituto Ecuatoriano de Seguridad Social (IESS) durante el periodo 1990-2024 enfrenta un severo desequilibrio de liquidez corriente. En esta investigación me distancio de las proyecciones actuariales pasivas de largo plazo para centrarme en el</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Déficit de Caja</w:t>
      </w:r>
      <w:r>
        <w:rPr>
          <w:rFonts w:ascii="Times New Roman" w:hAnsi="Times New Roman" w:eastAsia="Times New Roman" w:cs="Times New Roman"/>
          <w:sz w:val="24"/>
          <w:szCs w:val="24"/>
        </w:rPr>
        <w:t xml:space="preserve">, definido como la brecha financiera corriente inmediata donde la recaudación de aportaciones de los afiliados activos resulta insuficiente para cubrir el pago mensual de las pensiones de los jubilados. </w:t>
      </w:r>
      <w:r>
        <w:rPr>
          <w:rFonts w:ascii="Times New Roman" w:hAnsi="Times New Roman" w:eastAsia="Times New Roman" w:cs="Times New Roman"/>
          <w:sz w:val="24"/>
          <w:szCs w:val="24"/>
        </w:rPr>
        <w:t xml:space="preserve">La insuficiencia física de caja obliga a la descapitalización anticipada de las reservas técnicas administradas por el BIESS y a la dependencia de transferencias del gobierno central, comprometiendo la liquidez del fondo de invalidez, vejez y muerte (IVM).</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El Triángulo de Fricción Laboral y la</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Teoría de la Agencia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Jensen y Meckling (1976)</w:t>
      </w:r>
      <w:r>
        <w:rPr>
          <w:rFonts w:ascii="Times New Roman" w:hAnsi="Times New Roman" w:eastAsia="Times New Roman" w:cs="Times New Roman"/>
          <w:sz w:val="24"/>
          <w:szCs w:val="24"/>
        </w:rPr>
        <w:t xml:space="preserve">) formalizan este comportamiento estratégico: (1) el</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Trabajador (Principal)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percibe el aporte impositivo obligatorio (</w:t>
      </w:r>
      <m:oMath>
        <m:r>
          <w:rPr>
            <w:rFonts w:hint="default" w:ascii="Cambria Math" w:hAnsi="Cambria Math" w:eastAsia="Cambria Math" w:cs="Cambria Math"/>
            <w:sz w:val="24"/>
            <w:szCs w:val="24"/>
          </w:rPr>
          <m:rPr/>
          <m:t>11.06</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como un impuesto puro al salario sin contraprestación garantizada, optando por la informalidad defensiva; (2) el</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Empleador (Agente)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asume la contribución patronal (</w:t>
      </w:r>
      <m:oMath>
        <m:r>
          <w:rPr>
            <w:rFonts w:hint="default" w:ascii="Cambria Math" w:hAnsi="Cambria Math" w:eastAsia="Cambria Math" w:cs="Cambria Math"/>
            <w:sz w:val="24"/>
            <w:szCs w:val="24"/>
          </w:rPr>
          <m:rPr/>
          <m:t>11.15</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como un recargo a la nómina laboral rígido (</w:t>
      </w:r>
      <w:r>
        <w:rPr>
          <w:rFonts w:ascii="Times New Roman" w:hAnsi="Times New Roman" w:eastAsia="Times New Roman" w:cs="Times New Roman"/>
          <w:i/>
          <w:iCs/>
          <w:sz w:val="24"/>
          <w:szCs w:val="24"/>
        </w:rPr>
        <w:t xml:space="preserve">tax wedge</w:t>
      </w:r>
      <w:r>
        <w:rPr>
          <w:rFonts w:ascii="Times New Roman" w:hAnsi="Times New Roman" w:eastAsia="Times New Roman" w:cs="Times New Roman"/>
          <w:sz w:val="24"/>
          <w:szCs w:val="24"/>
        </w:rPr>
        <w:t xml:space="preserve">) que desincentiva la contratación formal adecuada; y (3) el</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Estado (Administrador)</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incurre en riesgo moral al utilizar los recursos técnicos del BIESS como financiamiento barato para la caja fiscal y al desplazar presupuestariamente sus transferencias obligatorias corrientes del</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40</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 este estudio contrasto la i</w:t>
      </w:r>
      <w:r>
        <w:rPr>
          <w:rFonts w:ascii="Times New Roman" w:hAnsi="Times New Roman" w:eastAsia="Times New Roman" w:cs="Times New Roman"/>
          <w:sz w:val="24"/>
          <w:szCs w:val="24"/>
        </w:rPr>
        <w:t xml:space="preserve">ncidencia de estos determinantes fiscales y de inestabilidad criminal sobre el padrón contributivo en el periodo 1990-2024 mediante la estimación de modelos de cointegración por límites (ARDL) y validaciones robustas no paramétricas mediante Kernel-based R</w:t>
      </w:r>
      <w:r>
        <w:rPr>
          <w:rFonts w:ascii="Times New Roman" w:hAnsi="Times New Roman" w:eastAsia="Times New Roman" w:cs="Times New Roman"/>
          <w:sz w:val="24"/>
          <w:szCs w:val="24"/>
        </w:rPr>
        <w:t xml:space="preserve">egularized Least Squares (KRLS). Mi análisis de los determinantes dinámicos revela un comportamiento inestable y una velocidad de ajuste positiva, lo cual confirma la ausencia de convergencia hacia un equilibrio estable de largo plazo. El gasto militar eje</w:t>
      </w:r>
      <w:r>
        <w:rPr>
          <w:rFonts w:ascii="Times New Roman" w:hAnsi="Times New Roman" w:eastAsia="Times New Roman" w:cs="Times New Roman"/>
          <w:sz w:val="24"/>
          <w:szCs w:val="24"/>
        </w:rPr>
        <w:t xml:space="preserve">rce un desplazamiento fiscal significativo sobre las transferencias estatales en el corto plazo, mientras que la tasa de homicidios actúa como una barrera de inestabilidad social que reduce los incentivos para la formalización del empleo en el largo plazo.</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Mi aporte principal consiste en modelar la interacción dinámica y no lineal entre variables de criminalidad y solvencia previsional en el Ecuador, superando las limitaciones de los</w:t>
      </w:r>
      <w:r>
        <w:rPr>
          <w:rFonts w:ascii="Times New Roman" w:hAnsi="Times New Roman" w:eastAsia="Times New Roman" w:cs="Times New Roman"/>
          <w:sz w:val="24"/>
          <w:szCs w:val="24"/>
        </w:rPr>
        <w:t xml:space="preserve"> análisis actuariales estáticos y paramétricos tradicionales mediante el uso de regresiones de aprendizaje automático (KRLS). El resto del informe se organiza de la siguiente manera: la Sección 2 presenta la revisión de la literatura teórica y empírica; la</w:t>
      </w:r>
      <w:r>
        <w:rPr>
          <w:rFonts w:ascii="Times New Roman" w:hAnsi="Times New Roman" w:eastAsia="Times New Roman" w:cs="Times New Roman"/>
          <w:sz w:val="24"/>
          <w:szCs w:val="24"/>
        </w:rPr>
        <w:t xml:space="preserve"> Sección 3 detalla los datos y el marco metodológico econométrico; la Sección 4 expone los resultados empíricos y la discusión económica de los hallazgos; finalmente, la Sección 5 resume las conclusiones principales y las implicaciones de política pública.</w:t>
      </w:r>
      <w:bookmarkEnd w:id="10"/>
      <w:r>
        <w:rPr>
          <w:sz w:val="24"/>
          <w:szCs w:val="24"/>
        </w:rPr>
      </w:r>
      <w:r>
        <w:rPr>
          <w:rFonts w:ascii="Times New Roman" w:hAnsi="Times New Roman" w:eastAsia="Times New Roman" w:cs="Times New Roman"/>
          <w:sz w:val="24"/>
          <w:szCs w:val="24"/>
        </w:rPr>
      </w:r>
    </w:p>
    <w:p>
      <w:pPr>
        <w:pStyle w:val="700"/>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13" w:name="revisión-de-la-literatura"/>
      <w:r>
        <w:rPr>
          <w:rFonts w:ascii="Times New Roman" w:hAnsi="Times New Roman" w:eastAsia="Times New Roman" w:cs="Times New Roman"/>
          <w:sz w:val="24"/>
          <w:szCs w:val="24"/>
        </w:rPr>
        <w:t xml:space="preserve">2. Revisión de la literatura</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sostenibilidad de los sistemas de seguridad social de reparto, como el del IESS, se fundamenta en el equilibrio dinámico entre contribuyentes activos y beneficiarios.</w:t>
      </w:r>
      <w:r>
        <w:rPr>
          <w:rFonts w:ascii="Times New Roman" w:hAnsi="Times New Roman" w:eastAsia="Times New Roman" w:cs="Times New Roman"/>
          <w:sz w:val="24"/>
          <w:szCs w:val="24"/>
        </w:rPr>
      </w:r>
    </w:p>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11" w:name="síntesis-de-los-enfoques-teóricos"/>
      <w:r>
        <w:rPr>
          <w:rFonts w:ascii="Times New Roman" w:hAnsi="Times New Roman" w:eastAsia="Times New Roman" w:cs="Times New Roman"/>
          <w:sz w:val="24"/>
          <w:szCs w:val="24"/>
        </w:rPr>
        <w:t xml:space="preserve">2.1 Síntesis de los enfoques teóricos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Para comprender las fuerzas dinámicas que determinan la sostenibilidad del IESS en el periodo 1990-2024, sintetizo cinco enfoques teóricos fundamentales de la ciencia económica:</w:t>
      </w:r>
      <w:r>
        <w:rPr>
          <w:rFonts w:ascii="Times New Roman" w:hAnsi="Times New Roman" w:eastAsia="Times New Roman" w:cs="Times New Roman"/>
          <w:sz w:val="24"/>
          <w:szCs w:val="24"/>
        </w:rPr>
      </w:r>
    </w:p>
    <w:p>
      <w:pPr>
        <w:pStyle w:val="690"/>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Modelo de Generaciones Traslapadas (OLG)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(Samuelson, 1958;</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Diamond (1965)</w:t>
      </w:r>
      <w:r>
        <w:rPr>
          <w:rFonts w:ascii="Times New Roman" w:hAnsi="Times New Roman" w:eastAsia="Times New Roman" w:cs="Times New Roman"/>
          <w:sz w:val="24"/>
          <w:szCs w:val="24"/>
        </w:rPr>
        <w:t xml:space="preserve">): Postula que el bienestar de los jubilados depende de los aportes de la población joven activa, sustentándose en un contrato intergeneracional que asume estabilidad en la pirámide demográfica y el crecimiento económico.</w:t>
      </w:r>
      <w:r>
        <w:rPr>
          <w:rFonts w:ascii="Times New Roman" w:hAnsi="Times New Roman" w:eastAsia="Times New Roman" w:cs="Times New Roman"/>
          <w:sz w:val="24"/>
          <w:szCs w:val="24"/>
        </w:rPr>
      </w:r>
    </w:p>
    <w:p>
      <w:pPr>
        <w:pStyle w:val="690"/>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Teoría de la Economía del Crimen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Becker (1968)</w:t>
      </w:r>
      <w:r>
        <w:rPr>
          <w:rFonts w:ascii="Times New Roman" w:hAnsi="Times New Roman" w:eastAsia="Times New Roman" w:cs="Times New Roman"/>
          <w:sz w:val="24"/>
          <w:szCs w:val="24"/>
        </w:rPr>
        <w:t xml:space="preserve">): Plantea la decisión de operar en la formalidad o informalidad como una elección racional bajo incertidumbre, donde la delincuencia y las extorsiones actúan como un impuesto implícito que incentiva la informalidad y reduce la base tributaria.</w:t>
      </w:r>
      <w:r>
        <w:rPr>
          <w:rFonts w:ascii="Times New Roman" w:hAnsi="Times New Roman" w:eastAsia="Times New Roman" w:cs="Times New Roman"/>
          <w:sz w:val="24"/>
          <w:szCs w:val="24"/>
        </w:rPr>
      </w:r>
    </w:p>
    <w:p>
      <w:pPr>
        <w:pStyle w:val="690"/>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Teoría de la Agencia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Jensen y Meckling (1976)</w:t>
      </w:r>
      <w:r>
        <w:rPr>
          <w:rFonts w:ascii="Times New Roman" w:hAnsi="Times New Roman" w:eastAsia="Times New Roman" w:cs="Times New Roman"/>
          <w:sz w:val="24"/>
          <w:szCs w:val="24"/>
        </w:rPr>
        <w:t xml:space="preserve">): Analiza los conflictos de interés y e</w:t>
      </w:r>
      <w:r>
        <w:rPr>
          <w:rFonts w:ascii="Times New Roman" w:hAnsi="Times New Roman" w:eastAsia="Times New Roman" w:cs="Times New Roman"/>
          <w:sz w:val="24"/>
          <w:szCs w:val="24"/>
        </w:rPr>
        <w:t xml:space="preserve">l riesgo moral entre el trabajador (principal), el empleador (agente) y el Estado (administrador). Explica cómo el Estado puede desviar fondos previsionales para financiamiento fiscal barato o postergar transferencias corrientes de liquidez (riesgo moral).</w:t>
      </w:r>
      <w:r>
        <w:rPr>
          <w:rFonts w:ascii="Times New Roman" w:hAnsi="Times New Roman" w:eastAsia="Times New Roman" w:cs="Times New Roman"/>
          <w:sz w:val="24"/>
          <w:szCs w:val="24"/>
        </w:rPr>
      </w:r>
    </w:p>
    <w:p>
      <w:pPr>
        <w:pStyle w:val="690"/>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Teoría del Desplazamiento Fiscal (Crowding-out)</w:t>
      </w:r>
      <w:r>
        <w:rPr>
          <w:rFonts w:ascii="Times New Roman" w:hAnsi="Times New Roman" w:eastAsia="Times New Roman" w:cs="Times New Roman"/>
          <w:sz w:val="24"/>
          <w:szCs w:val="24"/>
        </w:rPr>
        <w:t xml:space="preserve">: Describe la competencia por recursos presupuestarios escasos dentro de las finanzas públicas, donde choques exógenos en el gasto de defensa nacional desplazan el cumplimiento de obligaciones previsionales civiles.</w:t>
      </w:r>
      <w:r>
        <w:rPr>
          <w:rFonts w:ascii="Times New Roman" w:hAnsi="Times New Roman" w:eastAsia="Times New Roman" w:cs="Times New Roman"/>
          <w:sz w:val="24"/>
          <w:szCs w:val="24"/>
        </w:rPr>
      </w:r>
    </w:p>
    <w:p>
      <w:pPr>
        <w:pStyle w:val="690"/>
        <w:numPr>
          <w:ilvl w:val="0"/>
          <w:numId w:val="2"/>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Teoría de Búsqueda y Emparejamiento (Search and Matching)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(Mortensen &amp; Pissarides, 1994): Formaliza las fricciones del mercado laboral y la rigidez de la contratación, determinando que los recargos elevados a la nómina desincentivan la creación de empleo formal estable.</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 estos enfoques, la teoría que mejor se ajusta a nuestro problema de estudio y que selecciono como marco analítico es una integración de la</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Teoría de la Agencia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 la</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Teoría de la Economía del Crimen de Becker</w:t>
      </w:r>
      <w:r>
        <w:rPr>
          <w:rFonts w:ascii="Times New Roman" w:hAnsi="Times New Roman" w:eastAsia="Times New Roman" w:cs="Times New Roman"/>
          <w:sz w:val="24"/>
          <w:szCs w:val="24"/>
        </w:rPr>
        <w:t xml:space="preserve">. Mientras que el modelo OLG asume una senda de estado estacionario demográfico estable, la realid</w:t>
      </w:r>
      <w:r>
        <w:rPr>
          <w:rFonts w:ascii="Times New Roman" w:hAnsi="Times New Roman" w:eastAsia="Times New Roman" w:cs="Times New Roman"/>
          <w:sz w:val="24"/>
          <w:szCs w:val="24"/>
        </w:rPr>
        <w:t xml:space="preserve">ad del Ecuador en el periodo 1990-2024 muestra que las fluctuaciones de la masa de afiliados no responden únicamente a la transición demográfica de largo plazo, sino a choques abruptos de criminalidad que alteran la decisión de formalidad (Becker) y a la i</w:t>
      </w:r>
      <w:r>
        <w:rPr>
          <w:rFonts w:ascii="Times New Roman" w:hAnsi="Times New Roman" w:eastAsia="Times New Roman" w:cs="Times New Roman"/>
          <w:sz w:val="24"/>
          <w:szCs w:val="24"/>
        </w:rPr>
        <w:t xml:space="preserve">nestabilidad fiscal del Estado que desplaza presupuestariamente las transferencias estatales del 40% (Agencia/Riesgo moral). Esta combinación teórica permite modelar la inestabilidad sistémica y la divergencia observadas en la velocidad de ajuste del IESS.</w:t>
      </w:r>
      <w:bookmarkEnd w:id="11"/>
      <w:r>
        <w:rPr>
          <w:sz w:val="24"/>
          <w:szCs w:val="24"/>
        </w:rPr>
      </w:r>
      <w:r>
        <w:rPr>
          <w:rFonts w:ascii="Times New Roman" w:hAnsi="Times New Roman" w:eastAsia="Times New Roman" w:cs="Times New Roman"/>
          <w:sz w:val="24"/>
          <w:szCs w:val="24"/>
        </w:rPr>
      </w:r>
    </w:p>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12" w:name="síntesis-de-la-evidencia-empírica"/>
      <w:r>
        <w:rPr>
          <w:rFonts w:ascii="Times New Roman" w:hAnsi="Times New Roman" w:eastAsia="Times New Roman" w:cs="Times New Roman"/>
          <w:sz w:val="24"/>
          <w:szCs w:val="24"/>
        </w:rPr>
        <w:t xml:space="preserve">2.2 Síntesis de la evidencia empírica</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 la práctica, la informalidad laboral en el Ecuador funciona como un sumidero estructural que absorbe una parte mayoritaria de la oferta de trabajo. Según registros de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INEC Ecuador (2022)</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 estudios de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Murillo et al. (2025)</w:t>
      </w:r>
      <w:r>
        <w:rPr>
          <w:rFonts w:ascii="Times New Roman" w:hAnsi="Times New Roman" w:eastAsia="Times New Roman" w:cs="Times New Roman"/>
          <w:sz w:val="24"/>
          <w:szCs w:val="24"/>
        </w:rPr>
        <w:t xml:space="preserve">, la mayor parte de la población informal carece de cobertura previsional activa. La evidencia empírica internacional de los últimos cinco años aporta lecciones metodológicas y conceptuales clave en tres niveles espaciales:</w:t>
      </w:r>
      <w:r>
        <w:rPr>
          <w:rFonts w:ascii="Times New Roman" w:hAnsi="Times New Roman" w:eastAsia="Times New Roman" w:cs="Times New Roman"/>
          <w:sz w:val="24"/>
          <w:szCs w:val="24"/>
        </w:rPr>
      </w:r>
    </w:p>
    <w:p>
      <w:pPr>
        <w:numPr>
          <w:ilvl w:val="0"/>
          <w:numId w:val="3"/>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A nivel mundial: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El análisis de la sostenibilidad fiscal previsional ha avanzado significativamente mediante el uso de modelos macroeconómicos dinámicos de equilibrio general. En el caso de China,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Gao y Lu (2025)</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construyen un modelo cuantitativo dinámico de generaciones traslapadas (OLG) con agentes heterogéneos para evaluar el impacto de la reforma anunciada en septiembre de 2024 (qu</w:t>
      </w:r>
      <w:r>
        <w:rPr>
          <w:rFonts w:ascii="Times New Roman" w:hAnsi="Times New Roman" w:eastAsia="Times New Roman" w:cs="Times New Roman"/>
          <w:sz w:val="24"/>
          <w:szCs w:val="24"/>
        </w:rPr>
        <w:t xml:space="preserve">e incrementa gradualmente la edad de jubilación de 60 a 63 años en hombres y de 50/55 a 55/58 años en mujeres, además de elevar el periodo mínimo de cotización de 15 a 20 años para 2040). Sus simulaciones demuestran que, si bien la reforma no detiene el dé</w:t>
      </w:r>
      <w:r>
        <w:rPr>
          <w:rFonts w:ascii="Times New Roman" w:hAnsi="Times New Roman" w:eastAsia="Times New Roman" w:cs="Times New Roman"/>
          <w:sz w:val="24"/>
          <w:szCs w:val="24"/>
        </w:rPr>
        <w:t xml:space="preserve">ficit previsional de largo plazo en un contexto de rápido envejecimiento demográfico, sí logra reducir el déficit anual proyectado para 2075 de un 9.5% a un 5.8% del PIB, reduciendo el valor presente descontado acumulado del déficit del 390% al 210% del PI</w:t>
      </w:r>
      <w:r>
        <w:rPr>
          <w:rFonts w:ascii="Times New Roman" w:hAnsi="Times New Roman" w:eastAsia="Times New Roman" w:cs="Times New Roman"/>
          <w:sz w:val="24"/>
          <w:szCs w:val="24"/>
        </w:rPr>
        <w:t xml:space="preserve">B. Asimismo, determinan que la indexación de beneficios únicamente al Índice de Precios al Consumidor (IPC), en lugar de la indexación mixta (salarios y precios), maximiza el bienestar social al liberar recursos fiscales para transferencias de suma alzada.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Por otro lado, la interacción entre pensiones y el presupuesto general del Estado se evidencia en el trabajo de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Lonare (2026)</w:t>
      </w:r>
      <w:r>
        <w:rPr>
          <w:rFonts w:ascii="Times New Roman" w:hAnsi="Times New Roman" w:eastAsia="Times New Roman" w:cs="Times New Roman"/>
          <w:sz w:val="24"/>
          <w:szCs w:val="24"/>
        </w:rPr>
        <w:t xml:space="preserve">, quien analiza el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“trade-off”</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entre pensiones y modernización militar en la India (2005-2026). Al formular un Índice de Desplazamiento de Pensiones (PDI), Lonare demuestra la existencia de un fenómeno de desplazamiento fiscal (</w:t>
      </w:r>
      <w:r>
        <w:rPr>
          <w:rFonts w:ascii="Times New Roman" w:hAnsi="Times New Roman" w:eastAsia="Times New Roman" w:cs="Times New Roman"/>
          <w:i/>
          <w:iCs/>
          <w:sz w:val="24"/>
          <w:szCs w:val="24"/>
        </w:rPr>
        <w:t xml:space="preserve">crowding-out</w:t>
      </w:r>
      <w:r>
        <w:rPr>
          <w:rFonts w:ascii="Times New Roman" w:hAnsi="Times New Roman" w:eastAsia="Times New Roman" w:cs="Times New Roman"/>
          <w:sz w:val="24"/>
          <w:szCs w:val="24"/>
        </w:rPr>
        <w:t xml:space="preserve">) intra-presupuestario, donde el crecimiento exponencial de las pensiones militares (impulsado por las revisiones quinquenales del esquema</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One Rank One Pension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 las comisiones salariales) actúa como un ga</w:t>
      </w:r>
      <w:r>
        <w:rPr>
          <w:rFonts w:ascii="Times New Roman" w:hAnsi="Times New Roman" w:eastAsia="Times New Roman" w:cs="Times New Roman"/>
          <w:sz w:val="24"/>
          <w:szCs w:val="24"/>
        </w:rPr>
        <w:t xml:space="preserve">sto obligatorio comprometido que comprime el presupuesto discrecional de inversión en capital y mantenimiento. En la fase más aguda del choque de pensiones (2015-2022), el PDI se situó entre 0.87 y 0.91, lo que implica que por cada 100 rupias adicionales d</w:t>
      </w:r>
      <w:r>
        <w:rPr>
          <w:rFonts w:ascii="Times New Roman" w:hAnsi="Times New Roman" w:eastAsia="Times New Roman" w:cs="Times New Roman"/>
          <w:sz w:val="24"/>
          <w:szCs w:val="24"/>
        </w:rPr>
        <w:t xml:space="preserve">estinadas a pensiones, entre 87 y 91 rupias fueron sustraídas directamente de los rubros de adquisición de capital y pertrechos operativos, contrayendo la participación conjunta de capital y mantenimiento en 11 puntos porcentuales a lo largo de una década.</w:t>
      </w:r>
      <w:r>
        <w:rPr>
          <w:rFonts w:ascii="Times New Roman" w:hAnsi="Times New Roman" w:eastAsia="Times New Roman" w:cs="Times New Roman"/>
          <w:sz w:val="24"/>
          <w:szCs w:val="24"/>
        </w:rPr>
      </w:r>
    </w:p>
    <w:p>
      <w:pPr>
        <w:numPr>
          <w:ilvl w:val="0"/>
          <w:numId w:val="3"/>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A nivel latinoamericano:</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En el contexto de la economía política regional, la informalidad no solo representa una exclusión voluntaria o forzada del mercado de trabajo, sino una quiebra profunda del contrato social.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Maydom (2023)</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utilizan microdatos de la encuesta AmericasBarometer (LAPOP) entre 2006 y 2019 combinados con un experimento de encuesta en México (2021-2022) para examin</w:t>
      </w:r>
      <w:r>
        <w:rPr>
          <w:rFonts w:ascii="Times New Roman" w:hAnsi="Times New Roman" w:eastAsia="Times New Roman" w:cs="Times New Roman"/>
          <w:sz w:val="24"/>
          <w:szCs w:val="24"/>
        </w:rPr>
        <w:t xml:space="preserve">ar cómo la informalidad laboral moldea las preferencias de seguridad ciudadana. Sus estimaciones logísticas revelan que los trabajadores informales tienen una probabilidad significativamente mayor de sufrir victimización por delincuencia (razón de momios u</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odds ratio</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 1.089</w:t>
      </w:r>
      <w:r>
        <w:rPr>
          <w:rFonts w:ascii="Times New Roman" w:hAnsi="Times New Roman" w:eastAsia="Times New Roman" w:cs="Times New Roman"/>
          <w:b/>
          <w:bCs/>
          <w:i/>
          <w:iCs/>
          <w:sz w:val="24"/>
          <w:szCs w:val="24"/>
        </w:rPr>
        <w:t xml:space="preserve">) y extorsión por parte de agentes del Estado (pedidos de coimas por la policía con un OR de 1.180</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 por militares con un OR de 1.190</w:t>
      </w:r>
      <w:r>
        <w:rPr>
          <w:rFonts w:ascii="Times New Roman" w:hAnsi="Times New Roman" w:eastAsia="Times New Roman" w:cs="Times New Roman"/>
          <w:b/>
          <w:bCs/>
          <w:sz w:val="24"/>
          <w:szCs w:val="24"/>
        </w:rPr>
        <w:t xml:space="preserve">). Esta doble vulnerabilidad erosiona la confianza de los informales en las instituciones ju</w:t>
      </w:r>
      <w:r>
        <w:rPr>
          <w:rFonts w:ascii="Times New Roman" w:hAnsi="Times New Roman" w:eastAsia="Times New Roman" w:cs="Times New Roman"/>
          <w:b/>
          <w:bCs/>
          <w:sz w:val="24"/>
          <w:szCs w:val="24"/>
        </w:rPr>
        <w:t xml:space="preserve">diciales y policiales, volviéndolos indiferentes ante las políticas de seguridad basadas en el Estado (sean punitivas o preventivas), pero incrementando de manera significativa su respaldo a la justicia por mano propia o vigilantismo ciudadano (OR de 1.044</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Complementando esta visión,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Zepeda Gil (2023)</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teoriza la naturaleza de los conflictos en la región mediante el concepto de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“guerras criminales”</w:t>
      </w:r>
      <w:r>
        <w:rPr>
          <w:rFonts w:ascii="Times New Roman" w:hAnsi="Times New Roman" w:eastAsia="Times New Roman" w:cs="Times New Roman"/>
          <w:sz w:val="24"/>
          <w:szCs w:val="24"/>
        </w:rPr>
        <w:t xml:space="preserve">. A diferencia de las guerras civiles tradicionales fundamentadas en motivaciones</w:t>
      </w:r>
      <w:r>
        <w:rPr>
          <w:rFonts w:ascii="Times New Roman" w:hAnsi="Times New Roman" w:eastAsia="Times New Roman" w:cs="Times New Roman"/>
          <w:sz w:val="24"/>
          <w:szCs w:val="24"/>
        </w:rPr>
        <w:t xml:space="preserve"> ideológicas de reemplazo de las élites, las guerras criminales en América Latina son conflictos armados entre el Estado y organizaciones criminales (o entre estas últimas) donde el uso de la fuerza militar estatal para hacer cumplir regímenes de prohibici</w:t>
      </w:r>
      <w:r>
        <w:rPr>
          <w:rFonts w:ascii="Times New Roman" w:hAnsi="Times New Roman" w:eastAsia="Times New Roman" w:cs="Times New Roman"/>
          <w:sz w:val="24"/>
          <w:szCs w:val="24"/>
        </w:rPr>
        <w:t xml:space="preserve">ón de mercancías ilícitas (v.g., drogas) empuja a los carteles a conformar ejércitos privados. Estas organizaciones no buscan derrocar al gobierno, sino forzar un cambio en la política de persecución fiscal y regulatoria a través de lo que Lessing denomina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“cabildeo violento”</w:t>
      </w:r>
      <w:r>
        <w:rPr>
          <w:rFonts w:ascii="Times New Roman" w:hAnsi="Times New Roman" w:eastAsia="Times New Roman" w:cs="Times New Roman"/>
          <w:sz w:val="24"/>
          <w:szCs w:val="24"/>
        </w:rPr>
        <w:t xml:space="preserve">. La respuesta militarizada del Estado, como la estrategia de descabezamiento de líderes (</w:t>
      </w:r>
      <w:r>
        <w:rPr>
          <w:rFonts w:ascii="Times New Roman" w:hAnsi="Times New Roman" w:eastAsia="Times New Roman" w:cs="Times New Roman"/>
          <w:i/>
          <w:iCs/>
          <w:sz w:val="24"/>
          <w:szCs w:val="24"/>
        </w:rPr>
        <w:t xml:space="preserve">kingpin strategy</w:t>
      </w:r>
      <w:r>
        <w:rPr>
          <w:rFonts w:ascii="Times New Roman" w:hAnsi="Times New Roman" w:eastAsia="Times New Roman" w:cs="Times New Roman"/>
          <w:sz w:val="24"/>
          <w:szCs w:val="24"/>
        </w:rPr>
        <w:t xml:space="preserve">), fragmenta los carteles y desata espirales de represalias armadas y violencia homicida extrema, deteriorando severamente el entorno institucional en el que operan los mercados laborales formales.</w:t>
      </w:r>
      <w:r>
        <w:rPr>
          <w:rFonts w:ascii="Times New Roman" w:hAnsi="Times New Roman" w:eastAsia="Times New Roman" w:cs="Times New Roman"/>
          <w:sz w:val="24"/>
          <w:szCs w:val="24"/>
        </w:rPr>
      </w:r>
    </w:p>
    <w:p>
      <w:pPr>
        <w:numPr>
          <w:ilvl w:val="0"/>
          <w:numId w:val="3"/>
        </w:num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A nivel nacional: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Para el caso ecuatoriano, la sostenibilidad fiscal y previsional está intrínsecamente ligada a la vulnerabilidad macroeconómica del país.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Baculima-Cuesta et al. (2026)</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evalúan la sostenibilidad de las finanzas p</w:t>
      </w:r>
      <w:r>
        <w:rPr>
          <w:rFonts w:ascii="Times New Roman" w:hAnsi="Times New Roman" w:eastAsia="Times New Roman" w:cs="Times New Roman"/>
          <w:sz w:val="24"/>
          <w:szCs w:val="24"/>
        </w:rPr>
        <w:t xml:space="preserve">úblicas en el periodo 2003-2023 empleando un modelo autorregresivo con retardos distribuidos con cambio de régimen de Markov (MS-ARDL). Sus resultados identifican dos regímenes bien delimitados: un régimen de sostenibilidad débil (Régimen 0), con una durac</w:t>
      </w:r>
      <w:r>
        <w:rPr>
          <w:rFonts w:ascii="Times New Roman" w:hAnsi="Times New Roman" w:eastAsia="Times New Roman" w:cs="Times New Roman"/>
          <w:sz w:val="24"/>
          <w:szCs w:val="24"/>
        </w:rPr>
        <w:t xml:space="preserve">ión promedio de 7.85 trimestres, y un régimen de sostenibilidad fuerte (Régimen 1), con una duración promedio de 10.54 trimestres. Los autores demuestran que el tránsito entre regímenes está fuertemente condicionado por choques externos de precios del petr</w:t>
      </w:r>
      <w:r>
        <w:rPr>
          <w:rFonts w:ascii="Times New Roman" w:hAnsi="Times New Roman" w:eastAsia="Times New Roman" w:cs="Times New Roman"/>
          <w:sz w:val="24"/>
          <w:szCs w:val="24"/>
        </w:rPr>
        <w:t xml:space="preserve">óleo y por las rigideces estructurales impuestas por la dolarización. Esta volatilidad cíclica restringe la capacidad del Estado para garantizar la transferencia obligatoria del 40% para el fondo de pensiones del IESS, incrementando el riesgo de iliquidez.</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Finalmente, los determinantes de la afiliación al seguro social en el Ecuador son analizados empíricamente por</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Murillo et al. (2025)</w:t>
      </w:r>
      <w:r>
        <w:rPr>
          <w:rFonts w:ascii="Times New Roman" w:hAnsi="Times New Roman" w:eastAsia="Times New Roman" w:cs="Times New Roman"/>
          <w:sz w:val="24"/>
          <w:szCs w:val="24"/>
        </w:rPr>
        <w:t xml:space="preserve">. A través </w:t>
      </w:r>
      <w:r>
        <w:rPr>
          <w:rFonts w:ascii="Times New Roman" w:hAnsi="Times New Roman" w:eastAsia="Times New Roman" w:cs="Times New Roman"/>
          <w:sz w:val="24"/>
          <w:szCs w:val="24"/>
        </w:rPr>
        <w:t xml:space="preserve">de estimaciones de elección discreta, los autores corroboran que variables socioeconómicas y la inestabilidad del entorno laboral juegan un papel crucial en la decisión de cotizar. En particular, demuestran cómo la criminalidad y la inestabilidad social ac</w:t>
      </w:r>
      <w:r>
        <w:rPr>
          <w:rFonts w:ascii="Times New Roman" w:hAnsi="Times New Roman" w:eastAsia="Times New Roman" w:cs="Times New Roman"/>
          <w:sz w:val="24"/>
          <w:szCs w:val="24"/>
        </w:rPr>
        <w:t xml:space="preserve">túan como barreras directas que limitan la afiliación activa, consolidando un círculo vicioso donde la inseguridad física destruye el empleo formal y, con ello, socava la base de aportantes que sostiene la sostenibilidad financiera de largo plazo del IESS.</w:t>
      </w:r>
      <w:bookmarkEnd w:id="12"/>
      <w:r>
        <w:rPr>
          <w:sz w:val="24"/>
          <w:szCs w:val="24"/>
        </w:rPr>
      </w:r>
      <w:bookmarkEnd w:id="13"/>
      <w:r>
        <w:rPr>
          <w:sz w:val="24"/>
          <w:szCs w:val="24"/>
        </w:rPr>
      </w:r>
      <w:r>
        <w:rPr>
          <w:rFonts w:ascii="Times New Roman" w:hAnsi="Times New Roman" w:eastAsia="Times New Roman" w:cs="Times New Roman"/>
          <w:sz w:val="24"/>
          <w:szCs w:val="24"/>
        </w:rPr>
      </w:r>
    </w:p>
    <w:p>
      <w:pPr>
        <w:pStyle w:val="700"/>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5" w:name="datos-y-metodología"/>
      <w:r>
        <w:rPr>
          <w:rFonts w:ascii="Times New Roman" w:hAnsi="Times New Roman" w:eastAsia="Times New Roman" w:cs="Times New Roman"/>
          <w:sz w:val="24"/>
          <w:szCs w:val="24"/>
        </w:rPr>
        <w:t xml:space="preserve">3. Datos y metodología</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 esta sección detallo la base de datos recopilada, el comportamiento de las variables de estudio y la estructura metodológica implementada para evaluar la crisis de sostenibilidad del sistema de reparto del IESS durante el periodo 1990-2024.</w:t>
      </w:r>
      <w:r>
        <w:rPr>
          <w:rFonts w:ascii="Times New Roman" w:hAnsi="Times New Roman" w:eastAsia="Times New Roman" w:cs="Times New Roman"/>
          <w:sz w:val="24"/>
          <w:szCs w:val="24"/>
        </w:rPr>
      </w:r>
    </w:p>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5" w:name="datos"/>
      <w:r>
        <w:rPr>
          <w:rFonts w:ascii="Times New Roman" w:hAnsi="Times New Roman" w:eastAsia="Times New Roman" w:cs="Times New Roman"/>
          <w:sz w:val="24"/>
          <w:szCs w:val="24"/>
        </w:rPr>
        <w:t xml:space="preserve">3.1 Datos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base de datos combina registros de afiliación p</w:t>
      </w:r>
      <w:r>
        <w:rPr>
          <w:rFonts w:ascii="Times New Roman" w:hAnsi="Times New Roman" w:eastAsia="Times New Roman" w:cs="Times New Roman"/>
          <w:sz w:val="24"/>
          <w:szCs w:val="24"/>
        </w:rPr>
        <w:t xml:space="preserve">revisional del IESS con series macroeconómicas y sociales del Banco Mundial. El conjunto de datos abarca 35 observaciones anuales que capturan la evolución del mercado laboral, la presión fiscal de defensa y el entorno de seguridad ciudadana en el Ecuador.</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14" w:name="tbl-variables"/>
            <w:r>
              <w:rPr>
                <w:rFonts w:ascii="Times New Roman" w:hAnsi="Times New Roman" w:eastAsia="Times New Roman" w:cs="Times New Roman"/>
                <w:sz w:val="24"/>
                <w:szCs w:val="24"/>
              </w:rPr>
              <w:t xml:space="preserve">Tabla 1: Matriz de Variables de Investigación</w:t>
            </w:r>
            <w:r>
              <w:rPr>
                <w:rFonts w:ascii="Times New Roman" w:hAnsi="Times New Roman" w:eastAsia="Times New Roman" w:cs="Times New Roman"/>
                <w:sz w:val="24"/>
                <w:szCs w:val="24"/>
              </w:rPr>
            </w:r>
          </w:p>
          <w:tbl>
            <w:tblPr>
              <w:tblStyle w:val="722"/>
              <w:tblW w:w="5000" w:type="pct"/>
              <w:tblBorders/>
              <w:tblLayout w:type="fixed"/>
              <w:tblLook w:val="0020" w:firstRow="1" w:lastRow="0" w:firstColumn="0" w:lastColumn="0" w:noHBand="0" w:noVBand="0"/>
            </w:tblPr>
            <w:tblGrid>
              <w:gridCol w:w="1584"/>
              <w:gridCol w:w="1584"/>
              <w:gridCol w:w="1584"/>
              <w:gridCol w:w="1584"/>
              <w:gridCol w:w="1584"/>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Código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Variable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Definición</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Unidad</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Fuente de Datos</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AF</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Afiliados</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Personas registradas que aportan activamente al IESS (SGO + SSC).</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Conteo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IESS / Boletines Estadísticos</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GM</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Gasto Militar</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Gasto en defensa y fuerzas armadas como proporción del producto interno.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 del PIB</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Banco Mundial (WDI)</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Migración</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Saldo neto de personas que ingresan menos las que salen del país.</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Conteo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Banco Mundial (WDI)</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Homicidios</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Muertes ilegales causadas intencionalmente por violencia interpersonal.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Tasa por 100k hab.</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Banco Mundial / UNODC</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FL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Fuerza Laboral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Población económicamente activa total.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Conteo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Banco Mundial (WDI)</w:t>
                  </w:r>
                  <w:bookmarkEnd w:id="14"/>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Analizo las variables seleccionadas para comprender las tendencias históricas y la variabilidad física de las series temporales, las cuales se resumen a continuación a través de sus estadísticos descriptivos elementales.</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15" w:name="tbl-resumen"/>
            <w:r>
              <w:rPr>
                <w:rFonts w:ascii="Times New Roman" w:hAnsi="Times New Roman" w:eastAsia="Times New Roman" w:cs="Times New Roman"/>
                <w:sz w:val="24"/>
                <w:szCs w:val="24"/>
              </w:rPr>
              <w:t xml:space="preserve">Tabla 2: Estadísticos descriptivos de las variables de investigación (1990-2024)</w:t>
            </w:r>
            <w:r>
              <w:rPr>
                <w:rFonts w:ascii="Times New Roman" w:hAnsi="Times New Roman" w:eastAsia="Times New Roman" w:cs="Times New Roman"/>
                <w:sz w:val="24"/>
                <w:szCs w:val="24"/>
              </w:rPr>
            </w:r>
          </w:p>
          <w:tbl>
            <w:tblPr>
              <w:tblStyle w:val="722"/>
              <w:tblW w:w="5000" w:type="pct"/>
              <w:tblBorders/>
              <w:tblLayout w:type="fixed"/>
              <w:tblLook w:val="0020" w:firstRow="1" w:lastRow="0" w:firstColumn="0" w:lastColumn="0" w:noHBand="0" w:noVBand="0"/>
            </w:tblPr>
            <w:tblGrid>
              <w:gridCol w:w="1092"/>
              <w:gridCol w:w="1365"/>
              <w:gridCol w:w="1365"/>
              <w:gridCol w:w="1365"/>
              <w:gridCol w:w="1365"/>
              <w:gridCol w:w="1365"/>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Variable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N</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Media</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Desv. Est.</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Mín.</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Máx.</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Log Afiliados (</w:t>
                  </w: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A</m:t>
                    </m:r>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14.4970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0.5160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13.7420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15.1493</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Gasto Militar (</w:t>
                  </w:r>
                  <m:oMath>
                    <m:r>
                      <w:rPr>
                        <w:rFonts w:hint="default" w:ascii="Cambria Math" w:hAnsi="Cambria Math" w:eastAsia="Cambria Math" w:cs="Cambria Math"/>
                        <w:sz w:val="24"/>
                        <w:szCs w:val="24"/>
                      </w:rPr>
                      <m:rPr/>
                      <m:t>G</m:t>
                    </m:r>
                    <m:r>
                      <w:rPr>
                        <w:rFonts w:hint="default" w:ascii="Cambria Math" w:hAnsi="Cambria Math" w:eastAsia="Cambria Math" w:cs="Cambria Math"/>
                        <w:sz w:val="24"/>
                        <w:szCs w:val="24"/>
                      </w:rPr>
                      <m:rPr/>
                      <m:t>M</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2.1833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0.5560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1.2133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3.2432</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Migración Neta (</w:t>
                  </w:r>
                  <m:oMath>
                    <m:r>
                      <w:rPr>
                        <w:rFonts w:hint="default" w:ascii="Cambria Math" w:hAnsi="Cambria Math" w:eastAsia="Cambria Math" w:cs="Cambria Math"/>
                        <w:sz w:val="24"/>
                        <w:szCs w:val="24"/>
                      </w:rPr>
                      <m:rPr/>
                      <m:t>M</m:t>
                    </m:r>
                    <m:r>
                      <w:rPr>
                        <w:rFonts w:hint="default" w:ascii="Cambria Math" w:hAnsi="Cambria Math" w:eastAsia="Cambria Math" w:cs="Cambria Math"/>
                        <w:sz w:val="24"/>
                        <w:szCs w:val="24"/>
                      </w:rPr>
                      <m:rPr/>
                      <m:t>I</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-13606.2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31691.4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-47287.0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95482.0</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Log Tasa Homicidios (</w:t>
                  </w: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H</m:t>
                    </m:r>
                    <m:r>
                      <w:rPr>
                        <w:rFonts w:hint="default" w:ascii="Cambria Math" w:hAnsi="Cambria Math" w:eastAsia="Cambria Math" w:cs="Cambria Math"/>
                        <w:sz w:val="24"/>
                        <w:szCs w:val="24"/>
                      </w:rPr>
                      <m:rPr/>
                      <m:t>O</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2.5222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0.4908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1.7557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3.8226</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Log Fuerza Laboral (</w:t>
                  </w: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t>L</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15.6394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0.2402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15.2127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15.9950</w:t>
                  </w:r>
                  <w:bookmarkEnd w:id="15"/>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Style w:val="688"/>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Matriz de Correlación</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16" w:name="tbl-correlacion"/>
            <w:r>
              <w:rPr>
                <w:rFonts w:ascii="Times New Roman" w:hAnsi="Times New Roman" w:eastAsia="Times New Roman" w:cs="Times New Roman"/>
                <w:sz w:val="24"/>
                <w:szCs w:val="24"/>
              </w:rPr>
              <w:t xml:space="preserve">Tabla 3: Matriz de Correlación de las variables de investigación</w:t>
            </w:r>
            <w:r>
              <w:rPr>
                <w:rFonts w:ascii="Times New Roman" w:hAnsi="Times New Roman" w:eastAsia="Times New Roman" w:cs="Times New Roman"/>
                <w:sz w:val="24"/>
                <w:szCs w:val="24"/>
              </w:rPr>
            </w:r>
          </w:p>
          <w:tbl>
            <w:tblPr>
              <w:tblStyle w:val="722"/>
              <w:tblW w:w="5000" w:type="pct"/>
              <w:tblBorders/>
              <w:tblLayout w:type="fixed"/>
              <w:tblLook w:val="0020" w:firstRow="1" w:lastRow="0" w:firstColumn="0" w:lastColumn="0" w:noHBand="0" w:noVBand="0"/>
            </w:tblPr>
            <w:tblGrid>
              <w:gridCol w:w="1092"/>
              <w:gridCol w:w="1365"/>
              <w:gridCol w:w="1365"/>
              <w:gridCol w:w="1365"/>
              <w:gridCol w:w="1365"/>
              <w:gridCol w:w="1365"/>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Variable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A</m:t>
                      </m:r>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r>
                        <w:rPr>
                          <w:rFonts w:hint="default" w:ascii="Cambria Math" w:hAnsi="Cambria Math" w:eastAsia="Cambria Math" w:cs="Cambria Math"/>
                          <w:sz w:val="24"/>
                          <w:szCs w:val="24"/>
                        </w:rPr>
                        <m:rPr/>
                        <m:t>G</m:t>
                      </m:r>
                      <m:r>
                        <w:rPr>
                          <w:rFonts w:hint="default" w:ascii="Cambria Math" w:hAnsi="Cambria Math" w:eastAsia="Cambria Math" w:cs="Cambria Math"/>
                          <w:sz w:val="24"/>
                          <w:szCs w:val="24"/>
                        </w:rPr>
                        <m:rPr/>
                        <m:t>M</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r>
                        <w:rPr>
                          <w:rFonts w:hint="default" w:ascii="Cambria Math" w:hAnsi="Cambria Math" w:eastAsia="Cambria Math" w:cs="Cambria Math"/>
                          <w:sz w:val="24"/>
                          <w:szCs w:val="24"/>
                        </w:rPr>
                        <m:rPr/>
                        <m:t>M</m:t>
                      </m:r>
                      <m:r>
                        <w:rPr>
                          <w:rFonts w:hint="default" w:ascii="Cambria Math" w:hAnsi="Cambria Math" w:eastAsia="Cambria Math" w:cs="Cambria Math"/>
                          <w:sz w:val="24"/>
                          <w:szCs w:val="24"/>
                        </w:rPr>
                        <m:rPr/>
                        <m:t>I</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H</m:t>
                      </m:r>
                      <m:r>
                        <w:rPr>
                          <w:rFonts w:hint="default" w:ascii="Cambria Math" w:hAnsi="Cambria Math" w:eastAsia="Cambria Math" w:cs="Cambria Math"/>
                          <w:sz w:val="24"/>
                          <w:szCs w:val="24"/>
                        </w:rPr>
                        <m:rPr/>
                        <m:t>O</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t>L</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Log Afiliados (</w:t>
                  </w: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A</m:t>
                    </m:r>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b/>
                      <w:bCs/>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1.0000</w:t>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Gasto Militar (</w:t>
                  </w:r>
                  <m:oMath>
                    <m:r>
                      <w:rPr>
                        <w:rFonts w:hint="default" w:ascii="Cambria Math" w:hAnsi="Cambria Math" w:eastAsia="Cambria Math" w:cs="Cambria Math"/>
                        <w:sz w:val="24"/>
                        <w:szCs w:val="24"/>
                      </w:rPr>
                      <m:rPr/>
                      <m:t>G</m:t>
                    </m:r>
                    <m:r>
                      <w:rPr>
                        <w:rFonts w:hint="default" w:ascii="Cambria Math" w:hAnsi="Cambria Math" w:eastAsia="Cambria Math" w:cs="Cambria Math"/>
                        <w:sz w:val="24"/>
                        <w:szCs w:val="24"/>
                      </w:rPr>
                      <m:rPr/>
                      <m:t>M</m:t>
                    </m:r>
                  </m:oMath>
                  <w:r>
                    <w:rPr>
                      <w:rFonts w:ascii="Times New Roman" w:hAnsi="Times New Roman" w:eastAsia="Times New Roman" w:cs="Times New Roman"/>
                      <w:b/>
                      <w:bCs/>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0.6972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1.0000</w:t>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Migración Neta (</w:t>
                  </w:r>
                  <m:oMath>
                    <m:r>
                      <w:rPr>
                        <w:rFonts w:hint="default" w:ascii="Cambria Math" w:hAnsi="Cambria Math" w:eastAsia="Cambria Math" w:cs="Cambria Math"/>
                        <w:sz w:val="24"/>
                        <w:szCs w:val="24"/>
                      </w:rPr>
                      <m:rPr/>
                      <m:t>M</m:t>
                    </m:r>
                    <m:r>
                      <w:rPr>
                        <w:rFonts w:hint="default" w:ascii="Cambria Math" w:hAnsi="Cambria Math" w:eastAsia="Cambria Math" w:cs="Cambria Math"/>
                        <w:sz w:val="24"/>
                        <w:szCs w:val="24"/>
                      </w:rPr>
                      <m:rPr/>
                      <m:t>I</m:t>
                    </m:r>
                  </m:oMath>
                  <w:r>
                    <w:rPr>
                      <w:rFonts w:ascii="Times New Roman" w:hAnsi="Times New Roman" w:eastAsia="Times New Roman" w:cs="Times New Roman"/>
                      <w:b/>
                      <w:bCs/>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0.6568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0.4622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1.0000</w:t>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Log Tasa Homicidios (</w:t>
                  </w: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H</m:t>
                    </m:r>
                    <m:r>
                      <w:rPr>
                        <w:rFonts w:hint="default" w:ascii="Cambria Math" w:hAnsi="Cambria Math" w:eastAsia="Cambria Math" w:cs="Cambria Math"/>
                        <w:sz w:val="24"/>
                        <w:szCs w:val="24"/>
                      </w:rPr>
                      <m:rPr/>
                      <m:t>O</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b/>
                      <w:bCs/>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0.0398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0.1225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-0.4544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1.0000</w:t>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Log Fuerza Laboral (</w:t>
                  </w:r>
                  <m:oMath>
                    <m:r>
                      <w:rPr>
                        <w:rFonts w:hint="default" w:ascii="Cambria Math" w:hAnsi="Cambria Math" w:eastAsia="Cambria Math" w:cs="Cambria Math"/>
                        <w:sz w:val="24"/>
                        <w:szCs w:val="24"/>
                      </w:rPr>
                      <m:rPr>
                        <m:sty m:val="p"/>
                      </m:rPr>
                      <m:t>ln</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t>L</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b/>
                      <w:bCs/>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0.9520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0.6677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0.6335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0.1751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1.0000</w:t>
                  </w:r>
                  <w:bookmarkEnd w:id="16"/>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r>
    </w:tbl>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Para estimar conjuntamente las variables, descarto problemas de multicolinealidad severa mediante el cálculo del</w:t>
      </w:r>
      <w:r>
        <w:rPr>
          <w:rFonts w:ascii="Times New Roman" w:hAnsi="Times New Roman" w:eastAsia="Times New Roman" w:cs="Times New Roman"/>
          <w:sz w:val="24"/>
          <w:szCs w:val="24"/>
        </w:rPr>
        <w:t xml:space="preserve"> Factor de Inflación de la Varianza (VIF). Asimismo, evalúo la normalidad de la distribución de los residuos para garantizar que no existan distorsiones que invaliden las pruebas estadísticas subsiguientes. El VIF promedio para los regresores independiente</w:t>
      </w:r>
      <w:r>
        <w:rPr>
          <w:rFonts w:ascii="Times New Roman" w:hAnsi="Times New Roman" w:eastAsia="Times New Roman" w:cs="Times New Roman"/>
          <w:sz w:val="24"/>
          <w:szCs w:val="24"/>
        </w:rPr>
        <w:t xml:space="preserve">s es de 2.87 (Migración Neta: 3.76, Fuerza Laboral: 3.60, Tasa de Homicidios: 2.31 y Gasto Militar: 1.83), todos inferiores al límite de 5.0, descartando colinealidad grave. En cuanto a la normalidad residual, la prueba Jarque-Bera arroja un estadístico de</w:t>
      </w:r>
      <w:r>
        <w:rPr>
          <w:rFonts w:ascii="Times New Roman" w:hAnsi="Times New Roman" w:eastAsia="Times New Roman" w:cs="Times New Roman"/>
          <w:sz w:val="24"/>
          <w:szCs w:val="24"/>
        </w:rPr>
        <w:t xml:space="preserve"> </w:t>
      </w:r>
      <m:oMath>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χ</m:t>
            </m:r>
          </m:e>
          <m:sup>
            <m:r>
              <w:rPr>
                <w:rFonts w:hint="default" w:ascii="Cambria Math" w:hAnsi="Cambria Math" w:eastAsia="Cambria Math" w:cs="Cambria Math"/>
                <w:sz w:val="24"/>
                <w:szCs w:val="24"/>
              </w:rPr>
              <m:rPr/>
              <m:t>2</m:t>
            </m:r>
          </m:sup>
        </m:sSup>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2</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1.94</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con un p-valor de 0.379, lo que confirma que no rechazo la hipótesis nula de residuos normales.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Para complementar el análisis descript</w:t>
      </w:r>
      <w:r>
        <w:rPr>
          <w:rFonts w:ascii="Times New Roman" w:hAnsi="Times New Roman" w:eastAsia="Times New Roman" w:cs="Times New Roman"/>
          <w:sz w:val="24"/>
          <w:szCs w:val="24"/>
        </w:rPr>
        <w:t xml:space="preserve">ivo, presento la evolución temporal y longitudinal de las variables explicativas y demográficas. Esta visualización permite identificar los quiebres estructurales asociados a la dolarización en el año 2000 y al auge normativo previsional posterior al 2008.</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w:bookmarkStart w:id="20" w:name="fig-tendencias"/>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5334000" cy="3878818"/>
                      <wp:effectExtent l="0" t="0" r="0" b="0"/>
                      <wp:docPr id="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descr="assets/fig-tendencias-stata.png"/>
                              <pic:cNvPicPr>
                                <a:picLocks noChangeAspect="1" noChangeArrowheads="1"/>
                              </pic:cNvPicPr>
                              <pic:nvPr/>
                            </pic:nvPicPr>
                            <pic:blipFill rotWithShape="1">
                              <a:blip r:embed="rId9"/>
                              <a:stretch/>
                            </pic:blipFill>
                            <pic:spPr bwMode="auto">
                              <a:xfrm>
                                <a:off x="0" y="0"/>
                                <a:ext cx="5334000" cy="387881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20.00pt;height:305.42pt;mso-wrap-distance-left:0.00pt;mso-wrap-distance-top:0.00pt;mso-wrap-distance-right:0.00pt;mso-wrap-distance-bottom:0.00pt;z-index:1;" stroked="f" strokeweight="0.75pt">
                      <v:imagedata r:id="rId9" o:title=""/>
                      <o:lock v:ext="edit" rotation="t"/>
                    </v:shape>
                  </w:pict>
                </mc:Fallback>
              </mc:AlternateContent>
            </w:r>
            <w:r>
              <w:rPr>
                <w:rFonts w:ascii="Times New Roman" w:hAnsi="Times New Roman" w:eastAsia="Times New Roman" w:cs="Times New Roman"/>
                <w:sz w:val="24"/>
                <w:szCs w:val="24"/>
              </w:rPr>
            </w:r>
          </w:p>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t xml:space="preserve">Figura 1: Evolución temporal de los determinantes de la crisis del IESS (1990-2024)</w:t>
            </w:r>
            <w:bookmarkEnd w:id="20"/>
            <w:r>
              <w:rPr>
                <w:rFonts w:ascii="Times New Roman" w:hAnsi="Times New Roman" w:eastAsia="Times New Roman" w:cs="Times New Roman"/>
                <w:sz w:val="24"/>
                <w:szCs w:val="24"/>
              </w:rPr>
            </w:r>
          </w:p>
        </w:tc>
      </w:tr>
    </w:tbl>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4" w:name="diagnósticos-econométricos-de-los-datos"/>
      <w:r>
        <w:rPr>
          <w:rFonts w:ascii="Times New Roman" w:hAnsi="Times New Roman" w:eastAsia="Times New Roman" w:cs="Times New Roman"/>
          <w:sz w:val="24"/>
          <w:szCs w:val="24"/>
        </w:rPr>
        <w:t xml:space="preserve">3.1.1 Diagnósticos Econométricos de los Datos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validez de las inferencias en series de tiempo depende de la estructura dinámica de los datos y el cumplimiento de condiciones de estabilidad. Se aplican pruebas para asegurar la robustez ante multicolinealidad y no-estacionariedad.</w:t>
      </w:r>
      <w:r>
        <w:rPr>
          <w:rFonts w:ascii="Times New Roman" w:hAnsi="Times New Roman" w:eastAsia="Times New Roman" w:cs="Times New Roman"/>
          <w:sz w:val="24"/>
          <w:szCs w:val="24"/>
        </w:rPr>
      </w:r>
    </w:p>
    <w:p>
      <w:pPr>
        <w:pStyle w:val="703"/>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2" w:name="multicolinealidad-vif"/>
      <w:r>
        <w:rPr>
          <w:rFonts w:ascii="Times New Roman" w:hAnsi="Times New Roman" w:eastAsia="Times New Roman" w:cs="Times New Roman"/>
          <w:sz w:val="24"/>
          <w:szCs w:val="24"/>
        </w:rPr>
        <w:t xml:space="preserve">3.1.1.1 Multicolinealidad (VIF)</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21" w:name="tbl-vif"/>
            <w:r>
              <w:rPr>
                <w:rFonts w:ascii="Times New Roman" w:hAnsi="Times New Roman" w:eastAsia="Times New Roman" w:cs="Times New Roman"/>
                <w:sz w:val="24"/>
                <w:szCs w:val="24"/>
              </w:rPr>
              <w:t xml:space="preserve">Tabla 4: Factor de Inflación de la Varianza (VIF)</w:t>
            </w:r>
            <w:r>
              <w:rPr>
                <w:rFonts w:ascii="Times New Roman" w:hAnsi="Times New Roman" w:eastAsia="Times New Roman" w:cs="Times New Roman"/>
                <w:sz w:val="24"/>
                <w:szCs w:val="24"/>
              </w:rPr>
            </w:r>
          </w:p>
          <w:tbl>
            <w:tblPr>
              <w:tblStyle w:val="722"/>
              <w:tblW w:w="0" w:type="auto"/>
              <w:tblBorders/>
              <w:tblLook w:val="0020" w:firstRow="1" w:lastRow="0" w:firstColumn="0" w:lastColumn="0" w:noHBand="0" w:noVBand="0"/>
            </w:tblPr>
            <w:tblGrid>
              <w:gridCol w:w="2640"/>
              <w:gridCol w:w="2640"/>
              <w:gridCol w:w="2640"/>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Variable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VIF</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1/VIF</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Migración Neta (MI)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3.76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0.2658</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Log Fuerza Laboral (FL)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3.60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0.2780</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Log Tasa Homicidios (HO)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2.31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0.4323</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Gasto Militar (GM)</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1.83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0.5474</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Promedio VIF</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2.87</w:t>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21"/>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22"/>
            <w:r>
              <w:rPr>
                <w:rFonts w:ascii="Times New Roman" w:hAnsi="Times New Roman" w:eastAsia="Times New Roman" w:cs="Times New Roman"/>
                <w:sz w:val="24"/>
                <w:szCs w:val="24"/>
              </w:rPr>
            </w:r>
          </w:p>
        </w:tc>
      </w:tr>
    </w:tbl>
    <w:p>
      <w:pPr>
        <w:pStyle w:val="703"/>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3" w:name="pruebas-de-raíz-unitaria-zivot-andrews"/>
      <w:r>
        <w:rPr>
          <w:rFonts w:ascii="Times New Roman" w:hAnsi="Times New Roman" w:eastAsia="Times New Roman" w:cs="Times New Roman"/>
          <w:sz w:val="24"/>
          <w:szCs w:val="24"/>
        </w:rPr>
        <w:t xml:space="preserve">3.1.1.2 Pruebas de Raíz Unitaria (Zivot-Andrews)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Se consolidan los resultados de ADF, PP y ZA para niveles e integración.</w:t>
      </w:r>
      <w:bookmarkEnd w:id="23"/>
      <w:r>
        <w:rPr>
          <w:sz w:val="24"/>
          <w:szCs w:val="24"/>
        </w:rPr>
      </w:r>
      <w:bookmarkEnd w:id="24"/>
      <w:r>
        <w:rPr>
          <w:sz w:val="24"/>
          <w:szCs w:val="24"/>
        </w:rPr>
      </w:r>
      <w:bookmarkEnd w:id="25"/>
      <w:r>
        <w:rPr>
          <w:sz w:val="24"/>
          <w:szCs w:val="24"/>
        </w:rPr>
      </w:r>
      <w:r>
        <w:rPr>
          <w:rFonts w:ascii="Times New Roman" w:hAnsi="Times New Roman" w:eastAsia="Times New Roman" w:cs="Times New Roman"/>
          <w:sz w:val="24"/>
          <w:szCs w:val="24"/>
        </w:rPr>
      </w:r>
    </w:p>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4" w:name="metodología"/>
      <w:r>
        <w:rPr>
          <w:rFonts w:ascii="Times New Roman" w:hAnsi="Times New Roman" w:eastAsia="Times New Roman" w:cs="Times New Roman"/>
          <w:sz w:val="24"/>
          <w:szCs w:val="24"/>
        </w:rPr>
        <w:t xml:space="preserve">3.2 Metodología</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Para evaluar el orden de integración de las series temporales de forma individual y prevenir regresiones espurias, implemento pruebas de raíz unitaria con y sin quiebres estructurales.</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prueba 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Dickey-Fuller Aumentada (ADF)</w:t>
      </w:r>
      <w:r>
        <w:rPr>
          <w:rFonts w:ascii="Times New Roman" w:hAnsi="Times New Roman" w:eastAsia="Times New Roman" w:cs="Times New Roman"/>
          <w:sz w:val="24"/>
          <w:szCs w:val="24"/>
        </w:rPr>
        <w:t xml:space="preserve">, formulada originalmente por</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David Dickey y Wayne Fuller (1979)</w:t>
      </w:r>
      <w:r>
        <w:rPr>
          <w:rFonts w:ascii="Times New Roman" w:hAnsi="Times New Roman" w:eastAsia="Times New Roman" w:cs="Times New Roman"/>
          <w:sz w:val="24"/>
          <w:szCs w:val="24"/>
        </w:rPr>
        <w:t xml:space="preserve">, evalúa la presencia de una raíz unitaria (no estacionariedad) frente a la alternativa de estacionariedad en torno a una tendencia determinista. La utilizo para verificar que ninguna serie del sistema supere el orden de integración</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estimando la regresión auxiliar general:</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6" w:name="eq-adf"/>
      <w:r>
        <w:rPr>
          <w:rFonts w:ascii="Times New Roman" w:hAnsi="Times New Roman" w:eastAsia="Times New Roman" w:cs="Times New Roman"/>
          <w:sz w:val="24"/>
          <w:szCs w:val="24"/>
        </w:rPr>
      </w:r>
      <m:oMathPara>
        <m:oMathParaPr>
          <m:jc m:val="center"/>
        </m:oMathParaPr>
        <m:oMath>
          <m:r>
            <w:rPr>
              <w:rFonts w:hint="default" w:ascii="Cambria Math" w:hAnsi="Cambria Math" w:eastAsia="Cambria Math" w:cs="Cambria Math"/>
              <w:sz w:val="24"/>
              <w:szCs w:val="24"/>
            </w:rPr>
            <m:rPr>
              <m:sty m:val="p"/>
            </m:rPr>
            <m:t>Δ</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α</m:t>
              </m:r>
            </m:e>
            <m:sub>
              <m:r>
                <w:rPr>
                  <w:rFonts w:hint="default" w:ascii="Cambria Math" w:hAnsi="Cambria Math" w:eastAsia="Cambria Math" w:cs="Cambria Math"/>
                  <w:sz w:val="24"/>
                  <w:szCs w:val="24"/>
                </w:rPr>
                <m:rPr/>
                <m:t>0</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α</m:t>
              </m:r>
            </m:e>
            <m:sub>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δ</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j</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k</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θ</m:t>
                  </m:r>
                </m:e>
                <m:sub>
                  <m:r>
                    <w:rPr>
                      <w:rFonts w:hint="default" w:ascii="Cambria Math" w:hAnsi="Cambria Math" w:eastAsia="Cambria Math" w:cs="Cambria Math"/>
                      <w:sz w:val="24"/>
                      <w:szCs w:val="24"/>
                    </w:rPr>
                    <m:rPr/>
                    <m:t>j</m:t>
                  </m:r>
                </m:sub>
              </m:sSub>
            </m:e>
          </m:nary>
          <m:r>
            <w:rPr>
              <w:rFonts w:hint="default" w:ascii="Cambria Math" w:hAnsi="Cambria Math" w:eastAsia="Cambria Math" w:cs="Cambria Math"/>
              <w:sz w:val="24"/>
              <w:szCs w:val="24"/>
            </w:rPr>
            <m:rPr>
              <m:sty m:val="p"/>
            </m:rPr>
            <m:t>Δ</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j</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ϵ</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26"/>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Donde</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 la variable genérica bajo análisis,</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sty m:val="p"/>
          </m:rPr>
          <m:t>Δ</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representa la primera diferencia,</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t</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la tendencia y se selecciona el rezago óptimo</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k</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mediante el Criterio de Schwarz para eliminar la autocorrelación en el residuo</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ϵ</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d</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m:t>
        </m:r>
        <m:r>
          <w:rPr>
            <w:rFonts w:hint="default" w:ascii="Cambria Math" w:hAnsi="Cambria Math" w:eastAsia="Cambria Math" w:cs="Cambria Math"/>
            <w:sz w:val="24"/>
            <w:szCs w:val="24"/>
          </w:rPr>
          <m:rPr>
            <m:sty m:val="p"/>
          </m:rPr>
          <m:t>,</m:t>
        </m:r>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σ</m:t>
            </m:r>
          </m:e>
          <m:sup>
            <m:r>
              <w:rPr>
                <w:rFonts w:hint="default" w:ascii="Cambria Math" w:hAnsi="Cambria Math" w:eastAsia="Cambria Math" w:cs="Cambria Math"/>
                <w:sz w:val="24"/>
                <w:szCs w:val="24"/>
              </w:rPr>
              <m:rPr/>
              <m:t>2</m:t>
            </m:r>
          </m:sup>
        </m:sSup>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De manera complementaria, aplico la prueba 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Phillips-Perron (PP)</w:t>
      </w:r>
      <w:r>
        <w:rPr>
          <w:rFonts w:ascii="Times New Roman" w:hAnsi="Times New Roman" w:eastAsia="Times New Roman" w:cs="Times New Roman"/>
          <w:sz w:val="24"/>
          <w:szCs w:val="24"/>
        </w:rPr>
        <w:t xml:space="preserve">, formulada por</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Peter Phillips y Pierre Perron (1988)</w:t>
      </w:r>
      <w:r>
        <w:rPr>
          <w:rFonts w:ascii="Times New Roman" w:hAnsi="Times New Roman" w:eastAsia="Times New Roman" w:cs="Times New Roman"/>
          <w:sz w:val="24"/>
          <w:szCs w:val="24"/>
        </w:rPr>
        <w:t xml:space="preserve">. Mide la hipótesis de raíz unitaria aplicando correcciones no paramétricas directas a la matriz de varianza-covarianza para controlar la correlación serial y la heterocedasticidad en el término de error. Estima la ecuación:</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7" w:name="eq-pp"/>
      <w:r>
        <w:rPr>
          <w:rFonts w:ascii="Times New Roman" w:hAnsi="Times New Roman" w:eastAsia="Times New Roman" w:cs="Times New Roman"/>
          <w:sz w:val="24"/>
          <w:szCs w:val="24"/>
        </w:rPr>
      </w:r>
      <m:oMathPara>
        <m:oMathParaPr>
          <m:jc m:val="center"/>
        </m:oMathParaP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μ</m:t>
              </m:r>
            </m:e>
            <m:sub>
              <m:r>
                <w:rPr>
                  <w:rFonts w:hint="default" w:ascii="Cambria Math" w:hAnsi="Cambria Math" w:eastAsia="Cambria Math" w:cs="Cambria Math"/>
                  <w:sz w:val="24"/>
                  <w:szCs w:val="24"/>
                </w:rPr>
                <m:rPr/>
                <m:t>0</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μ</m:t>
              </m:r>
            </m:e>
            <m:sub>
              <m:r>
                <w:rPr>
                  <w:rFonts w:hint="default" w:ascii="Cambria Math" w:hAnsi="Cambria Math" w:eastAsia="Cambria Math" w:cs="Cambria Math"/>
                  <w:sz w:val="24"/>
                  <w:szCs w:val="24"/>
                </w:rPr>
                <m:rPr/>
                <m:t>1</m:t>
              </m:r>
            </m:sub>
          </m:sSub>
          <m:d>
            <m:dPr>
              <m:begChr m:val="("/>
              <m:endChr m:val=")"/>
              <m:sepChr m:val=""/>
              <m:ctrlPr>
                <w:rPr>
                  <w:rFonts w:hint="default" w:ascii="Cambria Math" w:hAnsi="Cambria Math" w:eastAsia="Cambria Math" w:cs="Cambria Math"/>
                  <w:sz w:val="24"/>
                </w:rPr>
              </m:ctrlPr>
            </m:dPr>
            <m:e>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f>
                <m:fPr>
                  <m:ctrlPr>
                    <w:rPr>
                      <w:rFonts w:hint="default" w:ascii="Cambria Math" w:hAnsi="Cambria Math" w:eastAsia="Cambria Math" w:cs="Cambria Math"/>
                      <w:sz w:val="24"/>
                    </w:rPr>
                  </m:ctrlPr>
                </m:fPr>
                <m:num>
                  <m:r>
                    <w:rPr>
                      <w:rFonts w:hint="default" w:ascii="Cambria Math" w:hAnsi="Cambria Math" w:eastAsia="Cambria Math" w:cs="Cambria Math"/>
                      <w:sz w:val="24"/>
                      <w:szCs w:val="24"/>
                    </w:rPr>
                    <m:rPr/>
                    <m:t>T</m:t>
                  </m:r>
                </m:num>
                <m:den>
                  <m:r>
                    <w:rPr>
                      <w:rFonts w:hint="default" w:ascii="Cambria Math" w:hAnsi="Cambria Math" w:eastAsia="Cambria Math" w:cs="Cambria Math"/>
                      <w:sz w:val="24"/>
                      <w:szCs w:val="24"/>
                    </w:rPr>
                    <m:rPr/>
                    <m:t>2</m:t>
                  </m:r>
                </m:den>
              </m:f>
            </m:e>
          </m:d>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ϕ</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u</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2</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27"/>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empleo como contraste robusto para validar la estacionariedad de las series.</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Adicionalmente, dado que los choques de política económica y las crisis estructurales en Ecuador (como la dolarización o reformas legales) pueden sesgar las pruebas tradicionales hacia la no-estacionariedad, estimo la prueba 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Zivot-Andrews (ZA)</w:t>
      </w:r>
      <w:r>
        <w:rPr>
          <w:rFonts w:ascii="Times New Roman" w:hAnsi="Times New Roman" w:eastAsia="Times New Roman" w:cs="Times New Roman"/>
          <w:sz w:val="24"/>
          <w:szCs w:val="24"/>
        </w:rPr>
        <w:t xml:space="preserve">, formulada por</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Eric Zivot y Donald Andrews (1992)</w:t>
      </w:r>
      <w:r>
        <w:rPr>
          <w:rFonts w:ascii="Times New Roman" w:hAnsi="Times New Roman" w:eastAsia="Times New Roman" w:cs="Times New Roman"/>
          <w:sz w:val="24"/>
          <w:szCs w:val="24"/>
        </w:rPr>
        <w:t xml:space="preserve">. Esta prueba mide la existencia de raíz unitaria permitiendo la presencia de un quiebre estructural endógeno en la constante, en la tendencia o en ambos. Estimo la regresión auxiliar:</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8" w:name="eq-za"/>
      <w:r>
        <w:rPr>
          <w:rFonts w:ascii="Times New Roman" w:hAnsi="Times New Roman" w:eastAsia="Times New Roman" w:cs="Times New Roman"/>
          <w:sz w:val="24"/>
          <w:szCs w:val="24"/>
        </w:rPr>
      </w:r>
      <m:oMathPara>
        <m:oMathParaPr>
          <m:jc m:val="center"/>
        </m:oMathParaP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μ</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β</m:t>
          </m:r>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θ</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D</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λ</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γ</m:t>
          </m:r>
          <m:r>
            <w:rPr>
              <w:rFonts w:hint="default" w:ascii="Cambria Math" w:hAnsi="Cambria Math" w:eastAsia="Cambria Math" w:cs="Cambria Math"/>
              <w:sz w:val="24"/>
              <w:szCs w:val="24"/>
            </w:rPr>
            <m:rPr/>
            <m:t>D</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T</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λ</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α</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j</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k</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c</m:t>
                  </m:r>
                </m:e>
                <m:sub>
                  <m:r>
                    <w:rPr>
                      <w:rFonts w:hint="default" w:ascii="Cambria Math" w:hAnsi="Cambria Math" w:eastAsia="Cambria Math" w:cs="Cambria Math"/>
                      <w:sz w:val="24"/>
                      <w:szCs w:val="24"/>
                    </w:rPr>
                    <m:rPr/>
                    <m:t>j</m:t>
                  </m:r>
                </m:sub>
              </m:sSub>
            </m:e>
          </m:nary>
          <m:r>
            <w:rPr>
              <w:rFonts w:hint="default" w:ascii="Cambria Math" w:hAnsi="Cambria Math" w:eastAsia="Cambria Math" w:cs="Cambria Math"/>
              <w:sz w:val="24"/>
              <w:szCs w:val="24"/>
            </w:rPr>
            <m:rPr>
              <m:sty m:val="p"/>
            </m:rPr>
            <m:t>Δ</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j</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e</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3</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28"/>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Donde</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D</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λ</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D</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T</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λ</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son variables dummy que capturan quiebres en intercepto y tendencia respectivamente para una fracción del punto de quiebre</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λ</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T</m:t>
            </m:r>
          </m:e>
          <m:sub>
            <m:r>
              <w:rPr>
                <w:rFonts w:hint="default" w:ascii="Cambria Math" w:hAnsi="Cambria Math" w:eastAsia="Cambria Math" w:cs="Cambria Math"/>
                <w:sz w:val="24"/>
                <w:szCs w:val="24"/>
              </w:rPr>
              <m:rPr/>
              <m:t>B</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T</m:t>
        </m:r>
      </m:oMath>
      <w:r>
        <w:rPr>
          <w:rFonts w:ascii="Times New Roman" w:hAnsi="Times New Roman" w:eastAsia="Times New Roman" w:cs="Times New Roman"/>
          <w:sz w:val="24"/>
          <w:szCs w:val="24"/>
        </w:rPr>
        <w:t xml:space="preserve">. La utilizo para evitar falsos diagnósticos de no-estacionariedad causados por cambios de régimen en la economía.</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Para evaluar el equilibrio de largo plazo en sistemas integrados de orden mixto, implemento la prueba de cointegración por límites (</w:t>
      </w:r>
      <w:r>
        <w:rPr>
          <w:rFonts w:ascii="Times New Roman" w:hAnsi="Times New Roman" w:eastAsia="Times New Roman" w:cs="Times New Roman"/>
          <w:b/>
          <w:bCs/>
          <w:sz w:val="24"/>
          <w:szCs w:val="24"/>
        </w:rPr>
        <w:t xml:space="preserve">Bounds Test</w:t>
      </w:r>
      <w:r>
        <w:rPr>
          <w:rFonts w:ascii="Times New Roman" w:hAnsi="Times New Roman" w:eastAsia="Times New Roman" w:cs="Times New Roman"/>
          <w:sz w:val="24"/>
          <w:szCs w:val="24"/>
        </w:rPr>
        <w:t xml:space="preserve">), formulada por</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M. Hashem Pesaran, Yongcheol Shin y Richard J. Smith (2001)</w:t>
      </w:r>
      <w:r>
        <w:rPr>
          <w:rFonts w:ascii="Times New Roman" w:hAnsi="Times New Roman" w:eastAsia="Times New Roman" w:cs="Times New Roman"/>
          <w:sz w:val="24"/>
          <w:szCs w:val="24"/>
        </w:rPr>
        <w:t xml:space="preserve">. Esta metodología mide la existencia de una relación lineal de largo plazo entre un conjunto de variables sin importar si son integradas de orden</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o de forma mixta. Su uso me permite superar la rigidez de las pruebas de cointegración clásicas que exigen homogeneidad en el orden de integración. La ecuación condicional general de corrección de error uniecuacional (ARDL-ECM) la formulo como:</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29" w:name="eq-bounds"/>
      <w:r>
        <w:rPr>
          <w:rFonts w:ascii="Times New Roman" w:hAnsi="Times New Roman" w:eastAsia="Times New Roman" w:cs="Times New Roman"/>
          <w:sz w:val="24"/>
          <w:szCs w:val="24"/>
        </w:rPr>
      </w:r>
      <m:oMathPara>
        <m:oMathParaPr>
          <m:jc m:val="center"/>
        </m:oMathParaPr>
        <m:oMath>
          <m:r>
            <w:rPr>
              <w:rFonts w:hint="default" w:ascii="Cambria Math" w:hAnsi="Cambria Math" w:eastAsia="Cambria Math" w:cs="Cambria Math"/>
              <w:sz w:val="24"/>
              <w:szCs w:val="24"/>
            </w:rPr>
            <m:rPr>
              <m:sty m:val="p"/>
            </m:rPr>
            <m:t>Δ</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c</m:t>
              </m:r>
            </m:e>
            <m:sub>
              <m:r>
                <w:rPr>
                  <w:rFonts w:hint="default" w:ascii="Cambria Math" w:hAnsi="Cambria Math" w:eastAsia="Cambria Math" w:cs="Cambria Math"/>
                  <w:sz w:val="24"/>
                  <w:szCs w:val="24"/>
                </w:rPr>
                <m:rPr/>
                <m:t>0</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c</m:t>
              </m:r>
            </m:e>
            <m:sub>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α</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K</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β</m:t>
                  </m:r>
                </m:e>
                <m:sub>
                  <m:r>
                    <w:rPr>
                      <w:rFonts w:hint="default" w:ascii="Cambria Math" w:hAnsi="Cambria Math" w:eastAsia="Cambria Math" w:cs="Cambria Math"/>
                      <w:sz w:val="24"/>
                      <w:szCs w:val="24"/>
                    </w:rPr>
                    <m:rPr/>
                    <m:t>i</m:t>
                  </m:r>
                </m:sub>
              </m:sSub>
            </m:e>
          </m:nary>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j</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p</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ψ</m:t>
                  </m:r>
                </m:e>
                <m:sub>
                  <m:r>
                    <w:rPr>
                      <w:rFonts w:hint="default" w:ascii="Cambria Math" w:hAnsi="Cambria Math" w:eastAsia="Cambria Math" w:cs="Cambria Math"/>
                      <w:sz w:val="24"/>
                      <w:szCs w:val="24"/>
                    </w:rPr>
                    <m:rPr/>
                    <m:t>j</m:t>
                  </m:r>
                </m:sub>
              </m:sSub>
            </m:e>
          </m:nary>
          <m:r>
            <w:rPr>
              <w:rFonts w:hint="default" w:ascii="Cambria Math" w:hAnsi="Cambria Math" w:eastAsia="Cambria Math" w:cs="Cambria Math"/>
              <w:sz w:val="24"/>
              <w:szCs w:val="24"/>
            </w:rPr>
            <m:rPr>
              <m:sty m:val="p"/>
            </m:rPr>
            <m:t>Δ</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j</m:t>
              </m:r>
            </m:sub>
          </m:sSub>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K</m:t>
              </m:r>
            </m:sup>
            <m:e>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j</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m:t>
                  </m:r>
                </m:sub>
                <m:sup>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q</m:t>
                      </m:r>
                    </m:e>
                    <m:sub>
                      <m:r>
                        <w:rPr>
                          <w:rFonts w:hint="default" w:ascii="Cambria Math" w:hAnsi="Cambria Math" w:eastAsia="Cambria Math" w:cs="Cambria Math"/>
                          <w:sz w:val="24"/>
                          <w:szCs w:val="24"/>
                        </w:rPr>
                        <m:rPr/>
                        <m:t>i</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γ</m:t>
                      </m:r>
                    </m:e>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j</m:t>
                      </m:r>
                    </m:sub>
                  </m:sSub>
                </m:e>
              </m:nary>
            </m:e>
          </m:nary>
          <m:r>
            <w:rPr>
              <w:rFonts w:hint="default" w:ascii="Cambria Math" w:hAnsi="Cambria Math" w:eastAsia="Cambria Math" w:cs="Cambria Math"/>
              <w:sz w:val="24"/>
              <w:szCs w:val="24"/>
            </w:rPr>
            <m:rPr>
              <m:sty m:val="p"/>
            </m:rPr>
            <m:t>Δ</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j</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ϵ</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4</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29"/>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Donde</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representa la variable dependiente genérica,</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t</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denota el vector de regresores explicativos,</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α</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β</m:t>
            </m:r>
          </m:e>
          <m:sub>
            <m:r>
              <w:rPr>
                <w:rFonts w:hint="default" w:ascii="Cambria Math" w:hAnsi="Cambria Math" w:eastAsia="Cambria Math" w:cs="Cambria Math"/>
                <w:sz w:val="24"/>
                <w:szCs w:val="24"/>
              </w:rPr>
              <m:rPr/>
              <m:t>i</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capturan la dinámica de largo plazo, y</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ψ</m:t>
            </m:r>
          </m:e>
          <m:sub>
            <m:r>
              <w:rPr>
                <w:rFonts w:hint="default" w:ascii="Cambria Math" w:hAnsi="Cambria Math" w:eastAsia="Cambria Math" w:cs="Cambria Math"/>
                <w:sz w:val="24"/>
                <w:szCs w:val="24"/>
              </w:rPr>
              <m:rPr/>
              <m:t>j</m:t>
            </m:r>
          </m:sub>
        </m:sSub>
      </m:oMath>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γ</m:t>
            </m:r>
          </m:e>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j</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modelan las respuestas dinámicas de corto plazo. El contraste Wald-F conjunto evalúa la hipótesis nula de inexistencia de relación de largo plazo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H</m:t>
            </m:r>
          </m:e>
          <m:sub>
            <m:r>
              <w:rPr>
                <w:rFonts w:hint="default" w:ascii="Cambria Math" w:hAnsi="Cambria Math" w:eastAsia="Cambria Math" w:cs="Cambria Math"/>
                <w:sz w:val="24"/>
                <w:szCs w:val="24"/>
              </w:rPr>
              <m:rPr/>
              <m:t>0</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α</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β</m:t>
            </m:r>
          </m:e>
          <m:sub>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β</m:t>
            </m:r>
          </m:e>
          <m:sub>
            <m:r>
              <w:rPr>
                <w:rFonts w:hint="default" w:ascii="Cambria Math" w:hAnsi="Cambria Math" w:eastAsia="Cambria Math" w:cs="Cambria Math"/>
                <w:sz w:val="24"/>
                <w:szCs w:val="24"/>
              </w:rPr>
              <m:rPr/>
              <m:t>K</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m:t>
        </m:r>
      </m:oMath>
      <w:r>
        <w:rPr>
          <w:rFonts w:ascii="Times New Roman" w:hAnsi="Times New Roman" w:eastAsia="Times New Roman" w:cs="Times New Roman"/>
          <w:sz w:val="24"/>
          <w:szCs w:val="24"/>
        </w:rPr>
        <w:t xml:space="preserve">) comparando el estadístico F calculado con las cotas críticas inferiores</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 superiores</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Ante la cointegración, derivo la velocidad de ajuste y el término de error rezagado (</w:t>
      </w:r>
      <m:oMath>
        <m:r>
          <w:rPr>
            <w:rFonts w:hint="default" w:ascii="Cambria Math" w:hAnsi="Cambria Math" w:eastAsia="Cambria Math" w:cs="Cambria Math"/>
            <w:sz w:val="24"/>
            <w:szCs w:val="24"/>
          </w:rPr>
          <m:rPr/>
          <m:t>E</m:t>
        </m:r>
        <m:r>
          <w:rPr>
            <w:rFonts w:hint="default" w:ascii="Cambria Math" w:hAnsi="Cambria Math" w:eastAsia="Cambria Math" w:cs="Cambria Math"/>
            <w:sz w:val="24"/>
            <w:szCs w:val="24"/>
          </w:rPr>
          <m:rPr/>
          <m:t>C</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T</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Sub>
      </m:oMath>
      <w:r>
        <w:rPr>
          <w:rFonts w:ascii="Times New Roman" w:hAnsi="Times New Roman" w:eastAsia="Times New Roman" w:cs="Times New Roman"/>
          <w:sz w:val="24"/>
          <w:szCs w:val="24"/>
        </w:rPr>
        <w:t xml:space="preserve">) que mide el retorno al equilibrio dinámico.</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Adicionalmente, para modelar cambios de régimen de largo plazo ante posibles quiebres estructurales en la relación previsional, aplico pruebas de cointegración con quiebre estructural 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Gregory y Hansen (1996)</w:t>
      </w:r>
      <w:r>
        <w:rPr>
          <w:rFonts w:ascii="Times New Roman" w:hAnsi="Times New Roman" w:eastAsia="Times New Roman" w:cs="Times New Roman"/>
          <w:sz w:val="24"/>
          <w:szCs w:val="24"/>
        </w:rPr>
        <w:t xml:space="preserve">, estimando la especificación:</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0" w:name="eq-gh"/>
      <w:r>
        <w:rPr>
          <w:rFonts w:ascii="Times New Roman" w:hAnsi="Times New Roman" w:eastAsia="Times New Roman" w:cs="Times New Roman"/>
          <w:sz w:val="24"/>
          <w:szCs w:val="24"/>
        </w:rPr>
      </w:r>
      <m:oMathPara>
        <m:oMathParaPr>
          <m:jc m:val="center"/>
        </m:oMathParaP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1</m:t>
              </m:r>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μ</m:t>
              </m:r>
            </m:e>
            <m:sub>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μ</m:t>
              </m:r>
            </m:e>
            <m:sub>
              <m:r>
                <w:rPr>
                  <w:rFonts w:hint="default" w:ascii="Cambria Math" w:hAnsi="Cambria Math" w:eastAsia="Cambria Math" w:cs="Cambria Math"/>
                  <w:sz w:val="24"/>
                  <w:szCs w:val="24"/>
                </w:rPr>
                <m:rPr/>
                <m:t>2</m:t>
              </m:r>
            </m:sub>
          </m:sSub>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φ</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t>τ</m:t>
              </m:r>
            </m:sub>
          </m:sSub>
          <m:r>
            <w:rPr>
              <w:rFonts w:hint="default" w:ascii="Cambria Math" w:hAnsi="Cambria Math" w:eastAsia="Cambria Math" w:cs="Cambria Math"/>
              <w:sz w:val="24"/>
              <w:szCs w:val="24"/>
            </w:rPr>
            <m:rPr>
              <m:sty m:val="p"/>
            </m:rPr>
            <m:t>+</m:t>
          </m:r>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α</m:t>
              </m:r>
            </m:e>
            <m:sup>
              <m:r>
                <w:rPr>
                  <w:rFonts w:hint="default" w:ascii="Cambria Math" w:hAnsi="Cambria Math" w:eastAsia="Cambria Math" w:cs="Cambria Math"/>
                  <w:sz w:val="24"/>
                  <w:szCs w:val="24"/>
                </w:rPr>
                <m:rPr>
                  <m:sty m:val="p"/>
                </m:rPr>
                <m:t>⊤</m:t>
              </m:r>
            </m:sup>
          </m:sSup>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2</m:t>
              </m:r>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e</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5</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30"/>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Donde</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φ</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t>τ</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 una variable dicotómica de quiebre de régimen. Para lidiar con no linealidades en el sistema, aplico la validación no paramétrica robusta</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Kernel-based Regularized Least Squares (KRLS)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Jens Hainmueller y Chad Hazlett (2014)</w:t>
      </w:r>
      <w:r>
        <w:rPr>
          <w:rFonts w:ascii="Times New Roman" w:hAnsi="Times New Roman" w:eastAsia="Times New Roman" w:cs="Times New Roman"/>
          <w:sz w:val="24"/>
          <w:szCs w:val="24"/>
        </w:rPr>
        <w:t xml:space="preserve">, modelando la función predictiva mediante:</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1" w:name="eq-krls"/>
      <w:r>
        <w:rPr>
          <w:rFonts w:ascii="Times New Roman" w:hAnsi="Times New Roman" w:eastAsia="Times New Roman" w:cs="Times New Roman"/>
          <w:sz w:val="24"/>
          <w:szCs w:val="24"/>
        </w:rPr>
      </w:r>
      <m:oMathPara>
        <m:oMathParaPr>
          <m:jc m:val="center"/>
        </m:oMathParaPr>
        <m:oMath>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x</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N</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c</m:t>
                  </m:r>
                </m:e>
                <m:sub>
                  <m:r>
                    <w:rPr>
                      <w:rFonts w:hint="default" w:ascii="Cambria Math" w:hAnsi="Cambria Math" w:eastAsia="Cambria Math" w:cs="Cambria Math"/>
                      <w:sz w:val="24"/>
                      <w:szCs w:val="24"/>
                    </w:rPr>
                    <m:rPr/>
                    <m:t>i</m:t>
                  </m:r>
                </m:sub>
              </m:sSub>
            </m:e>
          </m:nary>
          <m:r>
            <w:rPr>
              <w:rFonts w:hint="default" w:ascii="Cambria Math" w:hAnsi="Cambria Math" w:eastAsia="Cambria Math" w:cs="Cambria Math"/>
              <w:sz w:val="24"/>
              <w:szCs w:val="24"/>
            </w:rPr>
            <m:rPr/>
            <m:t>K</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x</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i</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6</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31"/>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Donde</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K</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x</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i</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exp</m:t>
        </m:r>
        <m:d>
          <m:dPr>
            <m:begChr m:val="("/>
            <m:endChr m:val=")"/>
            <m:sepChr m:val=""/>
            <m:ctrlPr>
              <w:rPr>
                <w:rFonts w:hint="default" w:ascii="Cambria Math" w:hAnsi="Cambria Math" w:eastAsia="Cambria Math" w:cs="Cambria Math"/>
                <w:sz w:val="24"/>
              </w:rPr>
            </m:ctrlPr>
          </m:dPr>
          <m:e>
            <m:r>
              <w:rPr>
                <w:rFonts w:hint="default" w:ascii="Cambria Math" w:hAnsi="Cambria Math" w:eastAsia="Cambria Math" w:cs="Cambria Math"/>
                <w:sz w:val="24"/>
                <w:szCs w:val="24"/>
              </w:rPr>
              <m:rPr>
                <m:sty m:val="p"/>
              </m:rPr>
              <m:t>−</m:t>
            </m:r>
            <m:f>
              <m:fPr>
                <m:ctrlPr>
                  <w:rPr>
                    <w:rFonts w:hint="default" w:ascii="Cambria Math" w:hAnsi="Cambria Math" w:eastAsia="Cambria Math" w:cs="Cambria Math"/>
                    <w:sz w:val="24"/>
                  </w:rPr>
                </m:ctrlPr>
              </m:fPr>
              <m:num>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x</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i</m:t>
                    </m:r>
                  </m:sub>
                </m:sSub>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sty m:val="p"/>
                      </m:rPr>
                      <m:t>∥</m:t>
                    </m:r>
                  </m:e>
                  <m:sup>
                    <m:r>
                      <w:rPr>
                        <w:rFonts w:hint="default" w:ascii="Cambria Math" w:hAnsi="Cambria Math" w:eastAsia="Cambria Math" w:cs="Cambria Math"/>
                        <w:sz w:val="24"/>
                        <w:szCs w:val="24"/>
                      </w:rPr>
                      <m:rPr/>
                      <m:t>2</m:t>
                    </m:r>
                  </m:sup>
                </m:sSup>
              </m:num>
              <m:den>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σ</m:t>
                    </m:r>
                  </m:e>
                  <m:sup>
                    <m:r>
                      <w:rPr>
                        <w:rFonts w:hint="default" w:ascii="Cambria Math" w:hAnsi="Cambria Math" w:eastAsia="Cambria Math" w:cs="Cambria Math"/>
                        <w:sz w:val="24"/>
                        <w:szCs w:val="24"/>
                      </w:rPr>
                      <m:rPr/>
                      <m:t>2</m:t>
                    </m:r>
                  </m:sup>
                </m:sSup>
              </m:den>
            </m:f>
          </m:e>
        </m:d>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 un kernel gaussiano que mapea interacciones no lineales de alta dimensión.</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precedencia temporal y la dirección causal entre las variables las examino mediante la prueba 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Causalidad de Granger</w:t>
      </w:r>
      <w:r>
        <w:rPr>
          <w:rFonts w:ascii="Times New Roman" w:hAnsi="Times New Roman" w:eastAsia="Times New Roman" w:cs="Times New Roman"/>
          <w:sz w:val="24"/>
          <w:szCs w:val="24"/>
        </w:rPr>
        <w:t xml:space="preserve">, formulada por</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Clive Granger (1969)</w:t>
      </w:r>
      <w:r>
        <w:rPr>
          <w:rFonts w:ascii="Times New Roman" w:hAnsi="Times New Roman" w:eastAsia="Times New Roman" w:cs="Times New Roman"/>
          <w:sz w:val="24"/>
          <w:szCs w:val="24"/>
        </w:rPr>
        <w:t xml:space="preserve">. Esta prueba evalúa si los valores rezagados de una variable contribuyen a predecir el c</w:t>
      </w:r>
      <w:r>
        <w:rPr>
          <w:rFonts w:ascii="Times New Roman" w:hAnsi="Times New Roman" w:eastAsia="Times New Roman" w:cs="Times New Roman"/>
          <w:sz w:val="24"/>
          <w:szCs w:val="24"/>
        </w:rPr>
        <w:t xml:space="preserve">omportamiento actual de otra, controlando por la historia de esta última. La utilizo para clarificar el flujo de precedencia temporal entre el entorno fiscal/seguridad y la afiliación, estimando la regresión auxiliar bivariada generalizada en un marco VAR:</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2" w:name="eq-granger-var"/>
      <w:r>
        <w:rPr>
          <w:rFonts w:ascii="Times New Roman" w:hAnsi="Times New Roman" w:eastAsia="Times New Roman" w:cs="Times New Roman"/>
          <w:sz w:val="24"/>
          <w:szCs w:val="24"/>
        </w:rPr>
      </w:r>
      <m:oMathPara>
        <m:oMathParaPr>
          <m:jc m:val="center"/>
        </m:oMathParaP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α</m:t>
              </m:r>
            </m:e>
            <m:sub>
              <m:r>
                <w:rPr>
                  <w:rFonts w:hint="default" w:ascii="Cambria Math" w:hAnsi="Cambria Math" w:eastAsia="Cambria Math" w:cs="Cambria Math"/>
                  <w:sz w:val="24"/>
                  <w:szCs w:val="24"/>
                </w:rPr>
                <m:rPr/>
                <m:t>0</m:t>
              </m:r>
            </m:sub>
          </m:sSub>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i</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p</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β</m:t>
                  </m:r>
                </m:e>
                <m:sub>
                  <m:r>
                    <w:rPr>
                      <w:rFonts w:hint="default" w:ascii="Cambria Math" w:hAnsi="Cambria Math" w:eastAsia="Cambria Math" w:cs="Cambria Math"/>
                      <w:sz w:val="24"/>
                      <w:szCs w:val="24"/>
                    </w:rPr>
                    <m:rPr/>
                    <m:t>i</m:t>
                  </m:r>
                </m:sub>
              </m:sSub>
            </m:e>
          </m:nary>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i</m:t>
              </m:r>
            </m:sub>
          </m:sSub>
          <m:r>
            <w:rPr>
              <w:rFonts w:hint="default" w:ascii="Cambria Math" w:hAnsi="Cambria Math" w:eastAsia="Cambria Math" w:cs="Cambria Math"/>
              <w:sz w:val="24"/>
              <w:szCs w:val="24"/>
            </w:rPr>
            <m:rPr>
              <m:sty m:val="p"/>
            </m:rPr>
            <m:t>+</m:t>
          </m:r>
          <m:nary>
            <m:naryPr>
              <m:chr m:val="∑"/>
              <m:grow m:val="off"/>
              <m:limLoc m:val="undOvr"/>
              <m:ctrlPr>
                <w:rPr>
                  <w:rFonts w:hint="default" w:ascii="Cambria Math" w:hAnsi="Cambria Math" w:eastAsia="Cambria Math" w:cs="Cambria Math"/>
                  <w:sz w:val="24"/>
                </w:rPr>
              </m:ctrlPr>
            </m:naryPr>
            <m:sub>
              <m:r>
                <w:rPr>
                  <w:rFonts w:hint="default" w:ascii="Cambria Math" w:hAnsi="Cambria Math" w:eastAsia="Cambria Math" w:cs="Cambria Math"/>
                  <w:sz w:val="24"/>
                  <w:szCs w:val="24"/>
                </w:rPr>
                <m:rPr/>
                <m:t>j</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sub>
            <m:sup>
              <m:r>
                <w:rPr>
                  <w:rFonts w:hint="default" w:ascii="Cambria Math" w:hAnsi="Cambria Math" w:eastAsia="Cambria Math" w:cs="Cambria Math"/>
                  <w:sz w:val="24"/>
                  <w:szCs w:val="24"/>
                </w:rPr>
                <m:rPr/>
                <m:t>p</m:t>
              </m:r>
            </m:sup>
            <m:e>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γ</m:t>
                  </m:r>
                </m:e>
                <m:sub>
                  <m:r>
                    <w:rPr>
                      <w:rFonts w:hint="default" w:ascii="Cambria Math" w:hAnsi="Cambria Math" w:eastAsia="Cambria Math" w:cs="Cambria Math"/>
                      <w:sz w:val="24"/>
                      <w:szCs w:val="24"/>
                    </w:rPr>
                    <m:rPr/>
                    <m:t>j</m:t>
                  </m:r>
                </m:sub>
              </m:sSub>
            </m:e>
          </m:nary>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j</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ε</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7</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32"/>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Donde la hipótesis nula establece la ausencia de causalidad de Granger de</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x</m:t>
            </m:r>
          </m:e>
          <m:sub>
            <m:r>
              <w:rPr>
                <w:rFonts w:hint="default" w:ascii="Cambria Math" w:hAnsi="Cambria Math" w:eastAsia="Cambria Math" w:cs="Cambria Math"/>
                <w:sz w:val="24"/>
                <w:szCs w:val="24"/>
              </w:rPr>
              <m:rPr/>
              <m:t>t</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hacia</w:t>
      </w:r>
      <w:r>
        <w:rPr>
          <w:rFonts w:ascii="Times New Roman" w:hAnsi="Times New Roman" w:eastAsia="Times New Roman" w:cs="Times New Roman"/>
          <w:sz w:val="24"/>
          <w:szCs w:val="24"/>
        </w:rPr>
        <w:t xml:space="preserve"> </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y</m:t>
            </m:r>
          </m:e>
          <m:sub>
            <m:r>
              <w:rPr>
                <w:rFonts w:hint="default" w:ascii="Cambria Math" w:hAnsi="Cambria Math" w:eastAsia="Cambria Math" w:cs="Cambria Math"/>
                <w:sz w:val="24"/>
                <w:szCs w:val="24"/>
              </w:rPr>
              <m:rPr/>
              <m:t>t</m:t>
            </m:r>
          </m:sub>
        </m:sSub>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w:t>
      </w: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H</m:t>
            </m:r>
          </m:e>
          <m:sub>
            <m:r>
              <w:rPr>
                <w:rFonts w:hint="default" w:ascii="Cambria Math" w:hAnsi="Cambria Math" w:eastAsia="Cambria Math" w:cs="Cambria Math"/>
                <w:sz w:val="24"/>
                <w:szCs w:val="24"/>
              </w:rPr>
              <m:rPr/>
              <m:t>0</m:t>
            </m:r>
          </m:sub>
        </m:sSub>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γ</m:t>
            </m:r>
          </m:e>
          <m:sub>
            <m:r>
              <w:rPr>
                <w:rFonts w:hint="default" w:ascii="Cambria Math" w:hAnsi="Cambria Math" w:eastAsia="Cambria Math" w:cs="Cambria Math"/>
                <w:sz w:val="24"/>
                <w:szCs w:val="24"/>
              </w:rPr>
              <m:rPr/>
              <m:t>1</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γ</m:t>
            </m:r>
          </m:e>
          <m:sub>
            <m:r>
              <w:rPr>
                <w:rFonts w:hint="default" w:ascii="Cambria Math" w:hAnsi="Cambria Math" w:eastAsia="Cambria Math" w:cs="Cambria Math"/>
                <w:sz w:val="24"/>
                <w:szCs w:val="24"/>
              </w:rPr>
              <m:rPr/>
              <m:t>p</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m:t>
        </m:r>
      </m:oMath>
      <w:r>
        <w:rPr>
          <w:rFonts w:ascii="Times New Roman" w:hAnsi="Times New Roman" w:eastAsia="Times New Roman" w:cs="Times New Roman"/>
          <w:sz w:val="24"/>
          <w:szCs w:val="24"/>
        </w:rPr>
        <w:t xml:space="preserve">). En caso de cointegración, extiendo el análisis al marco de la causalidad espectral 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Jörg Breitung y Jörg Candelon (2006)</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en el dominio de la frecuencia para evaluar las relaciones dinámicas en horizontes de corto y largo plazo, estimando la medida causal:</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3" w:name="eq-bc"/>
      <w:r>
        <w:rPr>
          <w:rFonts w:ascii="Times New Roman" w:hAnsi="Times New Roman" w:eastAsia="Times New Roman" w:cs="Times New Roman"/>
          <w:sz w:val="24"/>
          <w:szCs w:val="24"/>
        </w:rPr>
      </w:r>
      <m:oMathPara>
        <m:oMathParaPr>
          <m:jc m:val="center"/>
        </m:oMathParaPr>
        <m:oMath>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M</m:t>
              </m:r>
            </m:e>
            <m:sub>
              <m:r>
                <w:rPr>
                  <w:rFonts w:hint="default" w:ascii="Cambria Math" w:hAnsi="Cambria Math" w:eastAsia="Cambria Math" w:cs="Cambria Math"/>
                  <w:sz w:val="24"/>
                  <w:szCs w:val="24"/>
                </w:rPr>
                <m:rPr/>
                <m:t>y</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x</m:t>
              </m:r>
            </m:sub>
          </m:sSub>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ω</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log</m:t>
          </m:r>
          <m:d>
            <m:dPr>
              <m:begChr m:val="["/>
              <m:endChr m:val="]"/>
              <m:sepChr m:val=""/>
              <m:ctrlPr>
                <w:rPr>
                  <w:rFonts w:hint="default" w:ascii="Cambria Math" w:hAnsi="Cambria Math" w:eastAsia="Cambria Math" w:cs="Cambria Math"/>
                  <w:sz w:val="24"/>
                </w:rPr>
              </m:ctrlPr>
            </m:dPr>
            <m:e>
              <m:r>
                <w:rPr>
                  <w:rFonts w:hint="default" w:ascii="Cambria Math" w:hAnsi="Cambria Math" w:eastAsia="Cambria Math" w:cs="Cambria Math"/>
                  <w:sz w:val="24"/>
                  <w:szCs w:val="24"/>
                </w:rPr>
                <m:rPr/>
                <m:t>1</m:t>
              </m:r>
              <m:r>
                <w:rPr>
                  <w:rFonts w:hint="default" w:ascii="Cambria Math" w:hAnsi="Cambria Math" w:eastAsia="Cambria Math" w:cs="Cambria Math"/>
                  <w:sz w:val="24"/>
                  <w:szCs w:val="24"/>
                </w:rPr>
                <m:rPr>
                  <m:sty m:val="p"/>
                </m:rPr>
                <m:t>+</m:t>
              </m:r>
              <m:f>
                <m:fPr>
                  <m:ctrlPr>
                    <w:rPr>
                      <w:rFonts w:hint="default" w:ascii="Cambria Math" w:hAnsi="Cambria Math" w:eastAsia="Cambria Math" w:cs="Cambria Math"/>
                      <w:sz w:val="24"/>
                    </w:rPr>
                  </m:ctrlPr>
                </m:fPr>
                <m:num>
                  <m:r>
                    <w:rPr>
                      <w:rFonts w:ascii="Times New Roman" w:hAnsi="Times New Roman" w:eastAsia="Times New Roman" w:cs="Times New Roman"/>
                      <w:sz w:val="24"/>
                      <w:szCs w:val="24"/>
                    </w:rPr>
                    <m:rPr>
                      <m:nor m:val="on"/>
                      <m:sty m:val="p"/>
                    </m:rPr>
                    <m:t>var</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η</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num>
                <m:den>
                  <m:r>
                    <w:rPr>
                      <w:rFonts w:ascii="Times New Roman" w:hAnsi="Times New Roman" w:eastAsia="Times New Roman" w:cs="Times New Roman"/>
                      <w:sz w:val="24"/>
                      <w:szCs w:val="24"/>
                    </w:rPr>
                    <m:rPr>
                      <m:nor m:val="on"/>
                      <m:sty m:val="p"/>
                    </m:rPr>
                    <m:t>var</m:t>
                  </m:r>
                  <m:r>
                    <w:rPr>
                      <w:rFonts w:hint="default" w:ascii="Cambria Math" w:hAnsi="Cambria Math" w:eastAsia="Cambria Math" w:cs="Cambria Math"/>
                      <w:sz w:val="24"/>
                      <w:szCs w:val="24"/>
                    </w:rPr>
                    <m:rPr>
                      <m:sty m:val="p"/>
                    </m:rPr>
                    <m:t>(</m:t>
                  </m:r>
                  <m:sSub>
                    <m:sSubPr>
                      <m:ctrlPr>
                        <w:rPr>
                          <w:rFonts w:hint="default" w:ascii="Cambria Math" w:hAnsi="Cambria Math" w:eastAsia="Cambria Math" w:cs="Cambria Math"/>
                          <w:sz w:val="24"/>
                        </w:rPr>
                      </m:ctrlPr>
                    </m:sSubPr>
                    <m:e>
                      <m:r>
                        <w:rPr>
                          <w:rFonts w:hint="default" w:ascii="Cambria Math" w:hAnsi="Cambria Math" w:eastAsia="Cambria Math" w:cs="Cambria Math"/>
                          <w:sz w:val="24"/>
                          <w:szCs w:val="24"/>
                        </w:rPr>
                        <m:rPr/>
                        <m:t>ϵ</m:t>
                      </m:r>
                    </m:e>
                    <m:sub>
                      <m:r>
                        <w:rPr>
                          <w:rFonts w:hint="default" w:ascii="Cambria Math" w:hAnsi="Cambria Math" w:eastAsia="Cambria Math" w:cs="Cambria Math"/>
                          <w:sz w:val="24"/>
                          <w:szCs w:val="24"/>
                        </w:rPr>
                        <m:rPr/>
                        <m:t>t</m:t>
                      </m:r>
                    </m:sub>
                  </m:sSub>
                  <m:r>
                    <w:rPr>
                      <w:rFonts w:hint="default" w:ascii="Cambria Math" w:hAnsi="Cambria Math" w:eastAsia="Cambria Math" w:cs="Cambria Math"/>
                      <w:sz w:val="24"/>
                      <w:szCs w:val="24"/>
                    </w:rPr>
                    <m:rPr>
                      <m:sty m:val="p"/>
                    </m:rPr>
                    <m:t>)</m:t>
                  </m:r>
                </m:den>
              </m:f>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G</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ω</m:t>
              </m:r>
              <m:r>
                <w:rPr>
                  <w:rFonts w:hint="default" w:ascii="Cambria Math" w:hAnsi="Cambria Math" w:eastAsia="Cambria Math" w:cs="Cambria Math"/>
                  <w:sz w:val="24"/>
                  <w:szCs w:val="24"/>
                </w:rPr>
                <m:rPr>
                  <m:sty m:val="p"/>
                </m:rPr>
                <m:t>)</m:t>
              </m:r>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sty m:val="p"/>
                    </m:rPr>
                    <m:t>|</m:t>
                  </m:r>
                </m:e>
                <m:sup>
                  <m:r>
                    <w:rPr>
                      <w:rFonts w:hint="default" w:ascii="Cambria Math" w:hAnsi="Cambria Math" w:eastAsia="Cambria Math" w:cs="Cambria Math"/>
                      <w:sz w:val="24"/>
                      <w:szCs w:val="24"/>
                    </w:rPr>
                    <m:rPr/>
                    <m:t>2</m:t>
                  </m:r>
                </m:sup>
              </m:sSup>
            </m:e>
          </m:d>
          <m:r>
            <w:rPr>
              <w:rFonts w:hint="default" w:ascii="Cambria Math" w:hAnsi="Cambria Math" w:eastAsia="Cambria Math" w:cs="Cambria Math"/>
              <w:sz w:val="24"/>
              <w:szCs w:val="24"/>
            </w:rPr>
            <m:rPr/>
            <m:t>  </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8</m:t>
          </m:r>
          <m:r>
            <w:rPr>
              <w:rFonts w:hint="default" w:ascii="Cambria Math" w:hAnsi="Cambria Math" w:eastAsia="Cambria Math" w:cs="Cambria Math"/>
              <w:sz w:val="24"/>
              <w:szCs w:val="24"/>
            </w:rPr>
            <m:rPr>
              <m:sty m:val="p"/>
            </m:rPr>
            <m:t>)</m:t>
          </m:r>
        </m:oMath>
      </m:oMathPara>
      <w:r>
        <w:rPr>
          <w:rFonts w:ascii="Times New Roman" w:hAnsi="Times New Roman" w:eastAsia="Times New Roman" w:cs="Times New Roman"/>
          <w:sz w:val="24"/>
          <w:szCs w:val="24"/>
        </w:rPr>
      </w:r>
      <w:bookmarkEnd w:id="33"/>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Donde</w:t>
      </w:r>
      <w:r>
        <w:rPr>
          <w:rFonts w:ascii="Times New Roman" w:hAnsi="Times New Roman" w:eastAsia="Times New Roman" w:cs="Times New Roman"/>
          <w:sz w:val="24"/>
          <w:szCs w:val="24"/>
        </w:rPr>
        <w:t xml:space="preserve"> </w:t>
      </w:r>
      <m:oMath>
        <m:r>
          <w:rPr>
            <w:rFonts w:hint="default" w:ascii="Cambria Math" w:hAnsi="Cambria Math" w:eastAsia="Cambria Math" w:cs="Cambria Math"/>
            <w:sz w:val="24"/>
            <w:szCs w:val="24"/>
          </w:rPr>
          <m:rPr/>
          <m:t>ω</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π</m:t>
        </m:r>
        <m:r>
          <w:rPr>
            <w:rFonts w:hint="default" w:ascii="Cambria Math" w:hAnsi="Cambria Math" w:eastAsia="Cambria Math" w:cs="Cambria Math"/>
            <w:sz w:val="24"/>
            <w:szCs w:val="24"/>
          </w:rPr>
          <m:rPr>
            <m:sty m:val="p"/>
          </m:rPr>
          <m:t>)</m:t>
        </m:r>
      </m:oMath>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representa la frecuencia correspondiente a la periodicidad del ciclo bajo análisis.</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El soporte computacional y la estimación se sustentan en desarrollos científicos consolidados. </w:t>
      </w:r>
      <w:r>
        <w:rPr>
          <w:rFonts w:ascii="Times New Roman" w:hAnsi="Times New Roman" w:eastAsia="Times New Roman" w:cs="Times New Roman"/>
          <w:sz w:val="24"/>
          <w:szCs w:val="24"/>
        </w:rPr>
        <w:t xml:space="preserve">Para la prueba KPSS adopto el algoritmo de Baum (1998); estimo el modelo ARDL mediante la especificación de Kripfganz y Schneider (2023); para las pruebas de raíz unitaria tradicionales sigo las directrices de StataCorp (2023) mediante sus módulos estándar</w:t>
      </w:r>
      <w:r>
        <w:rPr>
          <w:rFonts w:ascii="Times New Roman" w:hAnsi="Times New Roman" w:eastAsia="Times New Roman" w:cs="Times New Roman"/>
          <w:sz w:val="24"/>
          <w:szCs w:val="24"/>
        </w:rPr>
        <w:t xml:space="preserve"> </w:t>
      </w:r>
      <w:r>
        <w:rPr>
          <w:rStyle w:val="731"/>
          <w:rFonts w:ascii="Times New Roman" w:hAnsi="Times New Roman" w:eastAsia="Times New Roman" w:cs="Times New Roman"/>
          <w:sz w:val="24"/>
          <w:szCs w:val="24"/>
        </w:rPr>
        <w:t xml:space="preserve">dfuller</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y</w:t>
      </w:r>
      <w:r>
        <w:rPr>
          <w:rFonts w:ascii="Times New Roman" w:hAnsi="Times New Roman" w:eastAsia="Times New Roman" w:cs="Times New Roman"/>
          <w:sz w:val="24"/>
          <w:szCs w:val="24"/>
        </w:rPr>
        <w:t xml:space="preserve"> </w:t>
      </w:r>
      <w:r>
        <w:rPr>
          <w:rStyle w:val="731"/>
          <w:rFonts w:ascii="Times New Roman" w:hAnsi="Times New Roman" w:eastAsia="Times New Roman" w:cs="Times New Roman"/>
          <w:sz w:val="24"/>
          <w:szCs w:val="24"/>
        </w:rPr>
        <w:t xml:space="preserve">pperron</w:t>
      </w:r>
      <w:r>
        <w:rPr>
          <w:rFonts w:ascii="Times New Roman" w:hAnsi="Times New Roman" w:eastAsia="Times New Roman" w:cs="Times New Roman"/>
          <w:sz w:val="24"/>
          <w:szCs w:val="24"/>
        </w:rPr>
        <w:t xml:space="preserve">. La aplicación de estas metodologías me permite evaluar la sostenibilidad de la seguridad social bajo inestabilidad y rigideces del mercado laboral.</w:t>
      </w:r>
      <w:bookmarkEnd w:id="34"/>
      <w:r>
        <w:rPr>
          <w:sz w:val="24"/>
          <w:szCs w:val="24"/>
        </w:rPr>
      </w:r>
      <w:bookmarkEnd w:id="35"/>
      <w:r>
        <w:rPr>
          <w:sz w:val="24"/>
          <w:szCs w:val="24"/>
        </w:rPr>
      </w:r>
      <w:r>
        <w:rPr>
          <w:rFonts w:ascii="Times New Roman" w:hAnsi="Times New Roman" w:eastAsia="Times New Roman" w:cs="Times New Roman"/>
          <w:sz w:val="24"/>
          <w:szCs w:val="24"/>
        </w:rPr>
      </w:r>
    </w:p>
    <w:p>
      <w:pPr>
        <w:pStyle w:val="700"/>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57" w:name="resultados-y-discusión"/>
      <w:r>
        <w:rPr>
          <w:rFonts w:ascii="Times New Roman" w:hAnsi="Times New Roman" w:eastAsia="Times New Roman" w:cs="Times New Roman"/>
          <w:sz w:val="24"/>
          <w:szCs w:val="24"/>
        </w:rPr>
        <w:t xml:space="preserve">4. Resultados y Discusión</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 esta sección se presentan las estimaciones finales del modelo econométrico. El análisis se inicia con la determinación de la estructura dinámica del sistema (VAR) para validar la consistencia de las relaciones de largo plazo.</w:t>
      </w:r>
      <w:r>
        <w:rPr>
          <w:rFonts w:ascii="Times New Roman" w:hAnsi="Times New Roman" w:eastAsia="Times New Roman" w:cs="Times New Roman"/>
          <w:sz w:val="24"/>
          <w:szCs w:val="24"/>
        </w:rPr>
      </w:r>
    </w:p>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0" w:name="diagnóstico-dinámico-del-sistema"/>
      <w:r>
        <w:rPr>
          <w:rFonts w:ascii="Times New Roman" w:hAnsi="Times New Roman" w:eastAsia="Times New Roman" w:cs="Times New Roman"/>
          <w:sz w:val="24"/>
          <w:szCs w:val="24"/>
        </w:rPr>
        <w:t xml:space="preserve">4.1 Diagnóstico Dinámico del Sistema</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Antes de la estimación estructural, se valida la longitud óptima de los rezagos y la existencia de relaciones de equilibrio mediante pruebas multivariadas.</w:t>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7" w:name="selección-de-rezagos-óptimos"/>
      <w:r>
        <w:rPr>
          <w:rFonts w:ascii="Times New Roman" w:hAnsi="Times New Roman" w:eastAsia="Times New Roman" w:cs="Times New Roman"/>
          <w:sz w:val="24"/>
          <w:szCs w:val="24"/>
        </w:rPr>
        <w:t xml:space="preserve">4.1.1 Selección de Rezagos Óptimos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w:t>
      </w:r>
      <w:r>
        <w:rPr>
          <w:rFonts w:ascii="Times New Roman" w:hAnsi="Times New Roman" w:eastAsia="Times New Roman" w:cs="Times New Roman"/>
          <w:sz w:val="24"/>
          <w:szCs w:val="24"/>
        </w:rPr>
        <w:t xml:space="preserve"> </w:t>
      </w:r>
      <w:hyperlink w:tooltip="#tbl-rezagos" w:anchor="tbl-rezagos" w:history="1">
        <w:r>
          <w:rPr>
            <w:rStyle w:val="734"/>
            <w:rFonts w:ascii="Times New Roman" w:hAnsi="Times New Roman" w:eastAsia="Times New Roman" w:cs="Times New Roman"/>
            <w:sz w:val="24"/>
            <w:szCs w:val="24"/>
          </w:rPr>
          <w:t xml:space="preserve">Tabla 5</w:t>
        </w:r>
      </w:hyperlink>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muestra los criterios de información para la selección del número de rezagos. Todos los criterios (AIC, HQIC, SBIC y FPE) convergen en una estructura de</w:t>
      </w:r>
      <w:r>
        <w:rPr>
          <w:rFonts w:ascii="Times New Roman" w:hAnsi="Times New Roman" w:eastAsia="Times New Roman" w:cs="Times New Roman"/>
          <w:sz w:val="24"/>
          <w:szCs w:val="24"/>
        </w:rPr>
        <w:t xml:space="preserve"> </w:t>
      </w:r>
      <w:r>
        <w:rPr>
          <w:rFonts w:ascii="Times New Roman" w:hAnsi="Times New Roman" w:eastAsia="Times New Roman" w:cs="Times New Roman"/>
          <w:b/>
          <w:bCs/>
          <w:sz w:val="24"/>
          <w:szCs w:val="24"/>
        </w:rPr>
        <w:t xml:space="preserve">4 rezagos</w:t>
      </w:r>
      <w:r>
        <w:rPr>
          <w:rFonts w:ascii="Times New Roman" w:hAnsi="Times New Roman" w:eastAsia="Times New Roman" w:cs="Times New Roman"/>
          <w:sz w:val="24"/>
          <w:szCs w:val="24"/>
        </w:rPr>
        <w:t xml:space="preserve">, lo que permite capturar adecuadamente la inercia temporal de las variables institucionales y sociales.</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36" w:name="tbl-rezagos"/>
            <w:r>
              <w:rPr>
                <w:rFonts w:ascii="Times New Roman" w:hAnsi="Times New Roman" w:eastAsia="Times New Roman" w:cs="Times New Roman"/>
                <w:sz w:val="24"/>
                <w:szCs w:val="24"/>
              </w:rPr>
              <w:t xml:space="preserve">Tabla 5: Criterios de Selección de Orden de Rezagos</w:t>
            </w:r>
            <w:r>
              <w:rPr>
                <w:rFonts w:ascii="Times New Roman" w:hAnsi="Times New Roman" w:eastAsia="Times New Roman" w:cs="Times New Roman"/>
                <w:sz w:val="24"/>
                <w:szCs w:val="24"/>
              </w:rPr>
            </w:r>
          </w:p>
          <w:tbl>
            <w:tblPr>
              <w:tblStyle w:val="722"/>
              <w:tblW w:w="5000" w:type="pct"/>
              <w:tblBorders/>
              <w:tblLayout w:type="fixed"/>
              <w:tblLook w:val="0020" w:firstRow="1" w:lastRow="0" w:firstColumn="0" w:lastColumn="0" w:noHBand="0" w:noVBand="0"/>
            </w:tblPr>
            <w:tblGrid>
              <w:gridCol w:w="879"/>
              <w:gridCol w:w="879"/>
              <w:gridCol w:w="879"/>
              <w:gridCol w:w="879"/>
              <w:gridCol w:w="879"/>
              <w:gridCol w:w="879"/>
              <w:gridCol w:w="879"/>
              <w:gridCol w:w="879"/>
              <w:gridCol w:w="879"/>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Lag</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LR</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df</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FPE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AIC</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HQIC</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SBIC</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-358.45</w:t>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10499.4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23.45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23.52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23.68</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-184.28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348.33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0.7117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13.82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14.28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15.21</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-134.30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99.96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0.1628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12.21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13.04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14.76</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-89.20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90.21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0.0656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10.92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12.12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14.62</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-31.07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116.25*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0.0194</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8.78</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10.36</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13.64</w:t>
                  </w:r>
                  <w:r>
                    <w:rPr>
                      <w:rFonts w:ascii="Times New Roman" w:hAnsi="Times New Roman" w:eastAsia="Times New Roman" w:cs="Times New Roman"/>
                      <w:sz w:val="24"/>
                      <w:szCs w:val="24"/>
                    </w:rPr>
                    <w:t xml:space="preserve">*</w:t>
                  </w:r>
                  <w:bookmarkEnd w:id="36"/>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37"/>
            <w:r>
              <w:rPr>
                <w:rFonts w:ascii="Times New Roman" w:hAnsi="Times New Roman" w:eastAsia="Times New Roman" w:cs="Times New Roman"/>
                <w:sz w:val="24"/>
                <w:szCs w:val="24"/>
              </w:rPr>
            </w:r>
          </w:p>
        </w:tc>
      </w:tr>
    </w:tbl>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39" w:name="pruebas-de-causalidad-de-granger"/>
      <w:r>
        <w:rPr>
          <w:rFonts w:ascii="Times New Roman" w:hAnsi="Times New Roman" w:eastAsia="Times New Roman" w:cs="Times New Roman"/>
          <w:sz w:val="24"/>
          <w:szCs w:val="24"/>
        </w:rPr>
        <w:t xml:space="preserve">4.1.2 Pruebas de Causalidad de Granger</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w:t>
      </w:r>
      <w:r>
        <w:rPr>
          <w:rFonts w:ascii="Times New Roman" w:hAnsi="Times New Roman" w:eastAsia="Times New Roman" w:cs="Times New Roman"/>
          <w:sz w:val="24"/>
          <w:szCs w:val="24"/>
        </w:rPr>
        <w:t xml:space="preserve"> </w:t>
      </w:r>
      <w:hyperlink w:tooltip="#tbl-granger" w:anchor="tbl-granger" w:history="1">
        <w:r>
          <w:rPr>
            <w:rStyle w:val="734"/>
            <w:rFonts w:ascii="Times New Roman" w:hAnsi="Times New Roman" w:eastAsia="Times New Roman" w:cs="Times New Roman"/>
            <w:sz w:val="24"/>
            <w:szCs w:val="24"/>
          </w:rPr>
          <w:t xml:space="preserve">Tabla 6</w:t>
        </w:r>
      </w:hyperlink>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evalúa si el comportamiento pasado de una variable ayuda a p</w:t>
      </w:r>
      <w:r>
        <w:rPr>
          <w:rFonts w:ascii="Times New Roman" w:hAnsi="Times New Roman" w:eastAsia="Times New Roman" w:cs="Times New Roman"/>
          <w:sz w:val="24"/>
          <w:szCs w:val="24"/>
        </w:rPr>
        <w:t xml:space="preserve">redecir el comportamiento de otra. Los resultados indican una red de causalidad altamente significativa, donde la inestabilidad social (Homicidios y Migración) y la presión fiscal (Gasto Militar) afectan directamente la sostenibilidad del IESS (Afiliados).</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38" w:name="tbl-granger"/>
            <w:r>
              <w:rPr>
                <w:rFonts w:ascii="Times New Roman" w:hAnsi="Times New Roman" w:eastAsia="Times New Roman" w:cs="Times New Roman"/>
                <w:sz w:val="24"/>
                <w:szCs w:val="24"/>
              </w:rPr>
              <w:t xml:space="preserve">Tabla 6: Pruebas de Causalidad de Granger (Wald Tests)</w:t>
            </w:r>
            <w:r>
              <w:rPr>
                <w:rFonts w:ascii="Times New Roman" w:hAnsi="Times New Roman" w:eastAsia="Times New Roman" w:cs="Times New Roman"/>
                <w:sz w:val="24"/>
                <w:szCs w:val="24"/>
              </w:rPr>
            </w:r>
          </w:p>
          <w:tbl>
            <w:tblPr>
              <w:tblStyle w:val="722"/>
              <w:tblW w:w="0" w:type="auto"/>
              <w:tblBorders/>
              <w:tblLook w:val="0020" w:firstRow="1" w:lastRow="0" w:firstColumn="0" w:lastColumn="0" w:noHBand="0" w:noVBand="0"/>
            </w:tblPr>
            <w:tblGrid>
              <w:gridCol w:w="1980"/>
              <w:gridCol w:w="1980"/>
              <w:gridCol w:w="1980"/>
              <w:gridCol w:w="1980"/>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Ecuación</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Variable Excluida</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χ</m:t>
                          </m:r>
                        </m:e>
                        <m:sup>
                          <m:r>
                            <w:rPr>
                              <w:rFonts w:hint="default" w:ascii="Cambria Math" w:hAnsi="Cambria Math" w:eastAsia="Cambria Math" w:cs="Cambria Math"/>
                              <w:sz w:val="24"/>
                              <w:szCs w:val="24"/>
                            </w:rPr>
                            <m:rPr/>
                            <m:t>2</m:t>
                          </m:r>
                        </m:sup>
                      </m:sSup>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p-valor</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Afiliados (AF)</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Gasto Militar (GM)</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14.77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0.005</w:t>
                  </w:r>
                  <w:r>
                    <w:rPr>
                      <w:rFonts w:ascii="Times New Roman" w:hAnsi="Times New Roman" w:eastAsia="Times New Roman" w:cs="Times New Roman"/>
                      <w:sz w:val="24"/>
                      <w:szCs w:val="24"/>
                    </w:rPr>
                  </w:r>
                </w:p>
              </w:tc>
            </w:tr>
            <w:tr>
              <w:trPr/>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Migración (MI)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22.25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r>
            <w:tr>
              <w:trPr/>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Homicidios (HO)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12.79</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0.012</w:t>
                  </w:r>
                  <w:r>
                    <w:rPr>
                      <w:rFonts w:ascii="Times New Roman" w:hAnsi="Times New Roman" w:eastAsia="Times New Roman" w:cs="Times New Roman"/>
                      <w:sz w:val="24"/>
                      <w:szCs w:val="24"/>
                    </w:rPr>
                  </w:r>
                </w:p>
              </w:tc>
            </w:tr>
            <w:tr>
              <w:trPr/>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Fuerza Laboral (FL)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13.81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0.008</w:t>
                  </w:r>
                  <w:r>
                    <w:rPr>
                      <w:rFonts w:ascii="Times New Roman" w:hAnsi="Times New Roman" w:eastAsia="Times New Roman" w:cs="Times New Roman"/>
                      <w:sz w:val="24"/>
                      <w:szCs w:val="24"/>
                    </w:rPr>
                  </w:r>
                </w:p>
              </w:tc>
            </w:tr>
            <w:tr>
              <w:trPr/>
              <w:tc>
                <w:tcPr>
                  <w:tcBorders/>
                </w:tcPr>
                <w:p>
                  <w:pPr>
                    <w:pStyle w:val="690"/>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TOTAL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81.77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0.000</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Gasto Militar (GM)</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Afiliados (AF)</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150.17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Migración (MI)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Homicidios (HO)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66.10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Homicidios (HO)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Migración (MI)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43.68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Fuerza Laboral (FL)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Todos</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312.74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bookmarkEnd w:id="38"/>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39"/>
            <w:bookmarkEnd w:id="40"/>
            <w:r>
              <w:rPr>
                <w:rFonts w:ascii="Times New Roman" w:hAnsi="Times New Roman" w:eastAsia="Times New Roman" w:cs="Times New Roman"/>
                <w:sz w:val="24"/>
                <w:szCs w:val="24"/>
              </w:rPr>
            </w:r>
          </w:p>
        </w:tc>
      </w:tr>
    </w:tbl>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3" w:name="estimación-de-cointegración-ardl"/>
      <w:r>
        <w:rPr>
          <w:rFonts w:ascii="Times New Roman" w:hAnsi="Times New Roman" w:eastAsia="Times New Roman" w:cs="Times New Roman"/>
          <w:sz w:val="24"/>
          <w:szCs w:val="24"/>
        </w:rPr>
        <w:t xml:space="preserve">4.2 Estimación de Cointegración (ARDL)</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Due a la persistencia temporal y las fallas de especificación de los modelos</w:t>
      </w:r>
      <w:r>
        <w:rPr>
          <w:rFonts w:ascii="Times New Roman" w:hAnsi="Times New Roman" w:eastAsia="Times New Roman" w:cs="Times New Roman"/>
          <w:sz w:val="24"/>
          <w:szCs w:val="24"/>
        </w:rPr>
        <w:t xml:space="preserve"> estáticos, se emplea la técnica de Autorregresivos con Rezagos Distribuidos (ARDL). Esta aproximación permite distinguir entre las elasticidades de corto plazo y el equilibrio de largo plazo, capturando la velocidad de ajuste ante choques institucionales.</w:t>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2" w:name="dinámica-de-corto-plazo-modelo-ecm"/>
      <w:r>
        <w:rPr>
          <w:rFonts w:ascii="Times New Roman" w:hAnsi="Times New Roman" w:eastAsia="Times New Roman" w:cs="Times New Roman"/>
          <w:sz w:val="24"/>
          <w:szCs w:val="24"/>
        </w:rPr>
        <w:t xml:space="preserve">4.2.1 Dinámica de Corto Plazo (Modelo ECM)</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w:t>
      </w:r>
      <w:r>
        <w:rPr>
          <w:rFonts w:ascii="Times New Roman" w:hAnsi="Times New Roman" w:eastAsia="Times New Roman" w:cs="Times New Roman"/>
          <w:sz w:val="24"/>
          <w:szCs w:val="24"/>
        </w:rPr>
        <w:t xml:space="preserve"> </w:t>
      </w:r>
      <w:hyperlink w:tooltip="#tbl-ardl-sr" w:anchor="tbl-ardl-sr" w:history="1">
        <w:r>
          <w:rPr>
            <w:rStyle w:val="734"/>
            <w:rFonts w:ascii="Times New Roman" w:hAnsi="Times New Roman" w:eastAsia="Times New Roman" w:cs="Times New Roman"/>
            <w:sz w:val="24"/>
            <w:szCs w:val="24"/>
          </w:rPr>
          <w:t xml:space="preserve">Tabla 7</w:t>
        </w:r>
      </w:hyperlink>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presenta los efectos inmediatos de las variables sobre la variación de los afiliados. Se destaca el impacto significativo del gasto militar y la fuerza laboral.</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41" w:name="tbl-ardl-sr"/>
            <w:r>
              <w:rPr>
                <w:rFonts w:ascii="Times New Roman" w:hAnsi="Times New Roman" w:eastAsia="Times New Roman" w:cs="Times New Roman"/>
                <w:sz w:val="24"/>
                <w:szCs w:val="24"/>
              </w:rPr>
              <w:t xml:space="preserve">Tabla 7: Coeffientes de Corto Plazo - Modelo ARDL(1,2,2,1,1)</w:t>
            </w:r>
            <w:r>
              <w:rPr>
                <w:rFonts w:ascii="Times New Roman" w:hAnsi="Times New Roman" w:eastAsia="Times New Roman" w:cs="Times New Roman"/>
                <w:sz w:val="24"/>
                <w:szCs w:val="24"/>
              </w:rPr>
            </w:r>
          </w:p>
          <w:tbl>
            <w:tblPr>
              <w:tblStyle w:val="722"/>
              <w:tblW w:w="5000" w:type="pct"/>
              <w:tblBorders/>
              <w:tblLayout w:type="fixed"/>
              <w:tblLook w:val="0020" w:firstRow="1" w:lastRow="0" w:firstColumn="0" w:lastColumn="0" w:noHBand="0" w:noVBand="0"/>
            </w:tblPr>
            <w:tblGrid>
              <w:gridCol w:w="1760"/>
              <w:gridCol w:w="2200"/>
              <w:gridCol w:w="2200"/>
              <w:gridCol w:w="1760"/>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Regresor</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Diferencia (D1.)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p-valor</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Interpretación</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Gasto Militar</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(GM)</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-0.0699</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0.022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Efecto contractivo inmediato (S)</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Migración Neta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0.082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Impacto marginal en el flujo (S)</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Log Tasa Homicidios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0.0516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0.181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No significativo en el cortísimo plazo</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Log Fuerza Laboral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(FL)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0.7986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Principal motor de afiliación (HS)</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Constante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6.5528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Componente autónomo robusto</w:t>
                  </w:r>
                  <w:bookmarkEnd w:id="41"/>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42"/>
            <w:bookmarkEnd w:id="43"/>
            <w:r>
              <w:rPr>
                <w:rFonts w:ascii="Times New Roman" w:hAnsi="Times New Roman" w:eastAsia="Times New Roman" w:cs="Times New Roman"/>
                <w:sz w:val="24"/>
                <w:szCs w:val="24"/>
              </w:rPr>
            </w:r>
          </w:p>
        </w:tc>
      </w:tr>
    </w:tbl>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51" w:name="cointegración-y-estabilidad"/>
      <w:r>
        <w:rPr>
          <w:rFonts w:ascii="Times New Roman" w:hAnsi="Times New Roman" w:eastAsia="Times New Roman" w:cs="Times New Roman"/>
          <w:sz w:val="24"/>
          <w:szCs w:val="24"/>
        </w:rPr>
        <w:t xml:space="preserve">4.3 Cointegración y Estabilidad</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El modelo ARDL permite capturar la relación de equilibrio de largo plazo y la estabilidad del sistema ante perturbaciones externas.</w:t>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5" w:name="relación-de-largo-plazo-elasticidades"/>
      <w:r>
        <w:rPr>
          <w:rFonts w:ascii="Times New Roman" w:hAnsi="Times New Roman" w:eastAsia="Times New Roman" w:cs="Times New Roman"/>
          <w:sz w:val="24"/>
          <w:szCs w:val="24"/>
        </w:rPr>
        <w:t xml:space="preserve">4.3.1 Relación de Largo Plazo (Elasticidades)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El modelo ARDL(1,2,2,1,1) revela las elasticidades estructurales que gobiernan el sistema del IESS en el largo plazo:</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44" w:name="tbl-ardl-lp"/>
            <w:r>
              <w:rPr>
                <w:rFonts w:ascii="Times New Roman" w:hAnsi="Times New Roman" w:eastAsia="Times New Roman" w:cs="Times New Roman"/>
                <w:sz w:val="24"/>
                <w:szCs w:val="24"/>
              </w:rPr>
              <w:t xml:space="preserve">Tabla 8: Coeficientes de Largo Plazo del Modelo ARDL (Estimación Explosiva)</w:t>
            </w:r>
            <w:r>
              <w:rPr>
                <w:rFonts w:ascii="Times New Roman" w:hAnsi="Times New Roman" w:eastAsia="Times New Roman" w:cs="Times New Roman"/>
                <w:sz w:val="24"/>
                <w:szCs w:val="24"/>
              </w:rPr>
            </w:r>
          </w:p>
          <w:tbl>
            <w:tblPr>
              <w:tblStyle w:val="722"/>
              <w:tblW w:w="5000" w:type="pct"/>
              <w:tblBorders/>
              <w:tblLayout w:type="fixed"/>
              <w:tblLook w:val="0020" w:firstRow="1" w:lastRow="0" w:firstColumn="0" w:lastColumn="0" w:noHBand="0" w:noVBand="0"/>
            </w:tblPr>
            <w:tblGrid>
              <w:gridCol w:w="2217"/>
              <w:gridCol w:w="1108"/>
              <w:gridCol w:w="950"/>
              <w:gridCol w:w="3643"/>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Regresor</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Coeficiente (LP)</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p-valor</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Interpretación</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Gasto Militar</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(GM)</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-24.6987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0.924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Efecto de desplazamiento fiscal (explosivo)</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Migración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0.923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Efecto no concluyente en largo plazo</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Homicidios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-22.9725</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0.923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Impacto contractivo extremo (divergente)</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b/>
                      <w:bCs/>
                      <w:sz w:val="24"/>
                      <w:szCs w:val="24"/>
                    </w:rPr>
                    <w:t xml:space="preserve">Fuerza Laboral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(FL)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106.0743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0.922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Relación inestable con la base productiva</w:t>
                  </w:r>
                  <w:bookmarkEnd w:id="44"/>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45"/>
            <w:r>
              <w:rPr>
                <w:rFonts w:ascii="Times New Roman" w:hAnsi="Times New Roman" w:eastAsia="Times New Roman" w:cs="Times New Roman"/>
                <w:sz w:val="24"/>
                <w:szCs w:val="24"/>
              </w:rPr>
            </w:r>
          </w:p>
        </w:tc>
      </w:tr>
    </w:tbl>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6" w:name="análisis-del-mecanismo-de-ajuste"/>
      <w:r>
        <w:rPr>
          <w:rFonts w:ascii="Times New Roman" w:hAnsi="Times New Roman" w:eastAsia="Times New Roman" w:cs="Times New Roman"/>
          <w:sz w:val="24"/>
          <w:szCs w:val="24"/>
        </w:rPr>
        <w:t xml:space="preserve">4.3.2 Análisis del Mecanismo de Ajuste</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El Coeficiente de Ajuste (ADJ) derivado del modelo de corrección de error presenta un valor positivo de +0.0042 (</w:t>
      </w:r>
      <m:oMath>
        <m:r>
          <w:rPr>
            <w:rFonts w:hint="default" w:ascii="Cambria Math" w:hAnsi="Cambria Math" w:eastAsia="Cambria Math" w:cs="Cambria Math"/>
            <w:sz w:val="24"/>
            <w:szCs w:val="24"/>
          </w:rPr>
          <m:rPr/>
          <m:t>p</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0.924</m:t>
        </m:r>
      </m:oMath>
      <w:r>
        <w:rPr>
          <w:rFonts w:ascii="Times New Roman" w:hAnsi="Times New Roman" w:eastAsia="Times New Roman" w:cs="Times New Roman"/>
          <w:sz w:val="24"/>
          <w:szCs w:val="24"/>
        </w:rPr>
        <w:t xml:space="preserve">). Desde la perspectiva econométrica, este signo indica la ausencia de mecanismos de convergencia hacia un equilibrio estable de largo plazo; por el contrario, sugiere que el sistema experimenta una trayectoria divergente</w:t>
      </w:r>
      <w:r>
        <w:rPr>
          <w:rFonts w:ascii="Times New Roman" w:hAnsi="Times New Roman" w:eastAsia="Times New Roman" w:cs="Times New Roman"/>
          <w:sz w:val="24"/>
          <w:szCs w:val="24"/>
        </w:rPr>
        <w:t xml:space="preserve"> ante perturbaciones en sus determinantes. Este hallazgo es consistente con una estructura institucional que no logra absorber choques externos, como el incremento de la inseguridad o la presión fiscal, exacerbando la inestabilidad del número de afiliados.</w:t>
      </w:r>
      <w:bookmarkEnd w:id="46"/>
      <w:r>
        <w:rPr>
          <w:sz w:val="24"/>
          <w:szCs w:val="24"/>
        </w:rPr>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7" w:name="discusión-de-hallazgos"/>
      <w:r>
        <w:rPr>
          <w:rFonts w:ascii="Times New Roman" w:hAnsi="Times New Roman" w:eastAsia="Times New Roman" w:cs="Times New Roman"/>
          <w:sz w:val="24"/>
          <w:szCs w:val="24"/>
        </w:rPr>
        <w:t xml:space="preserve">4.3.3 Discusión de Hallazgos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Los resultados obtenidos mediante la técnica ARDL permiten realizar una lectura crítica de la sostenibilidad del IESS a la luz de la teoría económica y el contexto institucional ecuatoriano.</w:t>
      </w:r>
      <w:bookmarkEnd w:id="47"/>
      <w:r>
        <w:rPr>
          <w:sz w:val="24"/>
          <w:szCs w:val="24"/>
        </w:rPr>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8" w:name="X6c93e7b134062d3b84cef60f9a7880afb165c7d"/>
      <w:r>
        <w:rPr>
          <w:rFonts w:ascii="Times New Roman" w:hAnsi="Times New Roman" w:eastAsia="Times New Roman" w:cs="Times New Roman"/>
          <w:sz w:val="24"/>
          <w:szCs w:val="24"/>
        </w:rPr>
        <w:t xml:space="preserve">4.3.4 Convergencia y el Contrato Intergeneracional</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El hallazgo más crítico es el signo positivo del coeficiente de ajuste (+0.0042). Mientras que el Modelo de Generaciones Traslapadas (OLG) de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Diamond (1965)</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asume la posibilidad de un estado estacionario estable bajo </w:t>
      </w:r>
      <w:r>
        <w:rPr>
          <w:rFonts w:ascii="Times New Roman" w:hAnsi="Times New Roman" w:eastAsia="Times New Roman" w:cs="Times New Roman"/>
          <w:sz w:val="24"/>
          <w:szCs w:val="24"/>
        </w:rPr>
        <w:t xml:space="preserve">condiciones de crecimiento demográfico y productividad constantes, la evidencia para Ecuador sugiere una trayectoria de divergencia. Este comportamiento indica que el contrato intergeneracional enfrenta una fase de ruptura; el sistema no posee mecanismos a</w:t>
      </w:r>
      <w:r>
        <w:rPr>
          <w:rFonts w:ascii="Times New Roman" w:hAnsi="Times New Roman" w:eastAsia="Times New Roman" w:cs="Times New Roman"/>
          <w:sz w:val="24"/>
          <w:szCs w:val="24"/>
        </w:rPr>
        <w:t xml:space="preserve">utomáticos de retorno al equilibrio tras choques externos. Esta inestabilidad valida la tesis de que el IESS se encuentra en una fase de inestabilidad sistémica, donde cada perturbación aleja al número de afiliados de una senda de solvencia de largo plazo.</w:t>
      </w:r>
      <w:bookmarkEnd w:id="48"/>
      <w:r>
        <w:rPr>
          <w:sz w:val="24"/>
          <w:szCs w:val="24"/>
        </w:rPr>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49" w:name="X243008c7455b3aba886003d18999460e76478fc"/>
      <w:r>
        <w:rPr>
          <w:rFonts w:ascii="Times New Roman" w:hAnsi="Times New Roman" w:eastAsia="Times New Roman" w:cs="Times New Roman"/>
          <w:sz w:val="24"/>
          <w:szCs w:val="24"/>
        </w:rPr>
        <w:t xml:space="preserve">4.3.5 El Mecanismo de Desplazamiento Fiscal (Crowding-out)</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El impacto negativo y significativo del Gasto Militar (</w:t>
      </w:r>
      <m:oMath>
        <m:r>
          <w:rPr>
            <w:rFonts w:hint="default" w:ascii="Cambria Math" w:hAnsi="Cambria Math" w:eastAsia="Cambria Math" w:cs="Cambria Math"/>
            <w:sz w:val="24"/>
            <w:szCs w:val="24"/>
          </w:rPr>
          <m:rPr/>
          <m:t>G</m:t>
        </m:r>
        <m:r>
          <w:rPr>
            <w:rFonts w:hint="default" w:ascii="Cambria Math" w:hAnsi="Cambria Math" w:eastAsia="Cambria Math" w:cs="Cambria Math"/>
            <w:sz w:val="24"/>
            <w:szCs w:val="24"/>
          </w:rPr>
          <m:rPr/>
          <m:t>M</m:t>
        </m:r>
      </m:oMath>
      <w:r>
        <w:rPr>
          <w:rFonts w:ascii="Times New Roman" w:hAnsi="Times New Roman" w:eastAsia="Times New Roman" w:cs="Times New Roman"/>
          <w:sz w:val="24"/>
          <w:szCs w:val="24"/>
        </w:rPr>
        <w:t xml:space="preserve">) en el corto plazo (-0.0699) confirma la hipótesis de desplazamiento fiscal. En el marco de las finanzas públicas ecuatorianas, existe una competencia directa por recursos limitados entre el financiamiento de la seguridad nacion</w:t>
      </w:r>
      <w:r>
        <w:rPr>
          <w:rFonts w:ascii="Times New Roman" w:hAnsi="Times New Roman" w:eastAsia="Times New Roman" w:cs="Times New Roman"/>
          <w:sz w:val="24"/>
          <w:szCs w:val="24"/>
        </w:rPr>
        <w:t xml:space="preserve">al y la contribución estatal obligatoria del 40% a las pensiones del IESS. Un incremento en el gasto de defensa, exacerbado por las crisis de seguridad interna, reduce el espacio fiscal para honrar las obligaciones prestacionales civiles. Este mecanismo de</w:t>
      </w:r>
      <w:r>
        <w:rPr>
          <w:rFonts w:ascii="Times New Roman" w:hAnsi="Times New Roman" w:eastAsia="Times New Roman" w:cs="Times New Roman"/>
          <w:sz w:val="24"/>
          <w:szCs w:val="24"/>
        </w:rPr>
        <w:t xml:space="preserve"> transmisión no solo es financiero, sino que actúa como una señal de riesgo para los agentes, quienes, ante la percepción de un Estado que prioriza el gasto militar sobre el previsional, perciben una reducción en la rentabilidad implícita de su afiliación.</w:t>
      </w:r>
      <w:bookmarkEnd w:id="49"/>
      <w:r>
        <w:rPr>
          <w:sz w:val="24"/>
          <w:szCs w:val="24"/>
        </w:rPr>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50" w:name="inseguridad-y-la-decisión-de-formalidad"/>
      <w:r>
        <w:rPr>
          <w:rFonts w:ascii="Times New Roman" w:hAnsi="Times New Roman" w:eastAsia="Times New Roman" w:cs="Times New Roman"/>
          <w:sz w:val="24"/>
          <w:szCs w:val="24"/>
        </w:rPr>
        <w:t xml:space="preserve">4.3.6 Inseguridad y la Decisión de Formalidad</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relación de largo plazo exhibe coeficientes negativos persistentes para la tasa de homicidios (</w:t>
      </w:r>
      <m:oMath>
        <m:r>
          <w:rPr>
            <w:rFonts w:hint="default" w:ascii="Cambria Math" w:hAnsi="Cambria Math" w:eastAsia="Cambria Math" w:cs="Cambria Math"/>
            <w:sz w:val="24"/>
            <w:szCs w:val="24"/>
          </w:rPr>
          <m:rPr/>
          <m:t>H</m:t>
        </m:r>
        <m:r>
          <w:rPr>
            <w:rFonts w:hint="default" w:ascii="Cambria Math" w:hAnsi="Cambria Math" w:eastAsia="Cambria Math" w:cs="Cambria Math"/>
            <w:sz w:val="24"/>
            <w:szCs w:val="24"/>
          </w:rPr>
          <m:rPr/>
          <m:t>O</m:t>
        </m:r>
      </m:oMath>
      <w:r>
        <w:rPr>
          <w:rFonts w:ascii="Times New Roman" w:hAnsi="Times New Roman" w:eastAsia="Times New Roman" w:cs="Times New Roman"/>
          <w:sz w:val="24"/>
          <w:szCs w:val="24"/>
        </w:rPr>
        <w:t xml:space="preserve">). En alineación con</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Murillo et al. (2025)</w:t>
      </w:r>
      <w:r>
        <w:rPr>
          <w:rFonts w:ascii="Times New Roman" w:hAnsi="Times New Roman" w:eastAsia="Times New Roman" w:cs="Times New Roman"/>
          <w:sz w:val="24"/>
          <w:szCs w:val="24"/>
        </w:rPr>
        <w:t xml:space="preserve">, la decisi</w:t>
      </w:r>
      <w:r>
        <w:rPr>
          <w:rFonts w:ascii="Times New Roman" w:hAnsi="Times New Roman" w:eastAsia="Times New Roman" w:cs="Times New Roman"/>
          <w:sz w:val="24"/>
          <w:szCs w:val="24"/>
        </w:rPr>
        <w:t xml:space="preserve">ón de afiliación es sensible al entorno de seguridad institucional. La evidencia macroeconómica sugiere que la violencia incentiva el refugio en la informalidad; empresas y trabajadores en sectores vulnerables reducen su visibilidad ante el Estado para mit</w:t>
      </w:r>
      <w:r>
        <w:rPr>
          <w:rFonts w:ascii="Times New Roman" w:hAnsi="Times New Roman" w:eastAsia="Times New Roman" w:cs="Times New Roman"/>
          <w:sz w:val="24"/>
          <w:szCs w:val="24"/>
        </w:rPr>
        <w:t xml:space="preserve">igar riesgos de extorsión, renunciando a la seguridad social contributiva. La robustez de este hallazgo se confirma mediante la técnica KRLS, que identifica efectos marginales negativos y significativos para el crimen en toda la distribución de la muestra.</w:t>
      </w:r>
      <w:bookmarkEnd w:id="50"/>
      <w:r>
        <w:rPr>
          <w:sz w:val="24"/>
          <w:szCs w:val="24"/>
        </w:rPr>
      </w:r>
      <w:bookmarkEnd w:id="51"/>
      <w:r>
        <w:rPr>
          <w:sz w:val="24"/>
          <w:szCs w:val="24"/>
        </w:rPr>
      </w:r>
      <w:r>
        <w:rPr>
          <w:rFonts w:ascii="Times New Roman" w:hAnsi="Times New Roman" w:eastAsia="Times New Roman" w:cs="Times New Roman"/>
          <w:sz w:val="24"/>
          <w:szCs w:val="24"/>
        </w:rPr>
      </w:r>
    </w:p>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54" w:name="X5ceac4c0a23bbdef8f8a92a40e8096a8c258fbe"/>
      <w:r>
        <w:rPr>
          <w:rFonts w:ascii="Times New Roman" w:hAnsi="Times New Roman" w:eastAsia="Times New Roman" w:cs="Times New Roman"/>
          <w:sz w:val="24"/>
          <w:szCs w:val="24"/>
        </w:rPr>
        <w:t xml:space="preserve">4.4 Diagnósticos Post-estimación y Validación Robusta</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 validez de las inferencias se sustenta en la auditoría técnica de los residuos y la estabilidad estructural del sistema.</w:t>
      </w:r>
      <w:r>
        <w:rPr>
          <w:rFonts w:ascii="Times New Roman" w:hAnsi="Times New Roman" w:eastAsia="Times New Roman" w:cs="Times New Roman"/>
          <w:sz w:val="24"/>
          <w:szCs w:val="24"/>
        </w:rPr>
      </w:r>
    </w:p>
    <w:p>
      <w:pPr>
        <w:pStyle w:val="702"/>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53" w:name="auditoría-de-residuos"/>
      <w:r>
        <w:rPr>
          <w:rFonts w:ascii="Times New Roman" w:hAnsi="Times New Roman" w:eastAsia="Times New Roman" w:cs="Times New Roman"/>
          <w:sz w:val="24"/>
          <w:szCs w:val="24"/>
        </w:rPr>
        <w:t xml:space="preserve">4.4.1 Auditoría de Residuos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La</w:t>
      </w:r>
      <w:r>
        <w:rPr>
          <w:rFonts w:ascii="Times New Roman" w:hAnsi="Times New Roman" w:eastAsia="Times New Roman" w:cs="Times New Roman"/>
          <w:sz w:val="24"/>
          <w:szCs w:val="24"/>
        </w:rPr>
        <w:t xml:space="preserve"> </w:t>
      </w:r>
      <w:hyperlink w:tooltip="#tbl-diagnosticos" w:anchor="tbl-diagnosticos" w:history="1">
        <w:r>
          <w:rPr>
            <w:rStyle w:val="734"/>
            <w:rFonts w:ascii="Times New Roman" w:hAnsi="Times New Roman" w:eastAsia="Times New Roman" w:cs="Times New Roman"/>
            <w:sz w:val="24"/>
            <w:szCs w:val="24"/>
          </w:rPr>
          <w:t xml:space="preserve">Tabla 9</w:t>
        </w:r>
      </w:hyperlink>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presenta las pruebas de diagnóstico sobre la especificación base. La detección de autocorrelación (</w:t>
      </w:r>
      <m:oMath>
        <m:r>
          <w:rPr>
            <w:rFonts w:hint="default" w:ascii="Cambria Math" w:hAnsi="Cambria Math" w:eastAsia="Cambria Math" w:cs="Cambria Math"/>
            <w:sz w:val="24"/>
            <w:szCs w:val="24"/>
          </w:rPr>
          <m:rPr/>
          <m:t>p</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0.000</m:t>
        </m:r>
      </m:oMath>
      <w:r>
        <w:rPr>
          <w:rFonts w:ascii="Times New Roman" w:hAnsi="Times New Roman" w:eastAsia="Times New Roman" w:cs="Times New Roman"/>
          <w:sz w:val="24"/>
          <w:szCs w:val="24"/>
        </w:rPr>
        <w:t xml:space="preserve">) y heterocedasticidad (</w:t>
      </w:r>
      <m:oMath>
        <m:r>
          <w:rPr>
            <w:rFonts w:hint="default" w:ascii="Cambria Math" w:hAnsi="Cambria Math" w:eastAsia="Cambria Math" w:cs="Cambria Math"/>
            <w:sz w:val="24"/>
            <w:szCs w:val="24"/>
          </w:rPr>
          <m:rPr/>
          <m:t>p</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0.036</m:t>
        </m:r>
      </m:oMath>
      <w:r>
        <w:rPr>
          <w:rFonts w:ascii="Times New Roman" w:hAnsi="Times New Roman" w:eastAsia="Times New Roman" w:cs="Times New Roman"/>
          <w:sz w:val="24"/>
          <w:szCs w:val="24"/>
        </w:rPr>
        <w:t xml:space="preserve">) invalida el uso de estimadores estáticos tradicionales, justificando la transición hacia modelos de corrección de error (ARDL) para capturar la dinámica compleja de los datos.</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52" w:name="tbl-diagnosticos"/>
            <w:r>
              <w:rPr>
                <w:rFonts w:ascii="Times New Roman" w:hAnsi="Times New Roman" w:eastAsia="Times New Roman" w:cs="Times New Roman"/>
                <w:sz w:val="24"/>
                <w:szCs w:val="24"/>
              </w:rPr>
              <w:t xml:space="preserve">Tabla 9: Auditoría de diagnóstico sobre los residuos del modelo</w:t>
            </w:r>
            <w:r>
              <w:rPr>
                <w:rFonts w:ascii="Times New Roman" w:hAnsi="Times New Roman" w:eastAsia="Times New Roman" w:cs="Times New Roman"/>
                <w:sz w:val="24"/>
                <w:szCs w:val="24"/>
              </w:rPr>
            </w:r>
          </w:p>
          <w:tbl>
            <w:tblPr>
              <w:tblStyle w:val="722"/>
              <w:tblW w:w="5000" w:type="pct"/>
              <w:tblBorders/>
              <w:tblLayout w:type="fixed"/>
              <w:tblLook w:val="0020" w:firstRow="1" w:lastRow="0" w:firstColumn="0" w:lastColumn="0" w:noHBand="0" w:noVBand="0"/>
            </w:tblPr>
            <w:tblGrid>
              <w:gridCol w:w="1760"/>
              <w:gridCol w:w="2200"/>
              <w:gridCol w:w="2200"/>
              <w:gridCol w:w="1760"/>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Prueba</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Estadístico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p-valor</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Conclusión</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Normalidad (Jarque-Bera)</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χ</m:t>
                          </m:r>
                        </m:e>
                        <m:sup>
                          <m:r>
                            <w:rPr>
                              <w:rFonts w:hint="default" w:ascii="Cambria Math" w:hAnsi="Cambria Math" w:eastAsia="Cambria Math" w:cs="Cambria Math"/>
                              <w:sz w:val="24"/>
                              <w:szCs w:val="24"/>
                            </w:rPr>
                            <m:rPr/>
                            <m:t>2</m:t>
                          </m:r>
                        </m:sup>
                      </m:sSup>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2</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1.94</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0.379</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No se rechaza normalidad</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Autocorrelación (Breusch-Godfrey)</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χ</m:t>
                          </m:r>
                        </m:e>
                        <m:sup>
                          <m:r>
                            <w:rPr>
                              <w:rFonts w:hint="default" w:ascii="Cambria Math" w:hAnsi="Cambria Math" w:eastAsia="Cambria Math" w:cs="Cambria Math"/>
                              <w:sz w:val="24"/>
                              <w:szCs w:val="24"/>
                            </w:rPr>
                            <m:rPr/>
                            <m:t>2</m:t>
                          </m:r>
                        </m:sup>
                      </m:sSup>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27.97</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Presencia de autocorrelación</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Heterocedasticidad (White)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sSup>
                        <m:sSupPr>
                          <m:ctrlPr>
                            <w:rPr>
                              <w:rFonts w:hint="default" w:ascii="Cambria Math" w:hAnsi="Cambria Math" w:eastAsia="Cambria Math" w:cs="Cambria Math"/>
                              <w:sz w:val="24"/>
                            </w:rPr>
                          </m:ctrlPr>
                        </m:sSupPr>
                        <m:e>
                          <m:r>
                            <w:rPr>
                              <w:rFonts w:hint="default" w:ascii="Cambria Math" w:hAnsi="Cambria Math" w:eastAsia="Cambria Math" w:cs="Cambria Math"/>
                              <w:sz w:val="24"/>
                              <w:szCs w:val="24"/>
                            </w:rPr>
                            <m:rPr/>
                            <m:t>χ</m:t>
                          </m:r>
                        </m:e>
                        <m:sup>
                          <m:r>
                            <w:rPr>
                              <w:rFonts w:hint="default" w:ascii="Cambria Math" w:hAnsi="Cambria Math" w:eastAsia="Cambria Math" w:cs="Cambria Math"/>
                              <w:sz w:val="24"/>
                              <w:szCs w:val="24"/>
                            </w:rPr>
                            <m:rPr/>
                            <m:t>2</m:t>
                          </m:r>
                        </m:sup>
                      </m:sSup>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14</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24.82</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0.036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Presencia de heterocedasticidad</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Especificación (Ramsey RESET)</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r>
                  <m:oMathPara>
                    <m:oMathParaPr/>
                    <m:oMath>
                      <m:r>
                        <w:rPr>
                          <w:rFonts w:hint="default" w:ascii="Cambria Math" w:hAnsi="Cambria Math" w:eastAsia="Cambria Math" w:cs="Cambria Math"/>
                          <w:sz w:val="24"/>
                          <w:szCs w:val="24"/>
                        </w:rPr>
                        <m:rPr/>
                        <m:t>F</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3</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27</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24.20</m:t>
                      </m:r>
                    </m:oMath>
                  </m:oMathPara>
                  <w:r>
                    <w:rPr>
                      <w:rFonts w:ascii="Times New Roman" w:hAnsi="Times New Roman" w:eastAsia="Times New Roman" w:cs="Times New Roman"/>
                      <w:sz w:val="24"/>
                      <w:szCs w:val="24"/>
                    </w:rPr>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Evidencia de no linealidad</w:t>
                  </w:r>
                  <w:bookmarkEnd w:id="52"/>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53"/>
            <w:bookmarkEnd w:id="54"/>
            <w:r>
              <w:rPr>
                <w:rFonts w:ascii="Times New Roman" w:hAnsi="Times New Roman" w:eastAsia="Times New Roman" w:cs="Times New Roman"/>
                <w:sz w:val="24"/>
                <w:szCs w:val="24"/>
              </w:rPr>
            </w:r>
          </w:p>
        </w:tc>
      </w:tr>
    </w:tbl>
    <w:p>
      <w:pPr>
        <w:pStyle w:val="701"/>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56" w:name="validación-no-lineal-krls"/>
      <w:r>
        <w:rPr>
          <w:rFonts w:ascii="Times New Roman" w:hAnsi="Times New Roman" w:eastAsia="Times New Roman" w:cs="Times New Roman"/>
          <w:sz w:val="24"/>
          <w:szCs w:val="24"/>
        </w:rPr>
        <w:t xml:space="preserve">4.5 Validación No Lineal (KRLS)</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Ante el rechazo de la hipótesis de linealidad en la prueba RESET (</w:t>
      </w:r>
      <m:oMath>
        <m:r>
          <w:rPr>
            <w:rFonts w:hint="default" w:ascii="Cambria Math" w:hAnsi="Cambria Math" w:eastAsia="Cambria Math" w:cs="Cambria Math"/>
            <w:sz w:val="24"/>
            <w:szCs w:val="24"/>
          </w:rPr>
          <m:rPr/>
          <m:t>p</m:t>
        </m:r>
        <m:r>
          <w:rPr>
            <w:rFonts w:hint="default" w:ascii="Cambria Math" w:hAnsi="Cambria Math" w:eastAsia="Cambria Math" w:cs="Cambria Math"/>
            <w:sz w:val="24"/>
            <w:szCs w:val="24"/>
          </w:rPr>
          <m:rPr>
            <m:sty m:val="p"/>
          </m:rPr>
          <m:t>=</m:t>
        </m:r>
        <m:r>
          <w:rPr>
            <w:rFonts w:hint="default" w:ascii="Cambria Math" w:hAnsi="Cambria Math" w:eastAsia="Cambria Math" w:cs="Cambria Math"/>
            <w:sz w:val="24"/>
            <w:szCs w:val="24"/>
          </w:rPr>
          <m:rPr/>
          <m:t>0.000</m:t>
        </m:r>
      </m:oMath>
      <w:r>
        <w:rPr>
          <w:rFonts w:ascii="Times New Roman" w:hAnsi="Times New Roman" w:eastAsia="Times New Roman" w:cs="Times New Roman"/>
          <w:sz w:val="24"/>
          <w:szCs w:val="24"/>
        </w:rPr>
        <w:t xml:space="preserve">), se implementa la validación robusta mediante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Kernel-based Regularized Least Squares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(KRLS). Esta técnica de aprendizaje automático captura relaciones funcionales complejas sin supuestos paramétricos rígidos.</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 diferencia de las elasticidades lineales de largo plazo, los efectos marginales promedio en</w:t>
      </w:r>
      <w:r>
        <w:rPr>
          <w:rFonts w:ascii="Times New Roman" w:hAnsi="Times New Roman" w:eastAsia="Times New Roman" w:cs="Times New Roman"/>
          <w:sz w:val="24"/>
          <w:szCs w:val="24"/>
        </w:rPr>
        <w:t xml:space="preserve"> </w:t>
      </w:r>
      <w:hyperlink w:tooltip="#tbl-krls" w:anchor="tbl-krls" w:history="1">
        <w:r>
          <w:rPr>
            <w:rStyle w:val="734"/>
            <w:rFonts w:ascii="Times New Roman" w:hAnsi="Times New Roman" w:eastAsia="Times New Roman" w:cs="Times New Roman"/>
            <w:sz w:val="24"/>
            <w:szCs w:val="24"/>
          </w:rPr>
          <w:t xml:space="preserve">Tabla 10</w:t>
        </w:r>
      </w:hyperlink>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son estadísticamente significativos para todos los determinantes (</w:t>
      </w:r>
      <m:oMath>
        <m:r>
          <w:rPr>
            <w:rFonts w:hint="default" w:ascii="Cambria Math" w:hAnsi="Cambria Math" w:eastAsia="Cambria Math" w:cs="Cambria Math"/>
            <w:sz w:val="24"/>
            <w:szCs w:val="24"/>
          </w:rPr>
          <m:rPr/>
          <m:t>p</m:t>
        </m:r>
        <m:r>
          <w:rPr>
            <w:rFonts w:hint="default" w:ascii="Cambria Math" w:hAnsi="Cambria Math" w:eastAsia="Cambria Math" w:cs="Cambria Math"/>
            <w:sz w:val="24"/>
            <w:szCs w:val="24"/>
          </w:rPr>
          <m:rPr>
            <m:sty m:val="p"/>
          </m:rPr>
          <m:t>&lt;</m:t>
        </m:r>
        <m:r>
          <w:rPr>
            <w:rFonts w:hint="default" w:ascii="Cambria Math" w:hAnsi="Cambria Math" w:eastAsia="Cambria Math" w:cs="Cambria Math"/>
            <w:sz w:val="24"/>
            <w:szCs w:val="24"/>
          </w:rPr>
          <m:rPr/>
          <m:t>0.01</m:t>
        </m:r>
      </m:oMath>
      <w:r>
        <w:rPr>
          <w:rFonts w:ascii="Times New Roman" w:hAnsi="Times New Roman" w:eastAsia="Times New Roman" w:cs="Times New Roman"/>
          <w:sz w:val="24"/>
          <w:szCs w:val="24"/>
        </w:rPr>
        <w:t xml:space="preserve">). El contraste entre la insignificancia del ARDL y la robustez del KRLS evidencia que la crisis del IESS responde a umbrales críticos de seguridad y presión fiscal, cuya complejidad no es capturada por modelos paramétricos convencionales.</w:t>
      </w:r>
      <w:r>
        <w:rPr>
          <w:rFonts w:ascii="Times New Roman" w:hAnsi="Times New Roman" w:eastAsia="Times New Roman" w:cs="Times New Roman"/>
          <w:sz w:val="24"/>
          <w:szCs w:val="24"/>
        </w:rPr>
      </w:r>
    </w:p>
    <w:tbl>
      <w:tblPr>
        <w:tblStyle w:val="722"/>
        <w:tblW w:w="5000" w:type="pct"/>
        <w:tblBorders/>
        <w:tblLayout w:type="fixed"/>
        <w:tblLook w:val="0000" w:firstRow="0" w:lastRow="0" w:firstColumn="0" w:lastColumn="0" w:noHBand="0" w:noVBand="0"/>
      </w:tblPr>
      <w:tblGrid>
        <w:gridCol w:w="7920"/>
      </w:tblGrid>
      <w:tr>
        <w:trPr/>
        <w:tc>
          <w:tcPr>
            <w:tcBorders/>
          </w:tcPr>
          <w:p>
            <w:pPr>
              <w:pStyle w:val="727"/>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bookmarkStart w:id="55" w:name="tbl-krls"/>
            <w:r>
              <w:rPr>
                <w:rFonts w:ascii="Times New Roman" w:hAnsi="Times New Roman" w:eastAsia="Times New Roman" w:cs="Times New Roman"/>
                <w:sz w:val="24"/>
                <w:szCs w:val="24"/>
              </w:rPr>
              <w:t xml:space="preserve">Tabla 10: Resultados de la validación robusta mediante KRLS</w:t>
            </w:r>
            <w:r>
              <w:rPr>
                <w:rFonts w:ascii="Times New Roman" w:hAnsi="Times New Roman" w:eastAsia="Times New Roman" w:cs="Times New Roman"/>
                <w:sz w:val="24"/>
                <w:szCs w:val="24"/>
              </w:rPr>
            </w:r>
          </w:p>
          <w:tbl>
            <w:tblPr>
              <w:tblStyle w:val="722"/>
              <w:tblW w:w="0" w:type="auto"/>
              <w:tblBorders/>
              <w:tblLook w:val="0020" w:firstRow="1" w:lastRow="0" w:firstColumn="0" w:lastColumn="0" w:noHBand="0" w:noVBand="0"/>
            </w:tblPr>
            <w:tblGrid>
              <w:gridCol w:w="1584"/>
              <w:gridCol w:w="1584"/>
              <w:gridCol w:w="1584"/>
              <w:gridCol w:w="1584"/>
              <w:gridCol w:w="1584"/>
            </w:tblGrid>
            <w:tr>
              <w:trPr>
                <w:tblHeade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Variable</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Efecto Promedio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Desv. Est.</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t-stat</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p-valor</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Gasto Militar (GM)</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0.1448</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0.0227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6.376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Migración (MI)</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-2.1e-06</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5.8e-07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-3.517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0.001***</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Homicidios (HO)</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-0.1314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0.0352</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-3.733</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0.001***</w:t>
                  </w:r>
                  <w:r>
                    <w:rPr>
                      <w:rFonts w:ascii="Times New Roman" w:hAnsi="Times New Roman" w:eastAsia="Times New Roman" w:cs="Times New Roman"/>
                      <w:sz w:val="24"/>
                      <w:szCs w:val="24"/>
                    </w:rPr>
                  </w:r>
                </w:p>
              </w:tc>
            </w:tr>
            <w:tr>
              <w:trPr/>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Fuerza Laboral (FL)</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1.2074</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0.0671</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17.997</w:t>
                  </w:r>
                  <w:r>
                    <w:rPr>
                      <w:rFonts w:ascii="Times New Roman" w:hAnsi="Times New Roman" w:eastAsia="Times New Roman" w:cs="Times New Roman"/>
                      <w:sz w:val="24"/>
                      <w:szCs w:val="24"/>
                    </w:rPr>
                  </w:r>
                </w:p>
              </w:tc>
              <w:tc>
                <w:tcPr>
                  <w:tcBorders/>
                </w:tcPr>
                <w:p>
                  <w:pPr>
                    <w:pStyle w:val="690"/>
                    <w:pBdr/>
                    <w:spacing/>
                    <w:ind/>
                    <w:jc w:val="center"/>
                    <w:rPr>
                      <w:rFonts w:ascii="Times New Roman" w:hAnsi="Times New Roman" w:cs="Times New Roman"/>
                      <w:sz w:val="24"/>
                      <w:szCs w:val="24"/>
                    </w:rPr>
                  </w:pPr>
                  <w:r>
                    <w:rPr>
                      <w:rFonts w:ascii="Times New Roman" w:hAnsi="Times New Roman" w:eastAsia="Times New Roman" w:cs="Times New Roman"/>
                      <w:sz w:val="24"/>
                      <w:szCs w:val="24"/>
                    </w:rPr>
                    <w:t xml:space="preserve">0.000***</w:t>
                  </w:r>
                  <w:bookmarkEnd w:id="55"/>
                  <w:r>
                    <w:rPr>
                      <w:rFonts w:ascii="Times New Roman" w:hAnsi="Times New Roman" w:eastAsia="Times New Roman" w:cs="Times New Roman"/>
                      <w:sz w:val="24"/>
                      <w:szCs w:val="24"/>
                    </w:rPr>
                  </w:r>
                </w:p>
              </w:tc>
            </w:tr>
          </w:tbl>
          <w:p>
            <w:pPr>
              <w:pBdr/>
              <w:spacing/>
              <w:ind/>
              <w:rPr>
                <w:rFonts w:ascii="Times New Roman" w:hAnsi="Times New Roman" w:cs="Times New Roman"/>
                <w:sz w:val="24"/>
                <w:szCs w:val="24"/>
              </w:rPr>
            </w:pPr>
            <w:r>
              <w:rPr>
                <w:rFonts w:ascii="Times New Roman" w:hAnsi="Times New Roman" w:eastAsia="Times New Roman" w:cs="Times New Roman"/>
                <w:sz w:val="24"/>
                <w:szCs w:val="24"/>
              </w:rPr>
            </w:r>
            <w:bookmarkEnd w:id="56"/>
            <w:bookmarkEnd w:id="57"/>
            <w:r>
              <w:rPr>
                <w:rFonts w:ascii="Times New Roman" w:hAnsi="Times New Roman" w:eastAsia="Times New Roman" w:cs="Times New Roman"/>
                <w:sz w:val="24"/>
                <w:szCs w:val="24"/>
              </w:rPr>
            </w:r>
          </w:p>
        </w:tc>
      </w:tr>
    </w:tbl>
    <w:p>
      <w:pPr>
        <w:pStyle w:val="700"/>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58" w:name="conclusiones-e-implicaciones-de-política"/>
      <w:r>
        <w:rPr>
          <w:rFonts w:ascii="Times New Roman" w:hAnsi="Times New Roman" w:eastAsia="Times New Roman" w:cs="Times New Roman"/>
          <w:sz w:val="24"/>
          <w:szCs w:val="24"/>
        </w:rPr>
        <w:t xml:space="preserve">5. Conclusiones e implicaciones de política</w:t>
      </w:r>
      <w:r>
        <w:rPr>
          <w:rFonts w:ascii="Times New Roman" w:hAnsi="Times New Roman" w:eastAsia="Times New Roman" w:cs="Times New Roman"/>
          <w:sz w:val="24"/>
          <w:szCs w:val="24"/>
        </w:rPr>
      </w:r>
    </w:p>
    <w:p>
      <w:pPr>
        <w:pStyle w:val="689"/>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 esta investigación analicé los determinantes de la crisis de sostenibilidad previsional del IESS en el periodo 1990-2024. Evalué la i</w:t>
      </w:r>
      <w:r>
        <w:rPr>
          <w:rFonts w:ascii="Times New Roman" w:hAnsi="Times New Roman" w:eastAsia="Times New Roman" w:cs="Times New Roman"/>
          <w:sz w:val="24"/>
          <w:szCs w:val="24"/>
        </w:rPr>
        <w:t xml:space="preserve">nteracción dinámica entre factores demográficos tradicionales (fuerza laboral y migración) y variables críticas de inestabilidad fiscal y social (gasto militar y tasa de homicidios) mediante estimaciones lineales ARDL y aproximaciones no paramétricas KRLS.</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Los hallazgos obtenidos son coherentes con la teoría económica del crimen y de la agencia. El hallazgo de una velocidad de ajuste positiva en el modelo de corrección de error y de raíces superiores a la unidad en los au</w:t>
      </w:r>
      <w:r>
        <w:rPr>
          <w:rFonts w:ascii="Times New Roman" w:hAnsi="Times New Roman" w:eastAsia="Times New Roman" w:cs="Times New Roman"/>
          <w:sz w:val="24"/>
          <w:szCs w:val="24"/>
        </w:rPr>
        <w:t xml:space="preserve">tovalores del sistema confirma la hipótesis de inestabilidad sistémica y divergencia, contradiciendo los supuestos de estado estacionario de los modelos de generaciones traslapadas clásicos. Esta divergencia refleja la fragilidad de las decisiones de forma</w:t>
      </w:r>
      <w:r>
        <w:rPr>
          <w:rFonts w:ascii="Times New Roman" w:hAnsi="Times New Roman" w:eastAsia="Times New Roman" w:cs="Times New Roman"/>
          <w:sz w:val="24"/>
          <w:szCs w:val="24"/>
        </w:rPr>
        <w:t xml:space="preserve">lización laboral en contextos de alta delincuencia, donde la aportación a la seguridad social se percibe como un costo que no compensa el riesgo de operar en el sector formal, impulsando un círculo vicioso de informalidad y erosión de la base contributiva.</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 partir de estas inferencias, la principal implicación de política pública es que las reformas paramétricas tradicionales (como el aumento de la edad de jubilación o el incremento de las tasas de </w:t>
      </w:r>
      <w:r>
        <w:rPr>
          <w:rFonts w:ascii="Times New Roman" w:hAnsi="Times New Roman" w:eastAsia="Times New Roman" w:cs="Times New Roman"/>
          <w:sz w:val="24"/>
          <w:szCs w:val="24"/>
        </w:rPr>
        <w:t xml:space="preserve">contribución) resultarán ineficaces si se aplican de manera aislada. Propongo un plan de intervención integral que recupere la seguridad ciudadana y la formalización económica como ejes de la sostenibilidad previsional. Asimismo, considero imperativo diseñ</w:t>
      </w:r>
      <w:r>
        <w:rPr>
          <w:rFonts w:ascii="Times New Roman" w:hAnsi="Times New Roman" w:eastAsia="Times New Roman" w:cs="Times New Roman"/>
          <w:sz w:val="24"/>
          <w:szCs w:val="24"/>
        </w:rPr>
        <w:t xml:space="preserve">ar mecanismos de blindaje fiscal que garanticen el cumplimiento de la transferencia estatal del 40% al IESS, evitando que los choques de gasto en seguridad nacional y defensa desplacen los compromisos actuariales corrientes con el fondo de pensiones civil.</w:t>
      </w:r>
      <w:r>
        <w:rPr>
          <w:rFonts w:ascii="Times New Roman" w:hAnsi="Times New Roman" w:eastAsia="Times New Roman" w:cs="Times New Roman"/>
          <w:sz w:val="24"/>
          <w:szCs w:val="24"/>
        </w:rPr>
      </w:r>
    </w:p>
    <w:p>
      <w:pPr>
        <w:pStyle w:val="688"/>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Entre las limit</w:t>
      </w:r>
      <w:r>
        <w:rPr>
          <w:rFonts w:ascii="Times New Roman" w:hAnsi="Times New Roman" w:eastAsia="Times New Roman" w:cs="Times New Roman"/>
          <w:sz w:val="24"/>
          <w:szCs w:val="24"/>
        </w:rPr>
        <w:t xml:space="preserve">aciones del estudio, destaco la dependencia de observaciones de frecuencia anual que restringen la precisión en la identificación de dinámicas de cortísimo plazo, así como la dificultad para capturar de forma homogénea los efectos de los cambios en los reg</w:t>
      </w:r>
      <w:r>
        <w:rPr>
          <w:rFonts w:ascii="Times New Roman" w:hAnsi="Times New Roman" w:eastAsia="Times New Roman" w:cs="Times New Roman"/>
          <w:sz w:val="24"/>
          <w:szCs w:val="24"/>
        </w:rPr>
        <w:t xml:space="preserve">ímenes fiscales y cambiarios previos al año 2000. Finalmente, sugiero que futuras líneas de investigación exploren modelos econométricos no lineales de umbral (Threshold VAR/ARDL) que identifiquen con precisión los niveles de violencia y criminalidad a par</w:t>
      </w:r>
      <w:r>
        <w:rPr>
          <w:rFonts w:ascii="Times New Roman" w:hAnsi="Times New Roman" w:eastAsia="Times New Roman" w:cs="Times New Roman"/>
          <w:sz w:val="24"/>
          <w:szCs w:val="24"/>
        </w:rPr>
        <w:t xml:space="preserve">tir de los cuales el padrón contributivo ingresa en zonas de desestabilización explosiva, así como evaluar el impacto diferenciado de la informalidad de género y el autoempleo en la sostenibilidad actuarial de los diferentes fondos prestacionales del IESS.</w:t>
      </w:r>
      <w:bookmarkEnd w:id="58"/>
      <w:r>
        <w:rPr>
          <w:sz w:val="24"/>
          <w:szCs w:val="24"/>
        </w:rPr>
      </w:r>
      <w:r>
        <w:rPr>
          <w:rFonts w:ascii="Times New Roman" w:hAnsi="Times New Roman" w:eastAsia="Times New Roman" w:cs="Times New Roman"/>
          <w:sz w:val="24"/>
          <w:szCs w:val="24"/>
        </w:rPr>
      </w:r>
    </w:p>
    <w:p>
      <w:pPr>
        <w:pStyle w:val="700"/>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77" w:name="referencias"/>
      <w:r>
        <w:rPr>
          <w:rFonts w:ascii="Times New Roman" w:hAnsi="Times New Roman" w:eastAsia="Times New Roman" w:cs="Times New Roman"/>
          <w:sz w:val="24"/>
          <w:szCs w:val="24"/>
        </w:rPr>
        <w:t xml:space="preserve">Referencias</w:t>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76" w:name="refs"/>
      <w:r>
        <w:rPr>
          <w:rFonts w:ascii="Times New Roman" w:hAnsi="Times New Roman" w:eastAsia="Times New Roman" w:cs="Times New Roman"/>
          <w:sz w:val="24"/>
          <w:szCs w:val="24"/>
        </w:rPr>
      </w:r>
      <w:bookmarkStart w:id="60" w:name="ref-baculima2026"/>
      <w:r>
        <w:rPr>
          <w:rFonts w:ascii="Times New Roman" w:hAnsi="Times New Roman" w:eastAsia="Times New Roman" w:cs="Times New Roman"/>
          <w:sz w:val="24"/>
          <w:szCs w:val="24"/>
        </w:rPr>
        <w:t xml:space="preserve">Baculima-Cuesta, Francis Patricio, M. A. Luzuriaga-Atarihuana, y M. E. Sarmiento-Moscoso. 2026.</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«La sostenibilidad fiscal en el Ecuador 2003-2023. Aplicaci</w:t>
      </w:r>
      <w:r>
        <w:rPr>
          <w:rFonts w:ascii="Times New Roman" w:hAnsi="Times New Roman" w:eastAsia="Times New Roman" w:cs="Times New Roman"/>
          <w:sz w:val="24"/>
          <w:szCs w:val="24"/>
        </w:rPr>
        <w:t xml:space="preserve">ó</w:t>
      </w:r>
      <w:r>
        <w:rPr>
          <w:rFonts w:ascii="Times New Roman" w:hAnsi="Times New Roman" w:eastAsia="Times New Roman" w:cs="Times New Roman"/>
          <w:sz w:val="24"/>
          <w:szCs w:val="24"/>
        </w:rPr>
        <w:t xml:space="preserve">n del modelo de Markov (MS-ARDL)»</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Innova Research Journal</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11 (2): 15-35.</w:t>
      </w:r>
      <w:r>
        <w:rPr>
          <w:rFonts w:ascii="Times New Roman" w:hAnsi="Times New Roman" w:eastAsia="Times New Roman" w:cs="Times New Roman"/>
          <w:sz w:val="24"/>
          <w:szCs w:val="24"/>
        </w:rPr>
        <w:t xml:space="preserve"> </w:t>
      </w:r>
      <w:hyperlink r:id="rId10" w:tooltip="https://doi.org/10.33890/innova.v11.n2.2026.2934" w:history="1">
        <w:r>
          <w:rPr>
            <w:rStyle w:val="734"/>
            <w:rFonts w:ascii="Times New Roman" w:hAnsi="Times New Roman" w:eastAsia="Times New Roman" w:cs="Times New Roman"/>
            <w:sz w:val="24"/>
            <w:szCs w:val="24"/>
          </w:rPr>
          <w:t xml:space="preserve">https://doi.org/10.33890/innova.v11.n2.2026.2934</w:t>
        </w:r>
      </w:hyperlink>
      <w:r>
        <w:rPr>
          <w:rFonts w:ascii="Times New Roman" w:hAnsi="Times New Roman" w:eastAsia="Times New Roman" w:cs="Times New Roman"/>
          <w:sz w:val="24"/>
          <w:szCs w:val="24"/>
        </w:rPr>
        <w:t xml:space="preserve">.</w:t>
      </w:r>
      <w:bookmarkEnd w:id="60"/>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62" w:name="ref-becker1968"/>
      <w:r>
        <w:rPr>
          <w:rFonts w:ascii="Times New Roman" w:hAnsi="Times New Roman" w:eastAsia="Times New Roman" w:cs="Times New Roman"/>
          <w:sz w:val="24"/>
          <w:szCs w:val="24"/>
        </w:rPr>
        <w:t xml:space="preserve">Becker, Gary S. 1968.</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«Crime and Punishment: An Economic Approach»</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Journal of Political Economy</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76 (2): 169-217.</w:t>
      </w:r>
      <w:r>
        <w:rPr>
          <w:rFonts w:ascii="Times New Roman" w:hAnsi="Times New Roman" w:eastAsia="Times New Roman" w:cs="Times New Roman"/>
          <w:sz w:val="24"/>
          <w:szCs w:val="24"/>
        </w:rPr>
        <w:t xml:space="preserve"> </w:t>
      </w:r>
      <w:hyperlink r:id="rId11" w:tooltip="https://doi.org/10.1086/259394" w:history="1">
        <w:r>
          <w:rPr>
            <w:rStyle w:val="734"/>
            <w:rFonts w:ascii="Times New Roman" w:hAnsi="Times New Roman" w:eastAsia="Times New Roman" w:cs="Times New Roman"/>
            <w:sz w:val="24"/>
            <w:szCs w:val="24"/>
          </w:rPr>
          <w:t xml:space="preserve">https://doi.org/10.1086/259394</w:t>
        </w:r>
      </w:hyperlink>
      <w:r>
        <w:rPr>
          <w:rFonts w:ascii="Times New Roman" w:hAnsi="Times New Roman" w:eastAsia="Times New Roman" w:cs="Times New Roman"/>
          <w:sz w:val="24"/>
          <w:szCs w:val="24"/>
        </w:rPr>
        <w:t xml:space="preserve">.</w:t>
      </w:r>
      <w:bookmarkEnd w:id="62"/>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64" w:name="ref-diamond1965"/>
      <w:r>
        <w:rPr>
          <w:rFonts w:ascii="Times New Roman" w:hAnsi="Times New Roman" w:eastAsia="Times New Roman" w:cs="Times New Roman"/>
          <w:sz w:val="24"/>
          <w:szCs w:val="24"/>
        </w:rPr>
        <w:t xml:space="preserve">Diamond, Peter A. 1965.</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«National Debt in a Neoclassical Growth Model»</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The American Economic Review</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55 (5): 1126-50.</w:t>
      </w:r>
      <w:r>
        <w:rPr>
          <w:rFonts w:ascii="Times New Roman" w:hAnsi="Times New Roman" w:eastAsia="Times New Roman" w:cs="Times New Roman"/>
          <w:sz w:val="24"/>
          <w:szCs w:val="24"/>
        </w:rPr>
        <w:t xml:space="preserve"> </w:t>
      </w:r>
      <w:hyperlink r:id="rId12" w:tooltip="https://doi.org/10.2307/1816733" w:history="1">
        <w:r>
          <w:rPr>
            <w:rStyle w:val="734"/>
            <w:rFonts w:ascii="Times New Roman" w:hAnsi="Times New Roman" w:eastAsia="Times New Roman" w:cs="Times New Roman"/>
            <w:sz w:val="24"/>
            <w:szCs w:val="24"/>
          </w:rPr>
          <w:t xml:space="preserve">https://doi.org/10.2307/1816733</w:t>
        </w:r>
      </w:hyperlink>
      <w:r>
        <w:rPr>
          <w:rFonts w:ascii="Times New Roman" w:hAnsi="Times New Roman" w:eastAsia="Times New Roman" w:cs="Times New Roman"/>
          <w:sz w:val="24"/>
          <w:szCs w:val="24"/>
        </w:rPr>
        <w:t xml:space="preserve">.</w:t>
      </w:r>
      <w:bookmarkEnd w:id="64"/>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66" w:name="ref-gao2025"/>
      <w:r>
        <w:rPr>
          <w:rFonts w:ascii="Times New Roman" w:hAnsi="Times New Roman" w:eastAsia="Times New Roman" w:cs="Times New Roman"/>
          <w:sz w:val="24"/>
          <w:szCs w:val="24"/>
        </w:rPr>
        <w:t xml:space="preserve">Gao, Han, y Bei Lu. 2025.</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«Reforming China’s public pension system: Fiscal sustainability and the challenge of formality-based inequality»</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Economic Modelling</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153: 107336.</w:t>
      </w:r>
      <w:r>
        <w:rPr>
          <w:rFonts w:ascii="Times New Roman" w:hAnsi="Times New Roman" w:eastAsia="Times New Roman" w:cs="Times New Roman"/>
          <w:sz w:val="24"/>
          <w:szCs w:val="24"/>
        </w:rPr>
        <w:t xml:space="preserve"> </w:t>
      </w:r>
      <w:hyperlink r:id="rId13" w:tooltip="https://doi.org/10.1016/j.econmod.2025.107336" w:history="1">
        <w:r>
          <w:rPr>
            <w:rStyle w:val="734"/>
            <w:rFonts w:ascii="Times New Roman" w:hAnsi="Times New Roman" w:eastAsia="Times New Roman" w:cs="Times New Roman"/>
            <w:sz w:val="24"/>
            <w:szCs w:val="24"/>
          </w:rPr>
          <w:t xml:space="preserve">https://doi.org/10.1016/j.econmod.2025.107336</w:t>
        </w:r>
      </w:hyperlink>
      <w:r>
        <w:rPr>
          <w:rFonts w:ascii="Times New Roman" w:hAnsi="Times New Roman" w:eastAsia="Times New Roman" w:cs="Times New Roman"/>
          <w:sz w:val="24"/>
          <w:szCs w:val="24"/>
        </w:rPr>
        <w:t xml:space="preserve">.</w:t>
      </w:r>
      <w:bookmarkEnd w:id="66"/>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67" w:name="ref-inec2022"/>
      <w:r>
        <w:rPr>
          <w:rFonts w:ascii="Times New Roman" w:hAnsi="Times New Roman" w:eastAsia="Times New Roman" w:cs="Times New Roman"/>
          <w:sz w:val="24"/>
          <w:szCs w:val="24"/>
        </w:rPr>
        <w:t xml:space="preserve">INEC Ecuador. 2022.</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Censo de Población y Vivienda 2022</w:t>
      </w:r>
      <w:r>
        <w:rPr>
          <w:rFonts w:ascii="Times New Roman" w:hAnsi="Times New Roman" w:eastAsia="Times New Roman" w:cs="Times New Roman"/>
          <w:sz w:val="24"/>
          <w:szCs w:val="24"/>
        </w:rPr>
        <w:t xml:space="preserve">. Instituto Nacional de Estadística y Censos.</w:t>
      </w:r>
      <w:bookmarkEnd w:id="67"/>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68" w:name="ref-jensen1976"/>
      <w:r>
        <w:rPr>
          <w:rFonts w:ascii="Times New Roman" w:hAnsi="Times New Roman" w:eastAsia="Times New Roman" w:cs="Times New Roman"/>
          <w:sz w:val="24"/>
          <w:szCs w:val="24"/>
        </w:rPr>
        <w:t xml:space="preserve">Jensen, Michael C., y William H. Meckling. 1976.</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«Theory of the firm: Managerial behavior, agency costs and ownership structure»</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Journal of Financial Economics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3 (4): 305-60.</w:t>
      </w:r>
      <w:bookmarkEnd w:id="68"/>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70" w:name="ref-lonare2026"/>
      <w:r>
        <w:rPr>
          <w:rFonts w:ascii="Times New Roman" w:hAnsi="Times New Roman" w:eastAsia="Times New Roman" w:cs="Times New Roman"/>
          <w:sz w:val="24"/>
          <w:szCs w:val="24"/>
        </w:rPr>
        <w:t xml:space="preserve">Lonare, A. 2026.</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«The Pension-Modernisation Trade-off: Quantifying Fiscal Crowding-Out in India’s Defence Budget, 2005-2026»</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SSRN Electronic Journal</w:t>
      </w:r>
      <w:r>
        <w:rPr>
          <w:rFonts w:ascii="Times New Roman" w:hAnsi="Times New Roman" w:eastAsia="Times New Roman" w:cs="Times New Roman"/>
          <w:sz w:val="24"/>
          <w:szCs w:val="24"/>
        </w:rPr>
        <w:t xml:space="preserve">, advance online publication.</w:t>
      </w:r>
      <w:r>
        <w:rPr>
          <w:rFonts w:ascii="Times New Roman" w:hAnsi="Times New Roman" w:eastAsia="Times New Roman" w:cs="Times New Roman"/>
          <w:sz w:val="24"/>
          <w:szCs w:val="24"/>
        </w:rPr>
        <w:t xml:space="preserve"> </w:t>
      </w:r>
      <w:hyperlink r:id="rId14" w:tooltip="https://doi.org/10.2139/ssrn.6541578" w:history="1">
        <w:r>
          <w:rPr>
            <w:rStyle w:val="734"/>
            <w:rFonts w:ascii="Times New Roman" w:hAnsi="Times New Roman" w:eastAsia="Times New Roman" w:cs="Times New Roman"/>
            <w:sz w:val="24"/>
            <w:szCs w:val="24"/>
          </w:rPr>
          <w:t xml:space="preserve">https://doi.org/10.2139/ssrn.6541578</w:t>
        </w:r>
      </w:hyperlink>
      <w:r>
        <w:rPr>
          <w:rFonts w:ascii="Times New Roman" w:hAnsi="Times New Roman" w:eastAsia="Times New Roman" w:cs="Times New Roman"/>
          <w:sz w:val="24"/>
          <w:szCs w:val="24"/>
        </w:rPr>
        <w:t xml:space="preserve">.</w:t>
      </w:r>
      <w:bookmarkEnd w:id="70"/>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72" w:name="ref-maydom2023"/>
      <w:r>
        <w:rPr>
          <w:rFonts w:ascii="Times New Roman" w:hAnsi="Times New Roman" w:eastAsia="Times New Roman" w:cs="Times New Roman"/>
          <w:sz w:val="24"/>
          <w:szCs w:val="24"/>
        </w:rPr>
        <w:t xml:space="preserve">Maydom, B. 2023.</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«Economic informality and security policy preferences in Mexico and Latin America»</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Routledge Studies in Latin American Politics</w:t>
      </w:r>
      <w:r>
        <w:rPr>
          <w:rFonts w:ascii="Times New Roman" w:hAnsi="Times New Roman" w:eastAsia="Times New Roman" w:cs="Times New Roman"/>
          <w:sz w:val="24"/>
          <w:szCs w:val="24"/>
        </w:rPr>
        <w:t xml:space="preserve">, advance online publication.</w:t>
      </w:r>
      <w:r>
        <w:rPr>
          <w:rFonts w:ascii="Times New Roman" w:hAnsi="Times New Roman" w:eastAsia="Times New Roman" w:cs="Times New Roman"/>
          <w:sz w:val="24"/>
          <w:szCs w:val="24"/>
        </w:rPr>
        <w:t xml:space="preserve"> </w:t>
      </w:r>
      <w:hyperlink r:id="rId15" w:tooltip="https://doi.org/10.4324/9781003462132-7" w:history="1">
        <w:r>
          <w:rPr>
            <w:rStyle w:val="734"/>
            <w:rFonts w:ascii="Times New Roman" w:hAnsi="Times New Roman" w:eastAsia="Times New Roman" w:cs="Times New Roman"/>
            <w:sz w:val="24"/>
            <w:szCs w:val="24"/>
          </w:rPr>
          <w:t xml:space="preserve">https://doi.org/10.4324/9781003462132-7</w:t>
        </w:r>
      </w:hyperlink>
      <w:r>
        <w:rPr>
          <w:rFonts w:ascii="Times New Roman" w:hAnsi="Times New Roman" w:eastAsia="Times New Roman" w:cs="Times New Roman"/>
          <w:sz w:val="24"/>
          <w:szCs w:val="24"/>
        </w:rPr>
        <w:t xml:space="preserve">.</w:t>
      </w:r>
      <w:bookmarkEnd w:id="72"/>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73" w:name="ref-murillo2025factors"/>
      <w:r>
        <w:rPr>
          <w:rFonts w:ascii="Times New Roman" w:hAnsi="Times New Roman" w:eastAsia="Times New Roman" w:cs="Times New Roman"/>
          <w:sz w:val="24"/>
          <w:szCs w:val="24"/>
        </w:rPr>
        <w:t xml:space="preserve">Murillo, Angie, Wilma Guerrero, y Danilo Cuaical. 2025.</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«Factors Influencing the Probability of Affiliation to the Social Security System Among Informal Sector Workers in Ecuador»</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Cuestiones Econ</w:t>
      </w:r>
      <w:r>
        <w:rPr>
          <w:rFonts w:ascii="Times New Roman" w:hAnsi="Times New Roman" w:eastAsia="Times New Roman" w:cs="Times New Roman"/>
          <w:i/>
          <w:iCs/>
          <w:sz w:val="24"/>
          <w:szCs w:val="24"/>
        </w:rPr>
        <w:t xml:space="preserve">ó</w:t>
      </w:r>
      <w:r>
        <w:rPr>
          <w:rFonts w:ascii="Times New Roman" w:hAnsi="Times New Roman" w:eastAsia="Times New Roman" w:cs="Times New Roman"/>
          <w:i/>
          <w:iCs/>
          <w:sz w:val="24"/>
          <w:szCs w:val="24"/>
        </w:rPr>
        <w:t xml:space="preserve">micas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35 (1): 107-39.</w:t>
      </w:r>
      <w:bookmarkEnd w:id="73"/>
      <w:r>
        <w:rPr>
          <w:sz w:val="24"/>
          <w:szCs w:val="24"/>
        </w:rPr>
      </w:r>
      <w:r>
        <w:rPr>
          <w:rFonts w:ascii="Times New Roman" w:hAnsi="Times New Roman" w:eastAsia="Times New Roman" w:cs="Times New Roman"/>
          <w:sz w:val="24"/>
          <w:szCs w:val="24"/>
        </w:rPr>
      </w:r>
    </w:p>
    <w:p>
      <w:pPr>
        <w:pStyle w:val="699"/>
        <w:pBdr/>
        <w:spacing/>
        <w:ind/>
        <w:rPr>
          <w:rFonts w:ascii="Times New Roman" w:hAnsi="Times New Roman" w:cs="Times New Roman"/>
          <w:sz w:val="24"/>
          <w:szCs w:val="24"/>
        </w:rPr>
      </w:pPr>
      <w:r>
        <w:rPr>
          <w:rFonts w:ascii="Times New Roman" w:hAnsi="Times New Roman" w:eastAsia="Times New Roman" w:cs="Times New Roman"/>
          <w:sz w:val="24"/>
          <w:szCs w:val="24"/>
        </w:rPr>
      </w:r>
      <w:bookmarkStart w:id="75" w:name="ref-zepeda2023"/>
      <w:r>
        <w:rPr>
          <w:rFonts w:ascii="Times New Roman" w:hAnsi="Times New Roman" w:eastAsia="Times New Roman" w:cs="Times New Roman"/>
          <w:sz w:val="24"/>
          <w:szCs w:val="24"/>
        </w:rPr>
        <w:t xml:space="preserve">Zepeda Gil, Raúl. 2023.</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«Conceptualising criminal wars in Latin America»</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rPr>
        <w:t xml:space="preserve">Third World Quarterly</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44 (4): 776-94.</w:t>
      </w:r>
      <w:r>
        <w:rPr>
          <w:rFonts w:ascii="Times New Roman" w:hAnsi="Times New Roman" w:eastAsia="Times New Roman" w:cs="Times New Roman"/>
          <w:sz w:val="24"/>
          <w:szCs w:val="24"/>
        </w:rPr>
        <w:t xml:space="preserve"> </w:t>
      </w:r>
      <w:hyperlink r:id="rId16" w:tooltip="https://doi.org/10.1080/01436597.2022.2153665" w:history="1">
        <w:r>
          <w:rPr>
            <w:rStyle w:val="734"/>
            <w:rFonts w:ascii="Times New Roman" w:hAnsi="Times New Roman" w:eastAsia="Times New Roman" w:cs="Times New Roman"/>
            <w:sz w:val="24"/>
            <w:szCs w:val="24"/>
          </w:rPr>
          <w:t xml:space="preserve">https://doi.org/10.1080/01436597.2022.2153665</w:t>
        </w:r>
      </w:hyperlink>
      <w:r>
        <w:rPr>
          <w:rFonts w:ascii="Times New Roman" w:hAnsi="Times New Roman" w:eastAsia="Times New Roman" w:cs="Times New Roman"/>
          <w:sz w:val="24"/>
          <w:szCs w:val="24"/>
        </w:rPr>
        <w:t xml:space="preserve">.</w:t>
      </w:r>
      <w:bookmarkEnd w:id="75"/>
      <w:r>
        <w:rPr>
          <w:sz w:val="24"/>
          <w:szCs w:val="24"/>
        </w:rPr>
      </w:r>
      <w:bookmarkEnd w:id="76"/>
      <w:r>
        <w:rPr>
          <w:sz w:val="24"/>
          <w:szCs w:val="24"/>
        </w:rPr>
      </w:r>
      <w:bookmarkEnd w:id="77"/>
      <w:r>
        <w:rPr>
          <w:sz w:val="24"/>
          <w:szCs w:val="24"/>
        </w:rPr>
      </w:r>
      <w:r>
        <w:rPr>
          <w:rFonts w:ascii="Times New Roman" w:hAnsi="Times New Roman" w:eastAsia="Times New Roman" w:cs="Times New Roman"/>
          <w:sz w:val="24"/>
          <w:szCs w:val="24"/>
        </w:rPr>
      </w:r>
    </w:p>
    <w:sectPr>
      <w:footnotePr>
        <w:numRestart w:val="eachSect"/>
      </w:footnotePr>
      <w:endnotePr/>
      <w:type w:val="nextPage"/>
      <w:pgSz w:h="16838" w:orient="portrait" w:w="11906"/>
      <w:pgMar w:top="1417" w:right="1417" w:bottom="1417" w:left="1417"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es"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687"/>
    <w:next w:val="687"/>
    <w:link w:val="164"/>
    <w:uiPriority w:val="29"/>
    <w:qFormat/>
    <w:pPr>
      <w:pBdr/>
      <w:spacing w:before="160"/>
      <w:ind/>
      <w:jc w:val="center"/>
    </w:pPr>
    <w:rPr>
      <w:i/>
      <w:iCs/>
      <w:color w:val="404040" w:themeColor="text1" w:themeTint="BF"/>
    </w:rPr>
  </w:style>
  <w:style w:type="character" w:styleId="164">
    <w:name w:val="Quote Char"/>
    <w:basedOn w:val="721"/>
    <w:link w:val="163"/>
    <w:uiPriority w:val="29"/>
    <w:pPr>
      <w:pBdr/>
      <w:spacing/>
      <w:ind/>
    </w:pPr>
    <w:rPr>
      <w:i/>
      <w:iCs/>
      <w:color w:val="404040" w:themeColor="text1" w:themeTint="BF"/>
    </w:rPr>
  </w:style>
  <w:style w:type="paragraph" w:styleId="165">
    <w:name w:val="List Paragraph"/>
    <w:basedOn w:val="687"/>
    <w:uiPriority w:val="34"/>
    <w:qFormat/>
    <w:pPr>
      <w:pBdr/>
      <w:spacing/>
      <w:ind w:left="720"/>
      <w:contextualSpacing w:val="true"/>
    </w:pPr>
  </w:style>
  <w:style w:type="character" w:styleId="166">
    <w:name w:val="Intense Emphasis"/>
    <w:basedOn w:val="721"/>
    <w:uiPriority w:val="21"/>
    <w:qFormat/>
    <w:pPr>
      <w:pBdr/>
      <w:spacing/>
      <w:ind/>
    </w:pPr>
    <w:rPr>
      <w:i/>
      <w:iCs/>
      <w:color w:val="0f4761" w:themeColor="accent1" w:themeShade="BF"/>
    </w:rPr>
  </w:style>
  <w:style w:type="paragraph" w:styleId="167">
    <w:name w:val="Intense Quote"/>
    <w:basedOn w:val="687"/>
    <w:next w:val="687"/>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21"/>
    <w:link w:val="167"/>
    <w:uiPriority w:val="30"/>
    <w:pPr>
      <w:pBdr/>
      <w:spacing/>
      <w:ind/>
    </w:pPr>
    <w:rPr>
      <w:i/>
      <w:iCs/>
      <w:color w:val="0f4761" w:themeColor="accent1" w:themeShade="BF"/>
    </w:rPr>
  </w:style>
  <w:style w:type="character" w:styleId="169">
    <w:name w:val="Intense Reference"/>
    <w:basedOn w:val="721"/>
    <w:uiPriority w:val="32"/>
    <w:qFormat/>
    <w:pPr>
      <w:pBdr/>
      <w:spacing/>
      <w:ind/>
    </w:pPr>
    <w:rPr>
      <w:b/>
      <w:bCs/>
      <w:smallCaps/>
      <w:color w:val="0f4761" w:themeColor="accent1" w:themeShade="BF"/>
      <w:spacing w:val="5"/>
    </w:rPr>
  </w:style>
  <w:style w:type="paragraph" w:styleId="170">
    <w:name w:val="No Spacing"/>
    <w:basedOn w:val="687"/>
    <w:uiPriority w:val="1"/>
    <w:qFormat/>
    <w:pPr>
      <w:pBdr/>
      <w:spacing w:after="0" w:line="240" w:lineRule="auto"/>
      <w:ind/>
    </w:pPr>
  </w:style>
  <w:style w:type="character" w:styleId="171">
    <w:name w:val="Subtle Emphasis"/>
    <w:basedOn w:val="721"/>
    <w:uiPriority w:val="19"/>
    <w:qFormat/>
    <w:pPr>
      <w:pBdr/>
      <w:spacing/>
      <w:ind/>
    </w:pPr>
    <w:rPr>
      <w:i/>
      <w:iCs/>
      <w:color w:val="404040" w:themeColor="text1" w:themeTint="BF"/>
    </w:rPr>
  </w:style>
  <w:style w:type="character" w:styleId="172">
    <w:name w:val="Emphasis"/>
    <w:basedOn w:val="721"/>
    <w:uiPriority w:val="20"/>
    <w:qFormat/>
    <w:pPr>
      <w:pBdr/>
      <w:spacing/>
      <w:ind/>
    </w:pPr>
    <w:rPr>
      <w:i/>
      <w:iCs/>
    </w:rPr>
  </w:style>
  <w:style w:type="character" w:styleId="173">
    <w:name w:val="Strong"/>
    <w:basedOn w:val="721"/>
    <w:uiPriority w:val="22"/>
    <w:qFormat/>
    <w:pPr>
      <w:pBdr/>
      <w:spacing/>
      <w:ind/>
    </w:pPr>
    <w:rPr>
      <w:b/>
      <w:bCs/>
    </w:rPr>
  </w:style>
  <w:style w:type="character" w:styleId="174">
    <w:name w:val="Subtle Reference"/>
    <w:basedOn w:val="721"/>
    <w:uiPriority w:val="31"/>
    <w:qFormat/>
    <w:pPr>
      <w:pBdr/>
      <w:spacing/>
      <w:ind/>
    </w:pPr>
    <w:rPr>
      <w:smallCaps/>
      <w:color w:val="5a5a5a" w:themeColor="text1" w:themeTint="A5"/>
    </w:rPr>
  </w:style>
  <w:style w:type="character" w:styleId="175">
    <w:name w:val="Book Title"/>
    <w:basedOn w:val="721"/>
    <w:uiPriority w:val="33"/>
    <w:qFormat/>
    <w:pPr>
      <w:pBdr/>
      <w:spacing/>
      <w:ind/>
    </w:pPr>
    <w:rPr>
      <w:b/>
      <w:bCs/>
      <w:i/>
      <w:iCs/>
      <w:spacing w:val="5"/>
    </w:rPr>
  </w:style>
  <w:style w:type="paragraph" w:styleId="176">
    <w:name w:val="Header"/>
    <w:basedOn w:val="687"/>
    <w:link w:val="177"/>
    <w:uiPriority w:val="99"/>
    <w:unhideWhenUsed/>
    <w:pPr>
      <w:pBdr/>
      <w:tabs>
        <w:tab w:val="center" w:leader="none" w:pos="4844"/>
        <w:tab w:val="right" w:leader="none" w:pos="9689"/>
      </w:tabs>
      <w:spacing w:after="0" w:line="240" w:lineRule="auto"/>
      <w:ind/>
    </w:pPr>
  </w:style>
  <w:style w:type="character" w:styleId="177">
    <w:name w:val="Header Char"/>
    <w:basedOn w:val="721"/>
    <w:link w:val="176"/>
    <w:uiPriority w:val="99"/>
    <w:pPr>
      <w:pBdr/>
      <w:spacing/>
      <w:ind/>
    </w:pPr>
  </w:style>
  <w:style w:type="paragraph" w:styleId="178">
    <w:name w:val="Footer"/>
    <w:basedOn w:val="687"/>
    <w:link w:val="179"/>
    <w:uiPriority w:val="99"/>
    <w:unhideWhenUsed/>
    <w:pPr>
      <w:pBdr/>
      <w:tabs>
        <w:tab w:val="center" w:leader="none" w:pos="4844"/>
        <w:tab w:val="right" w:leader="none" w:pos="9689"/>
      </w:tabs>
      <w:spacing w:after="0" w:line="240" w:lineRule="auto"/>
      <w:ind/>
    </w:pPr>
  </w:style>
  <w:style w:type="character" w:styleId="179">
    <w:name w:val="Footer Char"/>
    <w:basedOn w:val="721"/>
    <w:link w:val="178"/>
    <w:uiPriority w:val="99"/>
    <w:pPr>
      <w:pBdr/>
      <w:spacing/>
      <w:ind/>
    </w:pPr>
  </w:style>
  <w:style w:type="character" w:styleId="182">
    <w:name w:val="Footnote Text Char"/>
    <w:basedOn w:val="721"/>
    <w:link w:val="719"/>
    <w:uiPriority w:val="99"/>
    <w:semiHidden/>
    <w:pPr>
      <w:pBdr/>
      <w:spacing/>
      <w:ind/>
    </w:pPr>
    <w:rPr>
      <w:sz w:val="20"/>
      <w:szCs w:val="20"/>
    </w:rPr>
  </w:style>
  <w:style w:type="paragraph" w:styleId="184">
    <w:name w:val="endnote text"/>
    <w:basedOn w:val="687"/>
    <w:link w:val="185"/>
    <w:uiPriority w:val="99"/>
    <w:semiHidden/>
    <w:unhideWhenUsed/>
    <w:pPr>
      <w:pBdr/>
      <w:spacing w:after="0" w:line="240" w:lineRule="auto"/>
      <w:ind/>
    </w:pPr>
    <w:rPr>
      <w:sz w:val="20"/>
      <w:szCs w:val="20"/>
    </w:rPr>
  </w:style>
  <w:style w:type="character" w:styleId="185">
    <w:name w:val="Endnote Text Char"/>
    <w:basedOn w:val="721"/>
    <w:link w:val="184"/>
    <w:uiPriority w:val="99"/>
    <w:semiHidden/>
    <w:pPr>
      <w:pBdr/>
      <w:spacing/>
      <w:ind/>
    </w:pPr>
    <w:rPr>
      <w:sz w:val="20"/>
      <w:szCs w:val="20"/>
    </w:rPr>
  </w:style>
  <w:style w:type="character" w:styleId="186">
    <w:name w:val="endnote reference"/>
    <w:basedOn w:val="721"/>
    <w:uiPriority w:val="99"/>
    <w:semiHidden/>
    <w:unhideWhenUsed/>
    <w:pPr>
      <w:pBdr/>
      <w:spacing/>
      <w:ind/>
    </w:pPr>
    <w:rPr>
      <w:vertAlign w:val="superscript"/>
    </w:rPr>
  </w:style>
  <w:style w:type="character" w:styleId="188">
    <w:name w:val="FollowedHyperlink"/>
    <w:basedOn w:val="721"/>
    <w:uiPriority w:val="99"/>
    <w:semiHidden/>
    <w:unhideWhenUsed/>
    <w:pPr>
      <w:pBdr/>
      <w:spacing/>
      <w:ind/>
    </w:pPr>
    <w:rPr>
      <w:color w:val="954f72" w:themeColor="followedHyperlink"/>
      <w:u w:val="single"/>
    </w:rPr>
  </w:style>
  <w:style w:type="paragraph" w:styleId="189">
    <w:name w:val="toc 1"/>
    <w:basedOn w:val="687"/>
    <w:next w:val="687"/>
    <w:uiPriority w:val="39"/>
    <w:unhideWhenUsed/>
    <w:pPr>
      <w:pBdr/>
      <w:spacing w:after="100"/>
      <w:ind/>
    </w:pPr>
  </w:style>
  <w:style w:type="paragraph" w:styleId="190">
    <w:name w:val="toc 2"/>
    <w:basedOn w:val="687"/>
    <w:next w:val="687"/>
    <w:uiPriority w:val="39"/>
    <w:unhideWhenUsed/>
    <w:pPr>
      <w:pBdr/>
      <w:spacing w:after="100"/>
      <w:ind w:left="220"/>
    </w:pPr>
  </w:style>
  <w:style w:type="paragraph" w:styleId="191">
    <w:name w:val="toc 3"/>
    <w:basedOn w:val="687"/>
    <w:next w:val="687"/>
    <w:uiPriority w:val="39"/>
    <w:unhideWhenUsed/>
    <w:pPr>
      <w:pBdr/>
      <w:spacing w:after="100"/>
      <w:ind w:left="440"/>
    </w:pPr>
  </w:style>
  <w:style w:type="paragraph" w:styleId="192">
    <w:name w:val="toc 4"/>
    <w:basedOn w:val="687"/>
    <w:next w:val="687"/>
    <w:uiPriority w:val="39"/>
    <w:unhideWhenUsed/>
    <w:pPr>
      <w:pBdr/>
      <w:spacing w:after="100"/>
      <w:ind w:left="660"/>
    </w:pPr>
  </w:style>
  <w:style w:type="paragraph" w:styleId="193">
    <w:name w:val="toc 5"/>
    <w:basedOn w:val="687"/>
    <w:next w:val="687"/>
    <w:uiPriority w:val="39"/>
    <w:unhideWhenUsed/>
    <w:pPr>
      <w:pBdr/>
      <w:spacing w:after="100"/>
      <w:ind w:left="880"/>
    </w:pPr>
  </w:style>
  <w:style w:type="paragraph" w:styleId="194">
    <w:name w:val="toc 6"/>
    <w:basedOn w:val="687"/>
    <w:next w:val="687"/>
    <w:uiPriority w:val="39"/>
    <w:unhideWhenUsed/>
    <w:pPr>
      <w:pBdr/>
      <w:spacing w:after="100"/>
      <w:ind w:left="1100"/>
    </w:pPr>
  </w:style>
  <w:style w:type="paragraph" w:styleId="195">
    <w:name w:val="toc 7"/>
    <w:basedOn w:val="687"/>
    <w:next w:val="687"/>
    <w:uiPriority w:val="39"/>
    <w:unhideWhenUsed/>
    <w:pPr>
      <w:pBdr/>
      <w:spacing w:after="100"/>
      <w:ind w:left="1320"/>
    </w:pPr>
  </w:style>
  <w:style w:type="paragraph" w:styleId="196">
    <w:name w:val="toc 8"/>
    <w:basedOn w:val="687"/>
    <w:next w:val="687"/>
    <w:uiPriority w:val="39"/>
    <w:unhideWhenUsed/>
    <w:pPr>
      <w:pBdr/>
      <w:spacing w:after="100"/>
      <w:ind w:left="1540"/>
    </w:pPr>
  </w:style>
  <w:style w:type="paragraph" w:styleId="197">
    <w:name w:val="toc 9"/>
    <w:basedOn w:val="687"/>
    <w:next w:val="687"/>
    <w:uiPriority w:val="39"/>
    <w:unhideWhenUsed/>
    <w:pPr>
      <w:pBdr/>
      <w:spacing w:after="100"/>
      <w:ind w:left="1760"/>
    </w:pPr>
  </w:style>
  <w:style w:type="character" w:styleId="198">
    <w:name w:val="Placeholder Text"/>
    <w:basedOn w:val="721"/>
    <w:uiPriority w:val="99"/>
    <w:semiHidden/>
    <w:pPr>
      <w:pBdr/>
      <w:spacing/>
      <w:ind/>
    </w:pPr>
    <w:rPr>
      <w:color w:val="666666"/>
    </w:rPr>
  </w:style>
  <w:style w:type="paragraph" w:styleId="209">
    <w:name w:val="table of figures"/>
    <w:basedOn w:val="687"/>
    <w:next w:val="687"/>
    <w:uiPriority w:val="99"/>
    <w:unhideWhenUsed/>
    <w:pPr>
      <w:pBdr/>
      <w:spacing w:after="0" w:afterAutospacing="0"/>
      <w:ind/>
    </w:pPr>
  </w:style>
  <w:style w:type="paragraph" w:styleId="687" w:default="1">
    <w:name w:val="Normal"/>
    <w:qFormat/>
    <w:pPr>
      <w:pBdr/>
      <w:spacing/>
      <w:ind/>
      <w:jc w:val="both"/>
    </w:pPr>
    <w:rPr>
      <w:rFonts w:ascii="Times New Roman" w:hAnsi="Times New Roman" w:eastAsia="Times New Roman" w:cs="Times New Roman"/>
      <w:color w:val="000000"/>
      <w:sz w:val="24"/>
    </w:rPr>
  </w:style>
  <w:style w:type="paragraph" w:styleId="688">
    <w:name w:val="Body Text"/>
    <w:basedOn w:val="687"/>
    <w:link w:val="730"/>
    <w:qFormat/>
    <w:pPr>
      <w:pBdr/>
      <w:spacing w:after="180" w:before="180"/>
      <w:ind/>
      <w:jc w:val="both"/>
    </w:pPr>
    <w:rPr>
      <w:rFonts w:ascii="Times New Roman" w:hAnsi="Times New Roman" w:eastAsia="Times New Roman" w:cs="Times New Roman"/>
      <w:color w:val="000000"/>
      <w:sz w:val="24"/>
    </w:rPr>
  </w:style>
  <w:style w:type="paragraph" w:styleId="689" w:customStyle="1">
    <w:name w:val="First Paragraph"/>
    <w:basedOn w:val="688"/>
    <w:next w:val="688"/>
    <w:qFormat/>
    <w:pPr>
      <w:pBdr/>
      <w:spacing/>
      <w:ind/>
      <w:jc w:val="both"/>
    </w:pPr>
    <w:rPr>
      <w:rFonts w:ascii="Times New Roman" w:hAnsi="Times New Roman" w:eastAsia="Times New Roman" w:cs="Times New Roman"/>
      <w:color w:val="000000"/>
      <w:sz w:val="24"/>
    </w:rPr>
  </w:style>
  <w:style w:type="paragraph" w:styleId="690" w:customStyle="1">
    <w:name w:val="Compact"/>
    <w:basedOn w:val="688"/>
    <w:qFormat/>
    <w:pPr>
      <w:pBdr/>
      <w:spacing w:after="36" w:before="36"/>
      <w:ind/>
    </w:pPr>
    <w:rPr>
      <w:rFonts w:ascii="Times New Roman" w:hAnsi="Times New Roman" w:eastAsia="Times New Roman" w:cs="Times New Roman"/>
      <w:color w:val="000000"/>
    </w:rPr>
  </w:style>
  <w:style w:type="paragraph" w:styleId="691">
    <w:name w:val="Title"/>
    <w:basedOn w:val="687"/>
    <w:next w:val="688"/>
    <w:link w:val="692"/>
    <w:uiPriority w:val="10"/>
    <w:qFormat/>
    <w:pPr>
      <w:pBdr/>
      <w:spacing w:after="80" w:line="240" w:lineRule="auto"/>
      <w:ind/>
      <w:contextualSpacing w:val="true"/>
      <w:jc w:val="center"/>
    </w:pPr>
    <w:rPr>
      <w:rFonts w:ascii="Times New Roman" w:hAnsi="Times New Roman" w:eastAsia="Times New Roman" w:cs="Times New Roman" w:asciiTheme="majorHAnsi" w:hAnsiTheme="majorHAnsi" w:eastAsiaTheme="majorEastAsia" w:cstheme="majorBidi"/>
      <w:b/>
      <w:color w:val="000000"/>
      <w:sz w:val="40"/>
      <w:szCs w:val="56"/>
    </w:rPr>
  </w:style>
  <w:style w:type="character" w:styleId="692" w:customStyle="1">
    <w:name w:val="Title Char"/>
    <w:basedOn w:val="721"/>
    <w:link w:val="691"/>
    <w:uiPriority w:val="10"/>
    <w:pPr>
      <w:pBdr/>
      <w:spacing/>
      <w:ind/>
    </w:pPr>
    <w:rPr>
      <w:rFonts w:ascii="Times New Roman" w:hAnsi="Times New Roman" w:eastAsia="Times New Roman" w:cs="Times New Roman" w:asciiTheme="majorHAnsi" w:hAnsiTheme="majorHAnsi" w:eastAsiaTheme="majorEastAsia" w:cstheme="majorBidi"/>
      <w:b/>
      <w:color w:val="000000"/>
      <w:sz w:val="40"/>
      <w:szCs w:val="56"/>
    </w:rPr>
  </w:style>
  <w:style w:type="paragraph" w:styleId="693">
    <w:name w:val="Subtitle"/>
    <w:basedOn w:val="691"/>
    <w:next w:val="688"/>
    <w:link w:val="694"/>
    <w:uiPriority w:val="11"/>
    <w:qFormat/>
    <w:pPr>
      <w:numPr>
        <w:ilvl w:val="1"/>
      </w:numPr>
      <w:pBdr/>
      <w:spacing/>
      <w:ind/>
    </w:pPr>
    <w:rPr>
      <w:rFonts w:ascii="Times New Roman" w:hAnsi="Times New Roman" w:eastAsia="Times New Roman" w:cs="Times New Roman" w:eastAsiaTheme="majorEastAsia" w:cstheme="majorBidi"/>
      <w:color w:val="000000"/>
      <w:spacing w:val="15"/>
      <w:sz w:val="28"/>
      <w:szCs w:val="28"/>
    </w:rPr>
  </w:style>
  <w:style w:type="character" w:styleId="694" w:customStyle="1">
    <w:name w:val="Subtitle Char"/>
    <w:basedOn w:val="721"/>
    <w:link w:val="693"/>
    <w:uiPriority w:val="11"/>
    <w:pPr>
      <w:pBdr/>
      <w:spacing/>
      <w:ind/>
    </w:pPr>
    <w:rPr>
      <w:rFonts w:ascii="Times New Roman" w:hAnsi="Times New Roman" w:eastAsia="Times New Roman" w:cs="Times New Roman" w:eastAsiaTheme="majorEastAsia" w:cstheme="majorBidi"/>
      <w:color w:val="000000"/>
      <w:spacing w:val="15"/>
      <w:sz w:val="28"/>
      <w:szCs w:val="28"/>
    </w:rPr>
  </w:style>
  <w:style w:type="paragraph" w:styleId="695" w:customStyle="1">
    <w:name w:val="Author"/>
    <w:basedOn w:val="691"/>
    <w:next w:val="688"/>
    <w:qFormat/>
    <w:pPr>
      <w:keepNext w:val="true"/>
      <w:keepLines w:val="true"/>
      <w:pBdr/>
      <w:spacing/>
      <w:ind/>
    </w:pPr>
    <w:rPr>
      <w:rFonts w:ascii="Times New Roman" w:hAnsi="Times New Roman" w:eastAsia="Times New Roman" w:cs="Times New Roman"/>
      <w:color w:val="000000"/>
      <w:sz w:val="24"/>
      <w:szCs w:val="24"/>
    </w:rPr>
  </w:style>
  <w:style w:type="paragraph" w:styleId="696">
    <w:name w:val="Date"/>
    <w:basedOn w:val="691"/>
    <w:next w:val="688"/>
    <w:qFormat/>
    <w:pPr>
      <w:keepNext w:val="true"/>
      <w:keepLines w:val="true"/>
      <w:pBdr/>
      <w:spacing/>
      <w:ind/>
    </w:pPr>
    <w:rPr>
      <w:rFonts w:ascii="Times New Roman" w:hAnsi="Times New Roman" w:eastAsia="Times New Roman" w:cs="Times New Roman"/>
      <w:color w:val="000000"/>
      <w:sz w:val="24"/>
      <w:szCs w:val="24"/>
    </w:rPr>
  </w:style>
  <w:style w:type="paragraph" w:styleId="697" w:customStyle="1">
    <w:name w:val="Abstract Title"/>
    <w:basedOn w:val="687"/>
    <w:next w:val="698"/>
    <w:qFormat/>
    <w:pPr>
      <w:keepNext w:val="true"/>
      <w:keepLines w:val="true"/>
      <w:pBdr/>
      <w:spacing w:after="0" w:before="300"/>
      <w:ind/>
      <w:jc w:val="center"/>
    </w:pPr>
    <w:rPr>
      <w:rFonts w:ascii="Times New Roman" w:hAnsi="Times New Roman" w:eastAsia="Times New Roman" w:cs="Times New Roman"/>
      <w:b/>
      <w:color w:val="000000"/>
      <w:sz w:val="40"/>
      <w:szCs w:val="20"/>
    </w:rPr>
  </w:style>
  <w:style w:type="paragraph" w:styleId="698" w:customStyle="1">
    <w:name w:val="Abstract"/>
    <w:basedOn w:val="687"/>
    <w:next w:val="688"/>
    <w:qFormat/>
    <w:pPr>
      <w:keepNext w:val="true"/>
      <w:keepLines w:val="true"/>
      <w:pBdr/>
      <w:spacing w:after="300" w:before="100"/>
      <w:ind/>
    </w:pPr>
    <w:rPr>
      <w:rFonts w:ascii="Times New Roman" w:hAnsi="Times New Roman" w:eastAsia="Times New Roman" w:cs="Times New Roman"/>
      <w:color w:val="000000"/>
      <w:sz w:val="20"/>
      <w:szCs w:val="20"/>
    </w:rPr>
  </w:style>
  <w:style w:type="paragraph" w:styleId="699">
    <w:name w:val="Bibliography"/>
    <w:basedOn w:val="687"/>
    <w:next w:val="699"/>
    <w:qFormat/>
    <w:pPr>
      <w:pBdr/>
      <w:spacing/>
      <w:ind w:hanging="720" w:left="720"/>
      <w:jc w:val="both"/>
    </w:pPr>
    <w:rPr>
      <w:rFonts w:ascii="Times New Roman" w:hAnsi="Times New Roman" w:eastAsia="Times New Roman" w:cs="Times New Roman"/>
      <w:color w:val="000000"/>
      <w:sz w:val="24"/>
    </w:rPr>
  </w:style>
  <w:style w:type="paragraph" w:styleId="700">
    <w:name w:val="Heading 1"/>
    <w:basedOn w:val="687"/>
    <w:next w:val="688"/>
    <w:link w:val="709"/>
    <w:uiPriority w:val="9"/>
    <w:qFormat/>
    <w:pPr>
      <w:keepNext w:val="true"/>
      <w:keepLines w:val="true"/>
      <w:pBdr/>
      <w:spacing w:after="80" w:before="360"/>
      <w:ind/>
      <w:outlineLvl w:val="0"/>
    </w:pPr>
    <w:rPr>
      <w:rFonts w:ascii="Times New Roman" w:hAnsi="Times New Roman" w:eastAsia="Times New Roman" w:cs="Times New Roman" w:asciiTheme="majorHAnsi" w:hAnsiTheme="majorHAnsi" w:eastAsiaTheme="majorEastAsia" w:cstheme="majorBidi"/>
      <w:b/>
      <w:color w:val="000000"/>
      <w:sz w:val="32"/>
      <w:szCs w:val="40"/>
    </w:rPr>
  </w:style>
  <w:style w:type="paragraph" w:styleId="701">
    <w:name w:val="Heading 2"/>
    <w:basedOn w:val="687"/>
    <w:next w:val="688"/>
    <w:link w:val="710"/>
    <w:uiPriority w:val="9"/>
    <w:semiHidden/>
    <w:unhideWhenUsed/>
    <w:qFormat/>
    <w:pPr>
      <w:keepNext w:val="true"/>
      <w:keepLines w:val="true"/>
      <w:pBdr/>
      <w:spacing w:after="80" w:before="160"/>
      <w:ind/>
      <w:outlineLvl w:val="1"/>
    </w:pPr>
    <w:rPr>
      <w:rFonts w:ascii="Times New Roman" w:hAnsi="Times New Roman" w:eastAsia="Times New Roman" w:cs="Times New Roman" w:asciiTheme="majorHAnsi" w:hAnsiTheme="majorHAnsi" w:eastAsiaTheme="majorEastAsia" w:cstheme="majorBidi"/>
      <w:b/>
      <w:color w:val="000000"/>
      <w:sz w:val="28"/>
      <w:szCs w:val="32"/>
    </w:rPr>
  </w:style>
  <w:style w:type="paragraph" w:styleId="702">
    <w:name w:val="Heading 3"/>
    <w:basedOn w:val="687"/>
    <w:next w:val="688"/>
    <w:link w:val="711"/>
    <w:uiPriority w:val="9"/>
    <w:semiHidden/>
    <w:unhideWhenUsed/>
    <w:qFormat/>
    <w:pPr>
      <w:keepNext w:val="true"/>
      <w:keepLines w:val="true"/>
      <w:pBdr/>
      <w:spacing w:after="80" w:before="160"/>
      <w:ind/>
      <w:outlineLvl w:val="2"/>
    </w:pPr>
    <w:rPr>
      <w:rFonts w:ascii="Times New Roman" w:hAnsi="Times New Roman" w:eastAsia="Times New Roman" w:cs="Times New Roman" w:eastAsiaTheme="majorEastAsia" w:cstheme="majorBidi"/>
      <w:b/>
      <w:color w:val="000000"/>
      <w:sz w:val="24"/>
      <w:szCs w:val="28"/>
    </w:rPr>
  </w:style>
  <w:style w:type="paragraph" w:styleId="703">
    <w:name w:val="Heading 4"/>
    <w:basedOn w:val="687"/>
    <w:next w:val="688"/>
    <w:link w:val="712"/>
    <w:uiPriority w:val="9"/>
    <w:semiHidden/>
    <w:unhideWhenUsed/>
    <w:qFormat/>
    <w:pPr>
      <w:keepNext w:val="true"/>
      <w:keepLines w:val="true"/>
      <w:pBdr/>
      <w:spacing w:after="40" w:before="80"/>
      <w:ind/>
      <w:outlineLvl w:val="3"/>
    </w:pPr>
    <w:rPr>
      <w:rFonts w:ascii="Times New Roman" w:hAnsi="Times New Roman" w:eastAsia="Times New Roman" w:cs="Times New Roman" w:eastAsiaTheme="majorEastAsia" w:cstheme="majorBidi"/>
      <w:i/>
      <w:iCs/>
      <w:color w:val="000000"/>
    </w:rPr>
  </w:style>
  <w:style w:type="paragraph" w:styleId="704">
    <w:name w:val="Heading 5"/>
    <w:basedOn w:val="687"/>
    <w:next w:val="688"/>
    <w:link w:val="713"/>
    <w:uiPriority w:val="9"/>
    <w:semiHidden/>
    <w:unhideWhenUsed/>
    <w:qFormat/>
    <w:pPr>
      <w:keepNext w:val="true"/>
      <w:keepLines w:val="true"/>
      <w:pBdr/>
      <w:spacing w:after="40" w:before="80"/>
      <w:ind/>
      <w:outlineLvl w:val="4"/>
    </w:pPr>
    <w:rPr>
      <w:rFonts w:ascii="Times New Roman" w:hAnsi="Times New Roman" w:eastAsia="Times New Roman" w:cs="Times New Roman" w:eastAsiaTheme="majorEastAsia" w:cstheme="majorBidi"/>
      <w:color w:val="000000"/>
    </w:rPr>
  </w:style>
  <w:style w:type="paragraph" w:styleId="705">
    <w:name w:val="Heading 6"/>
    <w:basedOn w:val="687"/>
    <w:next w:val="688"/>
    <w:link w:val="714"/>
    <w:uiPriority w:val="9"/>
    <w:semiHidden/>
    <w:unhideWhenUsed/>
    <w:qFormat/>
    <w:pPr>
      <w:keepNext w:val="true"/>
      <w:keepLines w:val="true"/>
      <w:pBdr/>
      <w:spacing w:after="0" w:before="40"/>
      <w:ind/>
      <w:outlineLvl w:val="5"/>
    </w:pPr>
    <w:rPr>
      <w:rFonts w:ascii="Times New Roman" w:hAnsi="Times New Roman" w:eastAsia="Times New Roman" w:cs="Times New Roman" w:eastAsiaTheme="majorEastAsia" w:cstheme="majorBidi"/>
      <w:i/>
      <w:iCs/>
      <w:color w:val="000000"/>
    </w:rPr>
  </w:style>
  <w:style w:type="paragraph" w:styleId="706">
    <w:name w:val="Heading 7"/>
    <w:basedOn w:val="687"/>
    <w:next w:val="688"/>
    <w:link w:val="715"/>
    <w:uiPriority w:val="9"/>
    <w:semiHidden/>
    <w:unhideWhenUsed/>
    <w:qFormat/>
    <w:pPr>
      <w:keepNext w:val="true"/>
      <w:keepLines w:val="true"/>
      <w:pBdr/>
      <w:spacing w:after="0" w:before="40"/>
      <w:ind/>
      <w:outlineLvl w:val="6"/>
    </w:pPr>
    <w:rPr>
      <w:rFonts w:ascii="Times New Roman" w:hAnsi="Times New Roman" w:eastAsia="Times New Roman" w:cs="Times New Roman" w:eastAsiaTheme="majorEastAsia" w:cstheme="majorBidi"/>
      <w:color w:val="000000"/>
    </w:rPr>
  </w:style>
  <w:style w:type="paragraph" w:styleId="707">
    <w:name w:val="Heading 8"/>
    <w:basedOn w:val="687"/>
    <w:next w:val="688"/>
    <w:link w:val="716"/>
    <w:uiPriority w:val="9"/>
    <w:semiHidden/>
    <w:unhideWhenUsed/>
    <w:qFormat/>
    <w:pPr>
      <w:keepNext w:val="true"/>
      <w:keepLines w:val="true"/>
      <w:pBdr/>
      <w:spacing w:after="0"/>
      <w:ind/>
      <w:outlineLvl w:val="7"/>
    </w:pPr>
    <w:rPr>
      <w:rFonts w:ascii="Times New Roman" w:hAnsi="Times New Roman" w:eastAsia="Times New Roman" w:cs="Times New Roman" w:eastAsiaTheme="majorEastAsia" w:cstheme="majorBidi"/>
      <w:i/>
      <w:iCs/>
      <w:color w:val="000000"/>
    </w:rPr>
  </w:style>
  <w:style w:type="paragraph" w:styleId="708">
    <w:name w:val="Heading 9"/>
    <w:basedOn w:val="687"/>
    <w:next w:val="688"/>
    <w:link w:val="717"/>
    <w:uiPriority w:val="9"/>
    <w:semiHidden/>
    <w:unhideWhenUsed/>
    <w:qFormat/>
    <w:pPr>
      <w:keepNext w:val="true"/>
      <w:keepLines w:val="true"/>
      <w:pBdr/>
      <w:spacing w:after="0"/>
      <w:ind/>
      <w:outlineLvl w:val="8"/>
    </w:pPr>
    <w:rPr>
      <w:rFonts w:ascii="Times New Roman" w:hAnsi="Times New Roman" w:eastAsia="Times New Roman" w:cs="Times New Roman" w:eastAsiaTheme="majorEastAsia" w:cstheme="majorBidi"/>
      <w:color w:val="000000"/>
    </w:rPr>
  </w:style>
  <w:style w:type="character" w:styleId="709" w:customStyle="1">
    <w:name w:val="Heading 1 Char"/>
    <w:basedOn w:val="721"/>
    <w:link w:val="700"/>
    <w:uiPriority w:val="9"/>
    <w:pPr>
      <w:pBdr/>
      <w:spacing/>
      <w:ind/>
    </w:pPr>
    <w:rPr>
      <w:rFonts w:ascii="Times New Roman" w:hAnsi="Times New Roman" w:eastAsia="Times New Roman" w:cs="Times New Roman" w:asciiTheme="majorHAnsi" w:hAnsiTheme="majorHAnsi" w:eastAsiaTheme="majorEastAsia" w:cstheme="majorBidi"/>
      <w:b/>
      <w:color w:val="000000"/>
      <w:sz w:val="32"/>
      <w:szCs w:val="40"/>
    </w:rPr>
  </w:style>
  <w:style w:type="character" w:styleId="710" w:customStyle="1">
    <w:name w:val="Heading 2 Char"/>
    <w:basedOn w:val="721"/>
    <w:link w:val="701"/>
    <w:uiPriority w:val="9"/>
    <w:semiHidden/>
    <w:pPr>
      <w:pBdr/>
      <w:spacing/>
      <w:ind/>
    </w:pPr>
    <w:rPr>
      <w:rFonts w:ascii="Times New Roman" w:hAnsi="Times New Roman" w:eastAsia="Times New Roman" w:cs="Times New Roman" w:asciiTheme="majorHAnsi" w:hAnsiTheme="majorHAnsi" w:eastAsiaTheme="majorEastAsia" w:cstheme="majorBidi"/>
      <w:b/>
      <w:color w:val="000000"/>
      <w:sz w:val="28"/>
      <w:szCs w:val="32"/>
    </w:rPr>
  </w:style>
  <w:style w:type="character" w:styleId="711" w:customStyle="1">
    <w:name w:val="Heading 3 Char"/>
    <w:basedOn w:val="721"/>
    <w:link w:val="702"/>
    <w:uiPriority w:val="9"/>
    <w:semiHidden/>
    <w:pPr>
      <w:pBdr/>
      <w:spacing/>
      <w:ind/>
    </w:pPr>
    <w:rPr>
      <w:rFonts w:ascii="Times New Roman" w:hAnsi="Times New Roman" w:eastAsia="Times New Roman" w:cs="Times New Roman" w:eastAsiaTheme="majorEastAsia" w:cstheme="majorBidi"/>
      <w:b/>
      <w:color w:val="000000"/>
      <w:sz w:val="24"/>
      <w:szCs w:val="28"/>
    </w:rPr>
  </w:style>
  <w:style w:type="character" w:styleId="712" w:customStyle="1">
    <w:name w:val="Heading 4 Char"/>
    <w:basedOn w:val="721"/>
    <w:link w:val="703"/>
    <w:uiPriority w:val="9"/>
    <w:semiHidden/>
    <w:pPr>
      <w:pBdr/>
      <w:spacing/>
      <w:ind/>
    </w:pPr>
    <w:rPr>
      <w:rFonts w:ascii="Times New Roman" w:hAnsi="Times New Roman" w:eastAsia="Times New Roman" w:cs="Times New Roman" w:eastAsiaTheme="majorEastAsia" w:cstheme="majorBidi"/>
      <w:i/>
      <w:iCs/>
      <w:color w:val="000000"/>
    </w:rPr>
  </w:style>
  <w:style w:type="character" w:styleId="713" w:customStyle="1">
    <w:name w:val="Heading 5 Char"/>
    <w:basedOn w:val="721"/>
    <w:link w:val="704"/>
    <w:uiPriority w:val="9"/>
    <w:semiHidden/>
    <w:pPr>
      <w:pBdr/>
      <w:spacing/>
      <w:ind/>
    </w:pPr>
    <w:rPr>
      <w:rFonts w:ascii="Times New Roman" w:hAnsi="Times New Roman" w:eastAsia="Times New Roman" w:cs="Times New Roman" w:eastAsiaTheme="majorEastAsia" w:cstheme="majorBidi"/>
      <w:color w:val="000000"/>
    </w:rPr>
  </w:style>
  <w:style w:type="character" w:styleId="714" w:customStyle="1">
    <w:name w:val="Heading 6 Char"/>
    <w:basedOn w:val="721"/>
    <w:link w:val="705"/>
    <w:uiPriority w:val="9"/>
    <w:semiHidden/>
    <w:pPr>
      <w:pBdr/>
      <w:spacing/>
      <w:ind/>
    </w:pPr>
    <w:rPr>
      <w:rFonts w:ascii="Times New Roman" w:hAnsi="Times New Roman" w:eastAsia="Times New Roman" w:cs="Times New Roman" w:eastAsiaTheme="majorEastAsia" w:cstheme="majorBidi"/>
      <w:i/>
      <w:iCs/>
      <w:color w:val="000000"/>
    </w:rPr>
  </w:style>
  <w:style w:type="character" w:styleId="715" w:customStyle="1">
    <w:name w:val="Heading 7 Char"/>
    <w:basedOn w:val="721"/>
    <w:link w:val="706"/>
    <w:uiPriority w:val="9"/>
    <w:semiHidden/>
    <w:pPr>
      <w:pBdr/>
      <w:spacing/>
      <w:ind/>
    </w:pPr>
    <w:rPr>
      <w:rFonts w:ascii="Times New Roman" w:hAnsi="Times New Roman" w:eastAsia="Times New Roman" w:cs="Times New Roman" w:eastAsiaTheme="majorEastAsia" w:cstheme="majorBidi"/>
      <w:color w:val="000000"/>
    </w:rPr>
  </w:style>
  <w:style w:type="character" w:styleId="716" w:customStyle="1">
    <w:name w:val="Heading 8 Char"/>
    <w:basedOn w:val="721"/>
    <w:link w:val="707"/>
    <w:uiPriority w:val="9"/>
    <w:semiHidden/>
    <w:pPr>
      <w:pBdr/>
      <w:spacing/>
      <w:ind/>
    </w:pPr>
    <w:rPr>
      <w:rFonts w:ascii="Times New Roman" w:hAnsi="Times New Roman" w:eastAsia="Times New Roman" w:cs="Times New Roman" w:eastAsiaTheme="majorEastAsia" w:cstheme="majorBidi"/>
      <w:i/>
      <w:iCs/>
      <w:color w:val="000000"/>
    </w:rPr>
  </w:style>
  <w:style w:type="character" w:styleId="717" w:customStyle="1">
    <w:name w:val="Heading 9 Char"/>
    <w:basedOn w:val="721"/>
    <w:link w:val="708"/>
    <w:uiPriority w:val="9"/>
    <w:semiHidden/>
    <w:pPr>
      <w:pBdr/>
      <w:spacing/>
      <w:ind/>
    </w:pPr>
    <w:rPr>
      <w:rFonts w:ascii="Times New Roman" w:hAnsi="Times New Roman" w:eastAsia="Times New Roman" w:cs="Times New Roman" w:eastAsiaTheme="majorEastAsia" w:cstheme="majorBidi"/>
      <w:color w:val="000000"/>
    </w:rPr>
  </w:style>
  <w:style w:type="paragraph" w:styleId="718">
    <w:name w:val="Block Text"/>
    <w:basedOn w:val="688"/>
    <w:next w:val="688"/>
    <w:uiPriority w:val="9"/>
    <w:unhideWhenUsed/>
    <w:qFormat/>
    <w:pPr>
      <w:pBdr/>
      <w:spacing w:after="100" w:before="100"/>
      <w:ind w:right="480" w:firstLine="0" w:left="480"/>
    </w:pPr>
    <w:rPr>
      <w:rFonts w:ascii="Times New Roman" w:hAnsi="Times New Roman" w:eastAsia="Times New Roman" w:cs="Times New Roman"/>
      <w:color w:val="000000"/>
    </w:rPr>
  </w:style>
  <w:style w:type="paragraph" w:styleId="719">
    <w:name w:val="footnote text"/>
    <w:basedOn w:val="687"/>
    <w:next w:val="719"/>
    <w:uiPriority w:val="9"/>
    <w:unhideWhenUsed/>
    <w:qFormat/>
    <w:pPr>
      <w:pBdr/>
      <w:spacing/>
      <w:ind/>
    </w:pPr>
    <w:rPr>
      <w:rFonts w:ascii="Times New Roman" w:hAnsi="Times New Roman" w:eastAsia="Times New Roman" w:cs="Times New Roman"/>
      <w:color w:val="000000"/>
    </w:rPr>
  </w:style>
  <w:style w:type="paragraph" w:styleId="720">
    <w:name w:val="Footnote Block Text"/>
    <w:basedOn w:val="719"/>
    <w:next w:val="719"/>
    <w:uiPriority w:val="9"/>
    <w:unhideWhenUsed/>
    <w:qFormat/>
    <w:pPr>
      <w:pBdr/>
      <w:spacing w:after="100" w:before="100"/>
      <w:ind w:right="480" w:firstLine="0" w:left="480"/>
    </w:pPr>
    <w:rPr>
      <w:rFonts w:ascii="Times New Roman" w:hAnsi="Times New Roman" w:eastAsia="Times New Roman" w:cs="Times New Roman"/>
      <w:color w:val="000000"/>
    </w:rPr>
  </w:style>
  <w:style w:type="character" w:styleId="721" w:default="1">
    <w:name w:val="Default Paragraph Font"/>
    <w:semiHidden/>
    <w:unhideWhenUsed/>
    <w:pPr>
      <w:pBdr/>
      <w:spacing/>
      <w:ind/>
    </w:pPr>
    <w:rPr>
      <w:rFonts w:ascii="Times New Roman" w:hAnsi="Times New Roman" w:eastAsia="Times New Roman" w:cs="Times New Roman"/>
      <w:color w:val="000000"/>
    </w:rPr>
  </w:style>
  <w:style w:type="table" w:styleId="722">
    <w:name w:val="Table"/>
    <w:semiHidden/>
    <w:unhideWhenUsed/>
    <w:qFormat/>
    <w:pPr>
      <w:pBdr/>
      <w:spacing/>
      <w:ind/>
    </w:pPr>
    <w:rPr>
      <w:rFonts w:ascii="Times New Roman" w:hAnsi="Times New Roman" w:eastAsia="Times New Roman" w:cs="Times New Roman"/>
      <w:color w:val="000000"/>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3" w:customStyle="1">
    <w:name w:val="Definition Term"/>
    <w:basedOn w:val="687"/>
    <w:next w:val="724"/>
    <w:pPr>
      <w:keepNext w:val="true"/>
      <w:keepLines w:val="true"/>
      <w:pBdr/>
      <w:spacing w:after="0"/>
      <w:ind/>
    </w:pPr>
    <w:rPr>
      <w:rFonts w:ascii="Times New Roman" w:hAnsi="Times New Roman" w:eastAsia="Times New Roman" w:cs="Times New Roman"/>
      <w:b/>
      <w:color w:val="000000"/>
    </w:rPr>
  </w:style>
  <w:style w:type="paragraph" w:styleId="724" w:customStyle="1">
    <w:name w:val="Definition"/>
    <w:basedOn w:val="687"/>
    <w:pPr>
      <w:pBdr/>
      <w:spacing/>
      <w:ind/>
    </w:pPr>
    <w:rPr>
      <w:rFonts w:ascii="Times New Roman" w:hAnsi="Times New Roman" w:eastAsia="Times New Roman" w:cs="Times New Roman"/>
      <w:color w:val="000000"/>
    </w:rPr>
  </w:style>
  <w:style w:type="paragraph" w:styleId="725">
    <w:name w:val="Caption"/>
    <w:basedOn w:val="687"/>
    <w:link w:val="730"/>
    <w:pPr>
      <w:pBdr/>
      <w:spacing w:after="120" w:before="0"/>
      <w:ind/>
    </w:pPr>
    <w:rPr>
      <w:rFonts w:ascii="Times New Roman" w:hAnsi="Times New Roman" w:eastAsia="Times New Roman" w:cs="Times New Roman"/>
      <w:i/>
      <w:color w:val="000000"/>
    </w:rPr>
  </w:style>
  <w:style w:type="paragraph" w:styleId="726" w:customStyle="1">
    <w:name w:val="Table Caption"/>
    <w:basedOn w:val="725"/>
    <w:pPr>
      <w:keepNext w:val="true"/>
      <w:pBdr/>
      <w:spacing/>
      <w:ind/>
    </w:pPr>
    <w:rPr>
      <w:rFonts w:ascii="Times New Roman" w:hAnsi="Times New Roman" w:eastAsia="Times New Roman" w:cs="Times New Roman"/>
      <w:color w:val="000000"/>
    </w:rPr>
  </w:style>
  <w:style w:type="paragraph" w:styleId="727" w:customStyle="1">
    <w:name w:val="Image Caption"/>
    <w:basedOn w:val="725"/>
    <w:pPr>
      <w:pBdr/>
      <w:spacing/>
      <w:ind/>
    </w:pPr>
    <w:rPr>
      <w:rFonts w:ascii="Times New Roman" w:hAnsi="Times New Roman" w:eastAsia="Times New Roman" w:cs="Times New Roman"/>
      <w:color w:val="000000"/>
    </w:rPr>
  </w:style>
  <w:style w:type="paragraph" w:styleId="728" w:customStyle="1">
    <w:name w:val="Figure"/>
    <w:basedOn w:val="687"/>
    <w:pPr>
      <w:pBdr/>
      <w:spacing/>
      <w:ind/>
    </w:pPr>
    <w:rPr>
      <w:rFonts w:ascii="Times New Roman" w:hAnsi="Times New Roman" w:eastAsia="Times New Roman" w:cs="Times New Roman"/>
      <w:color w:val="000000"/>
    </w:rPr>
  </w:style>
  <w:style w:type="paragraph" w:styleId="729" w:customStyle="1">
    <w:name w:val="Captioned Figure"/>
    <w:basedOn w:val="728"/>
    <w:pPr>
      <w:keepNext w:val="true"/>
      <w:pBdr/>
      <w:spacing/>
      <w:ind/>
    </w:pPr>
    <w:rPr>
      <w:rFonts w:ascii="Times New Roman" w:hAnsi="Times New Roman" w:eastAsia="Times New Roman" w:cs="Times New Roman"/>
      <w:color w:val="000000"/>
    </w:rPr>
  </w:style>
  <w:style w:type="character" w:styleId="730" w:customStyle="1">
    <w:name w:val="Body Text Char"/>
    <w:basedOn w:val="721"/>
    <w:link w:val="688"/>
    <w:pPr>
      <w:pBdr/>
      <w:spacing/>
      <w:ind/>
    </w:pPr>
    <w:rPr>
      <w:rFonts w:ascii="Times New Roman" w:hAnsi="Times New Roman" w:eastAsia="Times New Roman" w:cs="Times New Roman"/>
      <w:color w:val="000000"/>
      <w:sz w:val="24"/>
    </w:rPr>
  </w:style>
  <w:style w:type="character" w:styleId="731" w:customStyle="1">
    <w:name w:val="Verbatim Char"/>
    <w:basedOn w:val="730"/>
    <w:pPr>
      <w:pBdr/>
      <w:spacing/>
      <w:ind/>
    </w:pPr>
    <w:rPr>
      <w:rFonts w:ascii="Times New Roman" w:hAnsi="Times New Roman" w:eastAsia="Times New Roman" w:cs="Times New Roman"/>
      <w:color w:val="000000"/>
      <w:sz w:val="22"/>
    </w:rPr>
  </w:style>
  <w:style w:type="character" w:styleId="732" w:customStyle="1">
    <w:name w:val="Section Number"/>
    <w:basedOn w:val="730"/>
    <w:pPr>
      <w:pBdr/>
      <w:spacing/>
      <w:ind/>
    </w:pPr>
    <w:rPr>
      <w:rFonts w:ascii="Times New Roman" w:hAnsi="Times New Roman" w:eastAsia="Times New Roman" w:cs="Times New Roman"/>
      <w:color w:val="000000"/>
    </w:rPr>
  </w:style>
  <w:style w:type="character" w:styleId="733">
    <w:name w:val="footnote reference"/>
    <w:basedOn w:val="730"/>
    <w:pPr>
      <w:pBdr/>
      <w:spacing/>
      <w:ind/>
    </w:pPr>
    <w:rPr>
      <w:rFonts w:ascii="Times New Roman" w:hAnsi="Times New Roman" w:eastAsia="Times New Roman" w:cs="Times New Roman"/>
      <w:color w:val="000000"/>
      <w:vertAlign w:val="superscript"/>
    </w:rPr>
  </w:style>
  <w:style w:type="character" w:styleId="734">
    <w:name w:val="Hyperlink"/>
    <w:basedOn w:val="730"/>
    <w:pPr>
      <w:pBdr/>
      <w:spacing/>
      <w:ind/>
    </w:pPr>
    <w:rPr>
      <w:rFonts w:ascii="Times New Roman" w:hAnsi="Times New Roman" w:eastAsia="Times New Roman" w:cs="Times New Roman"/>
      <w:color w:val="000000"/>
    </w:rPr>
  </w:style>
  <w:style w:type="paragraph" w:styleId="735">
    <w:name w:val="TOC Heading"/>
    <w:basedOn w:val="700"/>
    <w:next w:val="688"/>
    <w:uiPriority w:val="39"/>
    <w:unhideWhenUsed/>
    <w:qFormat/>
    <w:pPr>
      <w:pBdr/>
      <w:spacing w:before="240" w:line="259" w:lineRule="auto"/>
      <w:ind/>
      <w:outlineLvl w:val="9"/>
    </w:pPr>
    <w:rPr>
      <w:rFonts w:ascii="Times New Roman" w:hAnsi="Times New Roman" w:eastAsia="Times New Roman" w:cs="Times New Roman" w:asciiTheme="majorHAnsi" w:hAnsiTheme="majorHAnsi" w:eastAsiaTheme="majorEastAsia" w:cstheme="majorBidi"/>
      <w:b w:val="0"/>
      <w:bCs w:val="0"/>
      <w:color w:val="000000"/>
    </w:rPr>
  </w:style>
  <w:style w:type="paragraph" w:styleId="736" w:customStyle="1">
    <w:name w:val="Source Code"/>
    <w:basedOn w:val="687"/>
    <w:link w:val="731"/>
    <w:pPr>
      <w:pBdr/>
      <w:spacing/>
      <w:ind/>
    </w:pPr>
  </w:style>
  <w:style w:type="character" w:styleId="737" w:customStyle="1">
    <w:name w:val="KeywordTok"/>
    <w:basedOn w:val="731"/>
    <w:pPr>
      <w:pBdr/>
      <w:spacing/>
      <w:ind/>
    </w:pPr>
    <w:rPr>
      <w:color w:val="d73a49"/>
    </w:rPr>
  </w:style>
  <w:style w:type="character" w:styleId="738" w:customStyle="1">
    <w:name w:val="DataTypeTok"/>
    <w:basedOn w:val="731"/>
    <w:pPr>
      <w:pBdr/>
      <w:spacing/>
      <w:ind/>
    </w:pPr>
    <w:rPr>
      <w:color w:val="d73a49"/>
    </w:rPr>
  </w:style>
  <w:style w:type="character" w:styleId="739" w:customStyle="1">
    <w:name w:val="DecValTok"/>
    <w:basedOn w:val="731"/>
    <w:pPr>
      <w:pBdr/>
      <w:spacing/>
      <w:ind/>
    </w:pPr>
    <w:rPr>
      <w:color w:val="005cc5"/>
    </w:rPr>
  </w:style>
  <w:style w:type="character" w:styleId="740" w:customStyle="1">
    <w:name w:val="BaseNTok"/>
    <w:basedOn w:val="731"/>
    <w:pPr>
      <w:pBdr/>
      <w:spacing/>
      <w:ind/>
    </w:pPr>
    <w:rPr>
      <w:color w:val="005cc5"/>
    </w:rPr>
  </w:style>
  <w:style w:type="character" w:styleId="741" w:customStyle="1">
    <w:name w:val="FloatTok"/>
    <w:basedOn w:val="731"/>
    <w:pPr>
      <w:pBdr/>
      <w:spacing/>
      <w:ind/>
    </w:pPr>
    <w:rPr>
      <w:color w:val="005cc5"/>
    </w:rPr>
  </w:style>
  <w:style w:type="character" w:styleId="742" w:customStyle="1">
    <w:name w:val="ConstantTok"/>
    <w:basedOn w:val="731"/>
    <w:pPr>
      <w:pBdr/>
      <w:spacing/>
      <w:ind/>
    </w:pPr>
    <w:rPr>
      <w:color w:val="005cc5"/>
    </w:rPr>
  </w:style>
  <w:style w:type="character" w:styleId="743" w:customStyle="1">
    <w:name w:val="CharTok"/>
    <w:basedOn w:val="731"/>
    <w:pPr>
      <w:pBdr/>
      <w:spacing/>
      <w:ind/>
    </w:pPr>
    <w:rPr>
      <w:color w:val="032f62"/>
    </w:rPr>
  </w:style>
  <w:style w:type="character" w:styleId="744" w:customStyle="1">
    <w:name w:val="SpecialCharTok"/>
    <w:basedOn w:val="731"/>
    <w:pPr>
      <w:pBdr/>
      <w:spacing/>
      <w:ind/>
    </w:pPr>
    <w:rPr>
      <w:color w:val="005cc5"/>
    </w:rPr>
  </w:style>
  <w:style w:type="character" w:styleId="745" w:customStyle="1">
    <w:name w:val="StringTok"/>
    <w:basedOn w:val="731"/>
    <w:pPr>
      <w:pBdr/>
      <w:spacing/>
      <w:ind/>
    </w:pPr>
    <w:rPr>
      <w:color w:val="032f62"/>
    </w:rPr>
  </w:style>
  <w:style w:type="character" w:styleId="746" w:customStyle="1">
    <w:name w:val="VerbatimStringTok"/>
    <w:basedOn w:val="731"/>
    <w:pPr>
      <w:pBdr/>
      <w:spacing/>
      <w:ind/>
    </w:pPr>
    <w:rPr>
      <w:color w:val="032f62"/>
    </w:rPr>
  </w:style>
  <w:style w:type="character" w:styleId="747" w:customStyle="1">
    <w:name w:val="SpecialStringTok"/>
    <w:basedOn w:val="731"/>
    <w:pPr>
      <w:pBdr/>
      <w:spacing/>
      <w:ind/>
    </w:pPr>
    <w:rPr>
      <w:color w:val="032f62"/>
    </w:rPr>
  </w:style>
  <w:style w:type="character" w:styleId="748" w:customStyle="1">
    <w:name w:val="ImportTok"/>
    <w:basedOn w:val="731"/>
    <w:pPr>
      <w:pBdr/>
      <w:spacing/>
      <w:ind/>
    </w:pPr>
    <w:rPr>
      <w:color w:val="032f62"/>
    </w:rPr>
  </w:style>
  <w:style w:type="character" w:styleId="749" w:customStyle="1">
    <w:name w:val="CommentTok"/>
    <w:basedOn w:val="731"/>
    <w:pPr>
      <w:pBdr/>
      <w:spacing/>
      <w:ind/>
    </w:pPr>
    <w:rPr>
      <w:color w:val="6a737d"/>
    </w:rPr>
  </w:style>
  <w:style w:type="character" w:styleId="750" w:customStyle="1">
    <w:name w:val="DocumentationTok"/>
    <w:basedOn w:val="731"/>
    <w:pPr>
      <w:pBdr/>
      <w:spacing/>
      <w:ind/>
    </w:pPr>
    <w:rPr>
      <w:color w:val="6a737d"/>
    </w:rPr>
  </w:style>
  <w:style w:type="character" w:styleId="751" w:customStyle="1">
    <w:name w:val="AnnotationTok"/>
    <w:basedOn w:val="731"/>
    <w:pPr>
      <w:pBdr/>
      <w:spacing/>
      <w:ind/>
    </w:pPr>
    <w:rPr>
      <w:color w:val="6a737d"/>
    </w:rPr>
  </w:style>
  <w:style w:type="character" w:styleId="752" w:customStyle="1">
    <w:name w:val="CommentVarTok"/>
    <w:basedOn w:val="731"/>
    <w:pPr>
      <w:pBdr/>
      <w:spacing/>
      <w:ind/>
    </w:pPr>
    <w:rPr>
      <w:color w:val="6a737d"/>
    </w:rPr>
  </w:style>
  <w:style w:type="character" w:styleId="753" w:customStyle="1">
    <w:name w:val="OtherTok"/>
    <w:basedOn w:val="731"/>
    <w:pPr>
      <w:pBdr/>
      <w:spacing/>
      <w:ind/>
    </w:pPr>
    <w:rPr>
      <w:color w:val="6f42c1"/>
    </w:rPr>
  </w:style>
  <w:style w:type="character" w:styleId="754" w:customStyle="1">
    <w:name w:val="FunctionTok"/>
    <w:basedOn w:val="731"/>
    <w:pPr>
      <w:pBdr/>
      <w:spacing/>
      <w:ind/>
    </w:pPr>
    <w:rPr>
      <w:color w:val="6f42c1"/>
    </w:rPr>
  </w:style>
  <w:style w:type="character" w:styleId="755" w:customStyle="1">
    <w:name w:val="VariableTok"/>
    <w:basedOn w:val="731"/>
    <w:pPr>
      <w:pBdr/>
      <w:spacing/>
      <w:ind/>
    </w:pPr>
    <w:rPr>
      <w:color w:val="e36209"/>
    </w:rPr>
  </w:style>
  <w:style w:type="character" w:styleId="756" w:customStyle="1">
    <w:name w:val="ControlFlowTok"/>
    <w:basedOn w:val="731"/>
    <w:pPr>
      <w:pBdr/>
      <w:spacing/>
      <w:ind/>
    </w:pPr>
    <w:rPr>
      <w:color w:val="d73a49"/>
    </w:rPr>
  </w:style>
  <w:style w:type="character" w:styleId="757" w:customStyle="1">
    <w:name w:val="OperatorTok"/>
    <w:basedOn w:val="731"/>
    <w:pPr>
      <w:pBdr/>
      <w:spacing/>
      <w:ind/>
    </w:pPr>
    <w:rPr>
      <w:color w:val="24292e"/>
    </w:rPr>
  </w:style>
  <w:style w:type="character" w:styleId="758" w:customStyle="1">
    <w:name w:val="BuiltInTok"/>
    <w:basedOn w:val="731"/>
    <w:pPr>
      <w:pBdr/>
      <w:spacing/>
      <w:ind/>
    </w:pPr>
    <w:rPr>
      <w:color w:val="d73a49"/>
    </w:rPr>
  </w:style>
  <w:style w:type="character" w:styleId="759" w:customStyle="1">
    <w:name w:val="ExtensionTok"/>
    <w:basedOn w:val="731"/>
    <w:pPr>
      <w:pBdr/>
      <w:spacing/>
      <w:ind/>
    </w:pPr>
    <w:rPr>
      <w:b/>
      <w:color w:val="d73a49"/>
    </w:rPr>
  </w:style>
  <w:style w:type="character" w:styleId="760" w:customStyle="1">
    <w:name w:val="PreprocessorTok"/>
    <w:basedOn w:val="731"/>
    <w:pPr>
      <w:pBdr/>
      <w:spacing/>
      <w:ind/>
    </w:pPr>
    <w:rPr>
      <w:color w:val="d73a49"/>
    </w:rPr>
  </w:style>
  <w:style w:type="character" w:styleId="761" w:customStyle="1">
    <w:name w:val="AttributeTok"/>
    <w:basedOn w:val="731"/>
    <w:pPr>
      <w:pBdr/>
      <w:spacing/>
      <w:ind/>
    </w:pPr>
    <w:rPr>
      <w:color w:val="d73a49"/>
    </w:rPr>
  </w:style>
  <w:style w:type="character" w:styleId="762" w:customStyle="1">
    <w:name w:val="RegionMarkerTok"/>
    <w:basedOn w:val="731"/>
    <w:pPr>
      <w:pBdr/>
      <w:spacing/>
      <w:ind/>
    </w:pPr>
    <w:rPr>
      <w:color w:val="6a737d"/>
    </w:rPr>
  </w:style>
  <w:style w:type="character" w:styleId="763" w:customStyle="1">
    <w:name w:val="InformationTok"/>
    <w:basedOn w:val="731"/>
    <w:pPr>
      <w:pBdr/>
      <w:spacing/>
      <w:ind/>
    </w:pPr>
    <w:rPr>
      <w:color w:val="6a737d"/>
    </w:rPr>
  </w:style>
  <w:style w:type="character" w:styleId="764" w:customStyle="1">
    <w:name w:val="WarningTok"/>
    <w:basedOn w:val="731"/>
    <w:pPr>
      <w:pBdr/>
      <w:spacing/>
      <w:ind/>
    </w:pPr>
    <w:rPr>
      <w:color w:val="ff5555"/>
    </w:rPr>
  </w:style>
  <w:style w:type="character" w:styleId="765" w:customStyle="1">
    <w:name w:val="AlertTok"/>
    <w:basedOn w:val="731"/>
    <w:pPr>
      <w:pBdr/>
      <w:spacing/>
      <w:ind/>
    </w:pPr>
    <w:rPr>
      <w:b/>
      <w:color w:val="ff5555"/>
    </w:rPr>
  </w:style>
  <w:style w:type="character" w:styleId="766" w:customStyle="1">
    <w:name w:val="ErrorTok"/>
    <w:basedOn w:val="731"/>
    <w:pPr>
      <w:pBdr/>
      <w:spacing/>
      <w:ind/>
    </w:pPr>
    <w:rPr>
      <w:color w:val="ff5555"/>
    </w:rPr>
  </w:style>
  <w:style w:type="character" w:styleId="767" w:customStyle="1">
    <w:name w:val="NormalTok"/>
    <w:basedOn w:val="731"/>
    <w:pPr>
      <w:pBdr/>
      <w:spacing/>
      <w:ind/>
    </w:pPr>
    <w:rPr>
      <w:color w:val="24292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doi.org/10.33890/innova.v11.n2.2026.2934" TargetMode="External"/><Relationship Id="rId11" Type="http://schemas.openxmlformats.org/officeDocument/2006/relationships/hyperlink" Target="https://doi.org/10.1086/259394" TargetMode="External"/><Relationship Id="rId12" Type="http://schemas.openxmlformats.org/officeDocument/2006/relationships/hyperlink" Target="https://doi.org/10.2307/1816733" TargetMode="External"/><Relationship Id="rId13" Type="http://schemas.openxmlformats.org/officeDocument/2006/relationships/hyperlink" Target="https://doi.org/10.1016/j.econmod.2025.107336" TargetMode="External"/><Relationship Id="rId14" Type="http://schemas.openxmlformats.org/officeDocument/2006/relationships/hyperlink" Target="https://doi.org/10.2139/ssrn.6541578" TargetMode="External"/><Relationship Id="rId15" Type="http://schemas.openxmlformats.org/officeDocument/2006/relationships/hyperlink" Target="https://doi.org/10.4324/9781003462132-7" TargetMode="External"/><Relationship Id="rId16" Type="http://schemas.openxmlformats.org/officeDocument/2006/relationships/hyperlink" Target="https://doi.org/10.1080/01436597.2022.2153665"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Determinantes de la sostenibilidad del IESS y el impacto de la inestabilidad social en el Ecuador durante el periodo 1990-2024</dc:title>
  <dc:creator>Erick Fabricio Condoy Seraquive</dc:creator>
  <cp:keywords/>
  <dc:language>es</dc:language>
  <cp:revision>1</cp:revision>
  <dcterms:created xsi:type="dcterms:W3CDTF">2026-06-22T04:38:56Z</dcterms:created>
  <dcterms:modified xsi:type="dcterms:W3CDTF">2026-06-22T04:39:57Z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rossref">
    <vt:lpwstr/>
  </property>
  <property fmtid="{D5CDD505-2E9C-101B-9397-08002B2CF9AE}" pid="7" name="date">
    <vt:lpwstr>2026-05-07</vt:lpwstr>
  </property>
  <property fmtid="{D5CDD505-2E9C-101B-9397-08002B2CF9AE}" pid="8" name="engines">
    <vt:lpwstr/>
  </property>
  <property fmtid="{D5CDD505-2E9C-101B-9397-08002B2CF9AE}" pid="9" name="faculty">
    <vt:lpwstr>FACULTAD JURÍDICA, SOCIAL Y ADMINISTRATIVA</vt:lpwstr>
  </property>
  <property fmtid="{D5CDD505-2E9C-101B-9397-08002B2CF9AE}" pid="10" name="fig-cap-location">
    <vt:lpwstr>bottom</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dent">
    <vt:lpwstr>False</vt:lpwstr>
  </property>
  <property fmtid="{D5CDD505-2E9C-101B-9397-08002B2CF9AE}" pid="15" name="labels">
    <vt:lpwstr/>
  </property>
  <property fmtid="{D5CDD505-2E9C-101B-9397-08002B2CF9AE}" pid="16" name="professor">
    <vt:lpwstr>Econ. Jose Rafael Alvarado Lopez</vt:lpwstr>
  </property>
  <property fmtid="{D5CDD505-2E9C-101B-9397-08002B2CF9AE}" pid="17" name="school">
    <vt:lpwstr>CARRERA DE ECONOMÍA</vt:lpwstr>
  </property>
  <property fmtid="{D5CDD505-2E9C-101B-9397-08002B2CF9AE}" pid="18" name="tbl-cap-location">
    <vt:lpwstr>top</vt:lpwstr>
  </property>
  <property fmtid="{D5CDD505-2E9C-101B-9397-08002B2CF9AE}" pid="19" name="title-block-render">
    <vt:lpwstr>False</vt:lpwstr>
  </property>
  <property fmtid="{D5CDD505-2E9C-101B-9397-08002B2CF9AE}" pid="20" name="toc-title">
    <vt:lpwstr>Tabla de contenidos</vt:lpwstr>
  </property>
  <property fmtid="{D5CDD505-2E9C-101B-9397-08002B2CF9AE}" pid="21" name="university">
    <vt:lpwstr>UNIVERSIDAD NACIONAL DE LOJA</vt:lpwstr>
  </property>
  <property fmtid="{D5CDD505-2E9C-101B-9397-08002B2CF9AE}" pid="22" name="year">
    <vt:lpwstr>2026</vt:lpwstr>
  </property>
</Properties>
</file>