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8"/>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Determinantes de la sostenibilidad del IESS y el impacto de la inestabilidad social en el Ecuador durante el periodo 1990-2024</w:t>
      </w:r>
      <w:r>
        <w:rPr>
          <w:rFonts w:ascii="Times New Roman" w:hAnsi="Times New Roman" w:eastAsia="Times New Roman" w:cs="Times New Roman"/>
          <w:sz w:val="22"/>
          <w:szCs w:val="22"/>
        </w:rPr>
      </w:r>
    </w:p>
    <w:p>
      <w:pPr>
        <w:pStyle w:val="692"/>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Erick Fabricio Condoy Seraquive</w:t>
      </w:r>
      <w:r>
        <w:rPr>
          <w:rFonts w:ascii="Times New Roman" w:hAnsi="Times New Roman" w:eastAsia="Times New Roman" w:cs="Times New Roman"/>
          <w:sz w:val="22"/>
          <w:szCs w:val="22"/>
        </w:rPr>
      </w:r>
    </w:p>
    <w:p>
      <w:pPr>
        <w:pStyle w:val="693"/>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2026-05-07</w:t>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 w:name="resumen"/>
      <w:r>
        <w:rPr>
          <w:rFonts w:ascii="Times New Roman" w:hAnsi="Times New Roman" w:eastAsia="Times New Roman" w:cs="Times New Roman"/>
          <w:sz w:val="22"/>
          <w:szCs w:val="22"/>
        </w:rPr>
        <w:t xml:space="preserve">Resumen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objetivo de esta investigación es analizar los determinantes macroeconómicos y de seguridad de la crisis de sostenibilidad previsional del Instituto Ecuatoriano de Seguridad So</w:t>
      </w:r>
      <w:r>
        <w:rPr>
          <w:rFonts w:ascii="Times New Roman" w:hAnsi="Times New Roman" w:eastAsia="Times New Roman" w:cs="Times New Roman"/>
          <w:sz w:val="22"/>
          <w:szCs w:val="22"/>
        </w:rPr>
        <w:t xml:space="preserve">cial (IESS) en el periodo 1990-2024. El diseño metodológico incluye pruebas de raíz unitaria con quiebre estructural (Zivot-Andrews), cointegración por límites (Bounds Test ARDL) y cointegración con quiebre de régimen (Gregory-Hansen). La estimación de los</w:t>
      </w:r>
      <w:r>
        <w:rPr>
          <w:rFonts w:ascii="Times New Roman" w:hAnsi="Times New Roman" w:eastAsia="Times New Roman" w:cs="Times New Roman"/>
          <w:sz w:val="22"/>
          <w:szCs w:val="22"/>
        </w:rPr>
        <w:t xml:space="preserve"> efectos de largo plazo se complementa con regularización no paramétrica KRLS y causalidad de Granger y espectral. El aporte de este documento consiste en incorporar el impacto de la inestabilidad social y la regularización no paramétrica al modelado de la</w:t>
      </w:r>
      <w:r>
        <w:rPr>
          <w:rFonts w:ascii="Times New Roman" w:hAnsi="Times New Roman" w:eastAsia="Times New Roman" w:cs="Times New Roman"/>
          <w:sz w:val="22"/>
          <w:szCs w:val="22"/>
        </w:rPr>
        <w:t xml:space="preserve"> liquidez previsional. Los resultados confirman una relación de cointegración robusta. El gasto militar y la tasa de homicidios ejercen efectos contractivos significativos sobre la masa de afiliados, mientras que la fuerza laboral actúa como el principal d</w:t>
      </w:r>
      <w:r>
        <w:rPr>
          <w:rFonts w:ascii="Times New Roman" w:hAnsi="Times New Roman" w:eastAsia="Times New Roman" w:cs="Times New Roman"/>
          <w:sz w:val="22"/>
          <w:szCs w:val="22"/>
        </w:rPr>
        <w:t xml:space="preserve">inamizador positivo. La causalidad espectral corrobora un flujo predictivo unidireccional desde la violencia y la reasignación del gasto fiscal hacia la afiliación previsional. Se concluye que la inestabilidad social y el desplazamiento fiscal comprometen </w:t>
      </w:r>
      <w:r>
        <w:rPr>
          <w:rFonts w:ascii="Times New Roman" w:hAnsi="Times New Roman" w:eastAsia="Times New Roman" w:cs="Times New Roman"/>
          <w:sz w:val="22"/>
          <w:szCs w:val="22"/>
        </w:rPr>
        <w:t xml:space="preserve">la viabilidad financiera del sistema de reparto. Como implicación de política, es imperativo diseñar un marco regulatorio que diversifique el financiamiento de la seguridad social y mitigue la vulnerabilidad del empleo formal frente a choques de seguridad.</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b/>
          <w:bCs/>
          <w:sz w:val="22"/>
          <w:szCs w:val="22"/>
        </w:rPr>
        <w:t xml:space="preserve">Palabras clave: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IESS, Sostenibilidad, Inestabilidad Social, Modelo ARDL, KRLS.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b/>
          <w:bCs/>
          <w:sz w:val="22"/>
          <w:szCs w:val="22"/>
        </w:rPr>
        <w:t xml:space="preserve">Clasificación JEL: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H55, H68, K42, C22, J46.</w:t>
      </w:r>
      <w:bookmarkEnd w:id="9"/>
      <w:r>
        <w:rPr>
          <w:rFonts w:ascii="Times New Roman" w:hAnsi="Times New Roman" w:eastAsia="Times New Roman" w:cs="Times New Roman"/>
        </w:rPr>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6" w:name="introducción"/>
      <w:r>
        <w:rPr>
          <w:rFonts w:ascii="Times New Roman" w:hAnsi="Times New Roman" w:eastAsia="Times New Roman" w:cs="Times New Roman"/>
          <w:sz w:val="22"/>
          <w:szCs w:val="22"/>
        </w:rPr>
        <w:t xml:space="preserve">1. Introducción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sostenibilid</w:t>
      </w:r>
      <w:r>
        <w:rPr>
          <w:rFonts w:ascii="Times New Roman" w:hAnsi="Times New Roman" w:eastAsia="Times New Roman" w:cs="Times New Roman"/>
          <w:sz w:val="22"/>
          <w:szCs w:val="22"/>
        </w:rPr>
        <w:t xml:space="preserve">ad previsional del Instituto Ecuatoriano de Seguridad Social durante el periodo 1990-2024 enfrenta un severo desequilibrio estructural condicionado por la dinámica del empleo. En el Ecuador, la desprotección previsional es un problema estructural crítico (</w:t>
      </w:r>
      <w:r>
        <w:rPr>
          <w:rFonts w:ascii="Times New Roman" w:hAnsi="Times New Roman" w:eastAsia="Times New Roman" w:cs="Times New Roman"/>
          <w:sz w:val="22"/>
          <w:szCs w:val="22"/>
        </w:rPr>
        <w:t xml:space="preserve">Vargas-Miño (2026)</w:t>
      </w:r>
      <w:r>
        <w:rPr>
          <w:rFonts w:ascii="Times New Roman" w:hAnsi="Times New Roman" w:eastAsia="Times New Roman" w:cs="Times New Roman"/>
          <w:sz w:val="22"/>
          <w:szCs w:val="22"/>
        </w:rPr>
        <w:t xml:space="preserve">) ya que aproximadamente el 65% de la población de la tercera edad carece de una pensión jubilar contributiva (</w:t>
      </w:r>
      <w:r>
        <w:rPr>
          <w:rFonts w:ascii="Times New Roman" w:hAnsi="Times New Roman" w:eastAsia="Times New Roman" w:cs="Times New Roman"/>
          <w:sz w:val="22"/>
          <w:szCs w:val="22"/>
        </w:rPr>
        <w:t xml:space="preserve">Ecuador (2022)</w:t>
      </w:r>
      <w:r>
        <w:rPr>
          <w:rFonts w:ascii="Times New Roman" w:hAnsi="Times New Roman" w:eastAsia="Times New Roman" w:cs="Times New Roman"/>
          <w:sz w:val="22"/>
          <w:szCs w:val="22"/>
        </w:rPr>
        <w:t xml:space="preserve">) y el subempleo e informalidad afectan a más del 53% de la fuerza laboral activa (</w:t>
      </w:r>
      <w:r>
        <w:rPr>
          <w:rFonts w:ascii="Times New Roman" w:hAnsi="Times New Roman" w:eastAsia="Times New Roman" w:cs="Times New Roman"/>
          <w:sz w:val="22"/>
          <w:szCs w:val="22"/>
        </w:rPr>
        <w:t xml:space="preserve">Bank (2024)</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Planificación (2025)</w:t>
      </w:r>
      <w:r>
        <w:rPr>
          <w:rFonts w:ascii="Times New Roman" w:hAnsi="Times New Roman" w:eastAsia="Times New Roman" w:cs="Times New Roman"/>
          <w:sz w:val="22"/>
          <w:szCs w:val="22"/>
        </w:rPr>
        <w:t xml:space="preserve">). El riesgo</w:t>
      </w:r>
      <w:r>
        <w:rPr>
          <w:rFonts w:ascii="Times New Roman" w:hAnsi="Times New Roman" w:eastAsia="Times New Roman" w:cs="Times New Roman"/>
          <w:sz w:val="22"/>
          <w:szCs w:val="22"/>
        </w:rPr>
        <w:t xml:space="preserve"> inminente de transitar hacia la vejez en condiciones de desempleo y pobreza extrema, sin ahorros acumulados ni redes de protección social, impacta gravemente en la calidad de vida de la población y limita el desarrollo de sus capacidades humanas básicas (</w:t>
      </w:r>
      <w:r>
        <w:rPr>
          <w:rFonts w:ascii="Times New Roman" w:hAnsi="Times New Roman" w:eastAsia="Times New Roman" w:cs="Times New Roman"/>
          <w:sz w:val="22"/>
          <w:szCs w:val="22"/>
        </w:rPr>
        <w:t xml:space="preserve">UNDP (2013)</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UNDP (2024)</w:t>
      </w:r>
      <w:r>
        <w:rPr>
          <w:rFonts w:ascii="Times New Roman" w:hAnsi="Times New Roman" w:eastAsia="Times New Roman" w:cs="Times New Roman"/>
          <w:sz w:val="22"/>
          <w:szCs w:val="22"/>
        </w:rPr>
        <w:t xml:space="preserve">). A diferencia de las proyecciones actuariales pasivas de largo plazo, esta investigación se enfoca en el padrón de afil</w:t>
      </w:r>
      <w:r>
        <w:rPr>
          <w:rFonts w:ascii="Times New Roman" w:hAnsi="Times New Roman" w:eastAsia="Times New Roman" w:cs="Times New Roman"/>
          <w:sz w:val="22"/>
          <w:szCs w:val="22"/>
        </w:rPr>
        <w:t xml:space="preserve">iados cotizantes activos, analizando cómo los choques fiscales y de seguridad destruyen los incentivos para ingresar o permanecer en el mercado laboral formal, comprometiendo de forma indirecta la liquidez corriente del fondo de invalidez, vejez y muerte (</w:t>
      </w:r>
      <w:r>
        <w:rPr>
          <w:rFonts w:ascii="Times New Roman" w:hAnsi="Times New Roman" w:eastAsia="Times New Roman" w:cs="Times New Roman"/>
          <w:sz w:val="22"/>
          <w:szCs w:val="22"/>
        </w:rPr>
        <w:t xml:space="preserve">IESS - Dirección Actuarial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(2024)</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 w:name="problema-de-investigación"/>
      <w:r>
        <w:rPr>
          <w:rFonts w:ascii="Times New Roman" w:hAnsi="Times New Roman" w:eastAsia="Times New Roman" w:cs="Times New Roman"/>
          <w:sz w:val="22"/>
          <w:szCs w:val="22"/>
        </w:rPr>
        <w:t xml:space="preserve">1.1 Problema de investigación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problema de investigación se centra directamente en la dinámica temporal de la masa de afiliados cotizantes activos, representada por la variable dependiente del estudio,</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A</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la cual</w:t>
      </w:r>
      <w:r>
        <w:rPr>
          <w:rFonts w:ascii="Times New Roman" w:hAnsi="Times New Roman" w:eastAsia="Times New Roman" w:cs="Times New Roman"/>
          <w:sz w:val="22"/>
          <w:szCs w:val="22"/>
        </w:rPr>
        <w:t xml:space="preserve"> constituye el flujo de ingresos corriente que financia el sistema de reparto intergeneracional del IESS. La sostenibilidad actuarial y financiera del fondo de invalidez, vejez y muerte depende de un ratio mínimo de soporte de 8 cotizantes activos por cada</w:t>
      </w:r>
      <w:r>
        <w:rPr>
          <w:rFonts w:ascii="Times New Roman" w:hAnsi="Times New Roman" w:eastAsia="Times New Roman" w:cs="Times New Roman"/>
          <w:sz w:val="22"/>
          <w:szCs w:val="22"/>
        </w:rPr>
        <w:t xml:space="preserve"> jubilado; no obstante, el Ecuador se encuentra en una transición demográfica acelerada donde este ratio ha caído críticamente a menos de 5 cotizantes por jubilado, amenazando con un déficit de liquidez estructural. Este desajuste se ve agravado por choque</w:t>
      </w:r>
      <w:r>
        <w:rPr>
          <w:rFonts w:ascii="Times New Roman" w:hAnsi="Times New Roman" w:eastAsia="Times New Roman" w:cs="Times New Roman"/>
          <w:sz w:val="22"/>
          <w:szCs w:val="22"/>
        </w:rPr>
        <w:t xml:space="preserve">s de inestabilidad fiscal y criminalidad, los cuales incentivan la informalidad laboral defensiva y frenan el ingreso de nuevos afiliados al padrón oficial, reduciendo el flujo de contribuciones requerido para honrar las obligaciones previsionales futuras.</w:t>
      </w:r>
      <w:bookmarkEnd w:id="10"/>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 w:name="síntesis-teórica-y-empírica"/>
      <w:r>
        <w:rPr>
          <w:rFonts w:ascii="Times New Roman" w:hAnsi="Times New Roman" w:eastAsia="Times New Roman" w:cs="Times New Roman"/>
          <w:sz w:val="22"/>
          <w:szCs w:val="22"/>
        </w:rPr>
        <w:t xml:space="preserve">1.2 Síntesis teórica y empírica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modelar este comportamiento en el mercado laboral, la literatura económica provee enfoques teóricos que explican las decisione</w:t>
      </w:r>
      <w:r>
        <w:rPr>
          <w:rFonts w:ascii="Times New Roman" w:hAnsi="Times New Roman" w:eastAsia="Times New Roman" w:cs="Times New Roman"/>
          <w:sz w:val="22"/>
          <w:szCs w:val="22"/>
        </w:rPr>
        <w:t xml:space="preserve">s de los agentes. La teoría del mercado laboral segmentado propone que la fuerza de trabajo se organiza en un sector primario formal con cobertura previsional y un sector secundario informal caracterizado por la precariedad y la ausencia de aseguramiento (</w:t>
      </w:r>
      <w:r>
        <w:rPr>
          <w:rFonts w:ascii="Times New Roman" w:hAnsi="Times New Roman" w:eastAsia="Times New Roman" w:cs="Times New Roman"/>
          <w:sz w:val="22"/>
          <w:szCs w:val="22"/>
        </w:rPr>
        <w:t xml:space="preserve">Doeringer y Piore (1971)</w:t>
      </w:r>
      <w:r>
        <w:rPr>
          <w:rFonts w:ascii="Times New Roman" w:hAnsi="Times New Roman" w:eastAsia="Times New Roman" w:cs="Times New Roman"/>
          <w:sz w:val="22"/>
          <w:szCs w:val="22"/>
        </w:rPr>
        <w:t xml:space="preserve">). De forma complementaria, la economía del crimen de Becker (</w:t>
      </w:r>
      <w:r>
        <w:rPr>
          <w:rFonts w:ascii="Times New Roman" w:hAnsi="Times New Roman" w:eastAsia="Times New Roman" w:cs="Times New Roman"/>
          <w:sz w:val="22"/>
          <w:szCs w:val="22"/>
        </w:rPr>
        <w:t xml:space="preserve">Becker (1968)</w:t>
      </w:r>
      <w:r>
        <w:rPr>
          <w:rFonts w:ascii="Times New Roman" w:hAnsi="Times New Roman" w:eastAsia="Times New Roman" w:cs="Times New Roman"/>
          <w:sz w:val="22"/>
          <w:szCs w:val="22"/>
        </w:rPr>
        <w:t xml:space="preserve">) plantea que los agentes eligen racionalmente entre la for</w:t>
      </w:r>
      <w:r>
        <w:rPr>
          <w:rFonts w:ascii="Times New Roman" w:hAnsi="Times New Roman" w:eastAsia="Times New Roman" w:cs="Times New Roman"/>
          <w:sz w:val="22"/>
          <w:szCs w:val="22"/>
        </w:rPr>
        <w:t xml:space="preserve">malidad e informalidad ponderando los costos y beneficios bajo incertidumbre, donde la inestabilidad social y la violencia actúan como un gravamen informal sobre la actividad económica formal. En el ámbito empírico, investigaciones regionales previas basan</w:t>
      </w:r>
      <w:r>
        <w:rPr>
          <w:rFonts w:ascii="Times New Roman" w:hAnsi="Times New Roman" w:eastAsia="Times New Roman" w:cs="Times New Roman"/>
          <w:sz w:val="22"/>
          <w:szCs w:val="22"/>
        </w:rPr>
        <w:t xml:space="preserve"> sus estimaciones de sostenibilidad en modelos dinámicos que integran choques de gobernanza e inestabilidad económica, demostrando que los costos indirectos de la violencia contraen el empleo formal y erosionan las bases tributarias y de seguridad social (</w:t>
      </w:r>
      <w:r>
        <w:rPr>
          <w:rFonts w:ascii="Times New Roman" w:hAnsi="Times New Roman" w:eastAsia="Times New Roman" w:cs="Times New Roman"/>
          <w:sz w:val="22"/>
          <w:szCs w:val="22"/>
        </w:rPr>
        <w:t xml:space="preserve">Zepeda Gil (2023)</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Maydom (2023)</w:t>
      </w:r>
      <w:r>
        <w:rPr>
          <w:rFonts w:ascii="Times New Roman" w:hAnsi="Times New Roman" w:eastAsia="Times New Roman" w:cs="Times New Roman"/>
          <w:sz w:val="22"/>
          <w:szCs w:val="22"/>
        </w:rPr>
        <w:t xml:space="preserve">). La aproximación analítica de est</w:t>
      </w:r>
      <w:r>
        <w:rPr>
          <w:rFonts w:ascii="Times New Roman" w:hAnsi="Times New Roman" w:eastAsia="Times New Roman" w:cs="Times New Roman"/>
          <w:sz w:val="22"/>
          <w:szCs w:val="22"/>
        </w:rPr>
        <w:t xml:space="preserve">e trabajo unifica la teoría del mercado laboral segmentado y la economía del crimen para explicar cómo las fluctuaciones de la afiliación previsional en el Ecuador responden a choques de inseguridad física y a la prioridad presupuestaria del gasto público.</w:t>
      </w:r>
      <w:bookmarkEnd w:id="11"/>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 w:name="lo-que-hace-la-investigación"/>
      <w:r>
        <w:rPr>
          <w:rFonts w:ascii="Times New Roman" w:hAnsi="Times New Roman" w:eastAsia="Times New Roman" w:cs="Times New Roman"/>
          <w:sz w:val="22"/>
          <w:szCs w:val="22"/>
        </w:rPr>
        <w:t xml:space="preserve">1.3 Lo que hace la investigación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objetivo de esta </w:t>
      </w:r>
      <w:r>
        <w:rPr>
          <w:rFonts w:ascii="Times New Roman" w:hAnsi="Times New Roman" w:eastAsia="Times New Roman" w:cs="Times New Roman"/>
          <w:sz w:val="22"/>
          <w:szCs w:val="22"/>
        </w:rPr>
        <w:t xml:space="preserve">investigación es analizar los determinantes de la crisis de sostenibilidad previsional en el Ecuador evaluando el rol de las variables macroeconómicas y de seguridad. La variable dependiente del modelo es la masa de afiliados activos en escala logarítmica,</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A</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la cual representa la base de financiamiento corriente del sistema de reparto. Las variables independientes centrales son el gasto militar como proporción del PIB,</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G</m:t>
        </m:r>
        <m:r>
          <w:rPr>
            <w:rFonts w:hint="default" w:ascii="Cambria Math" w:hAnsi="Cambria Math" w:eastAsia="Cambria Math" w:cs="Cambria Math"/>
            <w:sz w:val="22"/>
            <w:szCs w:val="22"/>
          </w:rPr>
          <m:rPr/>
          <m:t>M</m:t>
        </m:r>
      </m:oMath>
      <w:r>
        <w:rPr>
          <w:rFonts w:ascii="Times New Roman" w:hAnsi="Times New Roman" w:eastAsia="Times New Roman" w:cs="Times New Roman"/>
          <w:sz w:val="22"/>
          <w:szCs w:val="22"/>
        </w:rPr>
        <w:t xml:space="preserve">, que captura el desplazamiento fiscal sobre el presupuesto de bienestar, y la tasa de homicidios en escala logarítmica,</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H</m:t>
        </m:r>
        <m:r>
          <w:rPr>
            <w:rFonts w:hint="default" w:ascii="Cambria Math" w:hAnsi="Cambria Math" w:eastAsia="Cambria Math" w:cs="Cambria Math"/>
            <w:sz w:val="22"/>
            <w:szCs w:val="22"/>
          </w:rPr>
          <m:rPr/>
          <m:t>O</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que modela la inseguridad física que induce a la informalización laboral defensiva de los agentes. Adicionalmente, se incluyen dos variables de control: la migración neta,</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M</m:t>
        </m:r>
        <m:r>
          <w:rPr>
            <w:rFonts w:hint="default" w:ascii="Cambria Math" w:hAnsi="Cambria Math" w:eastAsia="Cambria Math" w:cs="Cambria Math"/>
            <w:sz w:val="22"/>
            <w:szCs w:val="22"/>
          </w:rPr>
          <m:rPr/>
          <m:t>I</m:t>
        </m:r>
      </m:oMath>
      <w:r>
        <w:rPr>
          <w:rFonts w:ascii="Times New Roman" w:hAnsi="Times New Roman" w:eastAsia="Times New Roman" w:cs="Times New Roman"/>
          <w:sz w:val="22"/>
          <w:szCs w:val="22"/>
        </w:rPr>
        <w:t xml:space="preserve">, cuya inclusión se justifica por el drenaje de mano de obra joven aportante hacia el exterior, y la fuerza laboral total en escala logarítmica,</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t>L</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incluida para controlar por la escala demográfica y el crecimiento vegeta</w:t>
      </w:r>
      <w:r>
        <w:rPr>
          <w:rFonts w:ascii="Times New Roman" w:hAnsi="Times New Roman" w:eastAsia="Times New Roman" w:cs="Times New Roman"/>
          <w:sz w:val="22"/>
          <w:szCs w:val="22"/>
        </w:rPr>
        <w:t xml:space="preserve">tivo de la población económicamente activa. Para evaluar estas relaciones, la investigación emplea modelos de cointegración por límites, ARDL, cointegración con quiebre de régimen, Gregory-Hansen, causalidad espectral y regularización no paramétrica, KRLS.</w:t>
      </w:r>
      <w:bookmarkEnd w:id="12"/>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 w:name="síntesis-de-los-resultados"/>
      <w:r>
        <w:rPr>
          <w:rFonts w:ascii="Times New Roman" w:hAnsi="Times New Roman" w:eastAsia="Times New Roman" w:cs="Times New Roman"/>
          <w:sz w:val="22"/>
          <w:szCs w:val="22"/>
        </w:rPr>
        <w:t xml:space="preserve">1.4 Síntesis de los resultados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incidencia de estos determinantes sobre el padrón contributivo</w:t>
      </w:r>
      <w:r>
        <w:rPr>
          <w:rFonts w:ascii="Times New Roman" w:hAnsi="Times New Roman" w:eastAsia="Times New Roman" w:cs="Times New Roman"/>
          <w:sz w:val="22"/>
          <w:szCs w:val="22"/>
        </w:rPr>
        <w:t xml:space="preserve"> en el periodo 1990-2024 revela un comportamiento inestable y una velocidad de ajuste lineal positiva de +0.0042, confirmando la ausencia de mecanismos convergentes clásicos de largo plazo. El gasto militar ejerce un desplazamiento fiscal científico signif</w:t>
      </w:r>
      <w:r>
        <w:rPr>
          <w:rFonts w:ascii="Times New Roman" w:hAnsi="Times New Roman" w:eastAsia="Times New Roman" w:cs="Times New Roman"/>
          <w:sz w:val="22"/>
          <w:szCs w:val="22"/>
        </w:rPr>
        <w:t xml:space="preserve">icativo de corto plazo sobre el padrón previsional, mientras que la tasa de homicidios actúa como una barrera de inestabilidad social que contrae la afiliación en KRLS. Estos resultados divergen de los modelos clásicos de equilibrio previsible de Diamond (</w:t>
      </w:r>
      <w:r>
        <w:rPr>
          <w:rFonts w:ascii="Times New Roman" w:hAnsi="Times New Roman" w:eastAsia="Times New Roman" w:cs="Times New Roman"/>
          <w:sz w:val="22"/>
          <w:szCs w:val="22"/>
        </w:rPr>
        <w:t xml:space="preserve">Diamond (1965)</w:t>
      </w:r>
      <w:r>
        <w:rPr>
          <w:rFonts w:ascii="Times New Roman" w:hAnsi="Times New Roman" w:eastAsia="Times New Roman" w:cs="Times New Roman"/>
          <w:sz w:val="22"/>
          <w:szCs w:val="22"/>
        </w:rPr>
        <w:t xml:space="preserve">), pero resultan consistentes con estimaciones previas que confirman que la inestabilidad social destruye el empleo formal de largo plazo (</w:t>
      </w:r>
      <w:r>
        <w:rPr>
          <w:rFonts w:ascii="Times New Roman" w:hAnsi="Times New Roman" w:eastAsia="Times New Roman" w:cs="Times New Roman"/>
          <w:sz w:val="22"/>
          <w:szCs w:val="22"/>
        </w:rPr>
        <w:t xml:space="preserve">Murillo et al. (2025)</w:t>
      </w:r>
      <w:r>
        <w:rPr>
          <w:rFonts w:ascii="Times New Roman" w:hAnsi="Times New Roman" w:eastAsia="Times New Roman" w:cs="Times New Roman"/>
          <w:sz w:val="22"/>
          <w:szCs w:val="22"/>
        </w:rPr>
        <w:t xml:space="preserve">), y que los choques fiscales debilitan las transferencias gubernamentales en entornos dolarizados (</w:t>
      </w:r>
      <w:r>
        <w:rPr>
          <w:rFonts w:ascii="Times New Roman" w:hAnsi="Times New Roman" w:eastAsia="Times New Roman" w:cs="Times New Roman"/>
          <w:sz w:val="22"/>
          <w:szCs w:val="22"/>
        </w:rPr>
        <w:t xml:space="preserve">Baculima-Cuesta et al. (2026)</w:t>
      </w:r>
      <w:r>
        <w:rPr>
          <w:rFonts w:ascii="Times New Roman" w:hAnsi="Times New Roman" w:eastAsia="Times New Roman" w:cs="Times New Roman"/>
          <w:sz w:val="22"/>
          <w:szCs w:val="22"/>
        </w:rPr>
        <w:t xml:space="preserve">).</w:t>
      </w:r>
      <w:bookmarkEnd w:id="13"/>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4" w:name="aporte-del-trabajo"/>
      <w:r>
        <w:rPr>
          <w:rFonts w:ascii="Times New Roman" w:hAnsi="Times New Roman" w:eastAsia="Times New Roman" w:cs="Times New Roman"/>
          <w:sz w:val="22"/>
          <w:szCs w:val="22"/>
        </w:rPr>
        <w:t xml:space="preserve">1.5 Aporte del trabajo</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contribución principal de esta investigación consiste en modelar la interacción dinámica y no linea</w:t>
      </w:r>
      <w:r>
        <w:rPr>
          <w:rFonts w:ascii="Times New Roman" w:hAnsi="Times New Roman" w:eastAsia="Times New Roman" w:cs="Times New Roman"/>
          <w:sz w:val="22"/>
          <w:szCs w:val="22"/>
        </w:rPr>
        <w:t xml:space="preserve">l entre variables de criminalidad y afiliación previsional en el Ecuador, superando las limitaciones de los análisis actuariales estáticos y paramétricos tradicionales mediante el uso de estimaciones no paramétricas robustas a la inestabilidad estructural.</w:t>
      </w:r>
      <w:bookmarkEnd w:id="14"/>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5" w:name="estructura"/>
      <w:r>
        <w:rPr>
          <w:rFonts w:ascii="Times New Roman" w:hAnsi="Times New Roman" w:eastAsia="Times New Roman" w:cs="Times New Roman"/>
          <w:sz w:val="22"/>
          <w:szCs w:val="22"/>
        </w:rPr>
        <w:t xml:space="preserve">1.6 Estructura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resto del informe se organiza de la siguiente manera. La Sección 2 presenta la revisión de la literatura teórica y empírica. La</w:t>
      </w:r>
      <w:r>
        <w:rPr>
          <w:rFonts w:ascii="Times New Roman" w:hAnsi="Times New Roman" w:eastAsia="Times New Roman" w:cs="Times New Roman"/>
          <w:sz w:val="22"/>
          <w:szCs w:val="22"/>
        </w:rPr>
        <w:t xml:space="preserve"> Sección 3 detalla los datos y el marco metodológico econométrico. La Sección 4 expone los resultados empíricos y la discusión económica de los hallazgos. Finalmente, la Sección 5 resume las conclusiones principales y las implicaciones de política pública.</w:t>
      </w:r>
      <w:bookmarkEnd w:id="15"/>
      <w:r>
        <w:rPr>
          <w:rFonts w:ascii="Times New Roman" w:hAnsi="Times New Roman" w:eastAsia="Times New Roman" w:cs="Times New Roman"/>
        </w:rPr>
      </w:r>
      <w:bookmarkEnd w:id="16"/>
      <w:r>
        <w:rPr>
          <w:rFonts w:ascii="Times New Roman" w:hAnsi="Times New Roman" w:eastAsia="Times New Roman" w:cs="Times New Roman"/>
        </w:rPr>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20" w:name="revisión-de-la-literatura"/>
      <w:r>
        <w:rPr>
          <w:rFonts w:ascii="Times New Roman" w:hAnsi="Times New Roman" w:eastAsia="Times New Roman" w:cs="Times New Roman"/>
          <w:sz w:val="22"/>
          <w:szCs w:val="22"/>
        </w:rPr>
        <w:t xml:space="preserve">2. Revisión de la literatura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s</w:t>
      </w:r>
      <w:r>
        <w:rPr>
          <w:rFonts w:ascii="Times New Roman" w:hAnsi="Times New Roman" w:eastAsia="Times New Roman" w:cs="Times New Roman"/>
          <w:sz w:val="22"/>
          <w:szCs w:val="22"/>
        </w:rPr>
        <w:t xml:space="preserve">ostenibilidad de los sistemas de seguridad social de reparto se fundamenta en el equilibrio dinámico entre contribuyentes activos y beneficiarios. En entornos en desarrollo, este equilibrio se rompe principalmente por la baja afiliación previsional activa.</w:t>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7" w:name="síntesis-de-los-enfoques-teóricos"/>
      <w:r>
        <w:rPr>
          <w:rFonts w:ascii="Times New Roman" w:hAnsi="Times New Roman" w:eastAsia="Times New Roman" w:cs="Times New Roman"/>
          <w:sz w:val="22"/>
          <w:szCs w:val="22"/>
        </w:rPr>
        <w:t xml:space="preserve">2.1 Síntesis de los enfoques teóricos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comprender</w:t>
      </w:r>
      <w:r>
        <w:rPr>
          <w:rFonts w:ascii="Times New Roman" w:hAnsi="Times New Roman" w:eastAsia="Times New Roman" w:cs="Times New Roman"/>
          <w:sz w:val="22"/>
          <w:szCs w:val="22"/>
        </w:rPr>
        <w:t xml:space="preserve"> los determinantes de la baja afiliación al seguro social en el periodo 1990-2024, la ciencia económica provee explicaciones fundamentadas en enfoques teóricos específicos del mercado de trabajo. La teoría del mercado laboral segmentado propone que la ofer</w:t>
      </w:r>
      <w:r>
        <w:rPr>
          <w:rFonts w:ascii="Times New Roman" w:hAnsi="Times New Roman" w:eastAsia="Times New Roman" w:cs="Times New Roman"/>
          <w:sz w:val="22"/>
          <w:szCs w:val="22"/>
        </w:rPr>
        <w:t xml:space="preserve">ta y demanda de empleo se dividen de manera estructural en un sector primario formal que ofrece estabilidad y cobertura previsional obligatoria, y un sector secundario informal caracterizado por la inestabilidad de ingresos y la ausencia de aseguramiento (</w:t>
      </w:r>
      <w:r>
        <w:rPr>
          <w:rFonts w:ascii="Times New Roman" w:hAnsi="Times New Roman" w:eastAsia="Times New Roman" w:cs="Times New Roman"/>
          <w:sz w:val="22"/>
          <w:szCs w:val="22"/>
        </w:rPr>
        <w:t xml:space="preserve">Doeringer y Piore (1971)</w:t>
      </w:r>
      <w:r>
        <w:rPr>
          <w:rFonts w:ascii="Times New Roman" w:hAnsi="Times New Roman" w:eastAsia="Times New Roman" w:cs="Times New Roman"/>
          <w:sz w:val="22"/>
          <w:szCs w:val="22"/>
        </w:rPr>
        <w:t xml:space="preserve">). Bajo este enfoque, las barreras institucionales impi</w:t>
      </w:r>
      <w:r>
        <w:rPr>
          <w:rFonts w:ascii="Times New Roman" w:hAnsi="Times New Roman" w:eastAsia="Times New Roman" w:cs="Times New Roman"/>
          <w:sz w:val="22"/>
          <w:szCs w:val="22"/>
        </w:rPr>
        <w:t xml:space="preserve">den la transición de los trabajadores hacia el sector formal, consolidando una baja afiliación de largo plazo. Por su parte, la economía del crimen plantea la decisión de operar en el sector formal o informal como una elección racional bajo incertidumbre (</w:t>
      </w:r>
      <w:r>
        <w:rPr>
          <w:rFonts w:ascii="Times New Roman" w:hAnsi="Times New Roman" w:eastAsia="Times New Roman" w:cs="Times New Roman"/>
          <w:sz w:val="22"/>
          <w:szCs w:val="22"/>
        </w:rPr>
        <w:t xml:space="preserve">Becker (1968)</w:t>
      </w:r>
      <w:r>
        <w:rPr>
          <w:rFonts w:ascii="Times New Roman" w:hAnsi="Times New Roman" w:eastAsia="Times New Roman" w:cs="Times New Roman"/>
          <w:sz w:val="22"/>
          <w:szCs w:val="22"/>
        </w:rPr>
        <w:t xml:space="preserve">). En entornos de alta delincuencia, las extorsiones y la inseguridad actúan como un impuesto implícito sobre la formalidad, desincentivando el registro de trabajadores y empujando a los agentes a refugiarse en la informalidad defensiva.</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análisis econométrico de este trabajo integra la teoría del mercado laboral segmentado (</w:t>
      </w:r>
      <w:r>
        <w:rPr>
          <w:rFonts w:ascii="Times New Roman" w:hAnsi="Times New Roman" w:eastAsia="Times New Roman" w:cs="Times New Roman"/>
          <w:sz w:val="22"/>
          <w:szCs w:val="22"/>
        </w:rPr>
        <w:t xml:space="preserve">Doeringer y Piore (1971)</w:t>
      </w:r>
      <w:r>
        <w:rPr>
          <w:rFonts w:ascii="Times New Roman" w:hAnsi="Times New Roman" w:eastAsia="Times New Roman" w:cs="Times New Roman"/>
          <w:sz w:val="22"/>
          <w:szCs w:val="22"/>
        </w:rPr>
        <w:t xml:space="preserve">) y la economía del crimen de Becker como el marco conceptual unificado. El dinami</w:t>
      </w:r>
      <w:r>
        <w:rPr>
          <w:rFonts w:ascii="Times New Roman" w:hAnsi="Times New Roman" w:eastAsia="Times New Roman" w:cs="Times New Roman"/>
          <w:sz w:val="22"/>
          <w:szCs w:val="22"/>
        </w:rPr>
        <w:t xml:space="preserve">smo de la fuerza laboral determina el potencial de expansión del padrón contributivo dentro de la segmentación estructural del empleo. Sin embargo, este flujo se ve obstaculizado por los choques de inestabilidad criminal que incrementan el costo de operar </w:t>
      </w:r>
      <w:r>
        <w:rPr>
          <w:rFonts w:ascii="Times New Roman" w:hAnsi="Times New Roman" w:eastAsia="Times New Roman" w:cs="Times New Roman"/>
          <w:sz w:val="22"/>
          <w:szCs w:val="22"/>
        </w:rPr>
        <w:t xml:space="preserve">formalmente y por los choques fiscales (tales como el incremento del gasto militar en detrimento del gasto social corriente), que desplazan los recursos públicos e incrementan el costo de oportunidad de los incentivos destinados a la formalización laboral.</w:t>
      </w:r>
      <w:bookmarkEnd w:id="17"/>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8" w:name="síntesis-de-la-evidencia-empírica"/>
      <w:r>
        <w:rPr>
          <w:rFonts w:ascii="Times New Roman" w:hAnsi="Times New Roman" w:eastAsia="Times New Roman" w:cs="Times New Roman"/>
          <w:sz w:val="22"/>
          <w:szCs w:val="22"/>
        </w:rPr>
        <w:t xml:space="preserve">2.2 Síntesis de la evidencia empírica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informalidad y la baja afiliación laboral en el Ecuador constituyen un sumidero estructural que absorbe a la mayoría de la oferta de trabajo activa. La evidencia empírica reciente aporta lecciones clave estructuradas en tres niveles de análisis.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 nivel mundial, la sostenibilidad de los sistemas de reparto ante la</w:t>
      </w:r>
      <w:r>
        <w:rPr>
          <w:rFonts w:ascii="Times New Roman" w:hAnsi="Times New Roman" w:eastAsia="Times New Roman" w:cs="Times New Roman"/>
          <w:sz w:val="22"/>
          <w:szCs w:val="22"/>
        </w:rPr>
        <w:t xml:space="preserve"> escasez de cotizantes se evalúa mediante modelos dinámicos de agentes heterogéneos. En el caso de China se demuestra que el incremento gradual en la edad de jubilación y el periodo mínimo de cotización reduce sustancialmente el déficit fiscal proyectado (</w:t>
      </w:r>
      <w:r>
        <w:rPr>
          <w:rFonts w:ascii="Times New Roman" w:hAnsi="Times New Roman" w:eastAsia="Times New Roman" w:cs="Times New Roman"/>
          <w:sz w:val="22"/>
          <w:szCs w:val="22"/>
        </w:rPr>
        <w:t xml:space="preserve">Gao y Lu (2025)</w:t>
      </w:r>
      <w:r>
        <w:rPr>
          <w:rFonts w:ascii="Times New Roman" w:hAnsi="Times New Roman" w:eastAsia="Times New Roman" w:cs="Times New Roman"/>
          <w:sz w:val="22"/>
          <w:szCs w:val="22"/>
        </w:rPr>
        <w:t xml:space="preserve">). No obstante, las reformas paramétricas resultan insuficientes si el mercado de trabajo no genera incentivos permanentes para mantener activos a los cotizantes en el sector formal.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 nivel latinoamericano, la informalidad previsio</w:t>
      </w:r>
      <w:r>
        <w:rPr>
          <w:rFonts w:ascii="Times New Roman" w:hAnsi="Times New Roman" w:eastAsia="Times New Roman" w:cs="Times New Roman"/>
          <w:sz w:val="22"/>
          <w:szCs w:val="22"/>
        </w:rPr>
        <w:t xml:space="preserve">nal en la región está estrechamente vinculada a la debilidad institucional y la violencia. Las investigaciones previas señalan que los trabajadores informales sufren una probabilidad significativamente mayor de victimización delictiva y extorsión estatal (</w:t>
      </w:r>
      <w:r>
        <w:rPr>
          <w:rFonts w:ascii="Times New Roman" w:hAnsi="Times New Roman" w:eastAsia="Times New Roman" w:cs="Times New Roman"/>
          <w:sz w:val="22"/>
          <w:szCs w:val="22"/>
        </w:rPr>
        <w:t xml:space="preserve">Maydom (2023)</w:t>
      </w:r>
      <w:r>
        <w:rPr>
          <w:rFonts w:ascii="Times New Roman" w:hAnsi="Times New Roman" w:eastAsia="Times New Roman" w:cs="Times New Roman"/>
          <w:sz w:val="22"/>
          <w:szCs w:val="22"/>
        </w:rPr>
        <w:t xml:space="preserve">). Complementariamente, se argumenta que la escalada de conflictos violentos entre el Estado y el crimen organizado destruye la actividad empresarial regular, contrayendo la demanda de trabajo formal y colapsando el registro de aportantes previsorios (</w:t>
      </w:r>
      <w:r>
        <w:rPr>
          <w:rFonts w:ascii="Times New Roman" w:hAnsi="Times New Roman" w:eastAsia="Times New Roman" w:cs="Times New Roman"/>
          <w:sz w:val="22"/>
          <w:szCs w:val="22"/>
        </w:rPr>
        <w:t xml:space="preserve">Zepeda Gil (2023)</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 nivel nacional, la baja afiliación se asocia a la inestabilidad fiscal, las brechas de género y las condiciones del mercado labo</w:t>
      </w:r>
      <w:r>
        <w:rPr>
          <w:rFonts w:ascii="Times New Roman" w:hAnsi="Times New Roman" w:eastAsia="Times New Roman" w:cs="Times New Roman"/>
          <w:sz w:val="22"/>
          <w:szCs w:val="22"/>
        </w:rPr>
        <w:t xml:space="preserve">ral. Se demuestra que las finanzas públicas ecuatorianas transitan cíclicamente por regímenes de debilidad estructural debido a choques externos y las rigideces de la dolarización, lo cual compromete la regularidad de las transferencias estatales al IESS (</w:t>
      </w:r>
      <w:r>
        <w:rPr>
          <w:rFonts w:ascii="Times New Roman" w:hAnsi="Times New Roman" w:eastAsia="Times New Roman" w:cs="Times New Roman"/>
          <w:sz w:val="22"/>
          <w:szCs w:val="22"/>
        </w:rPr>
        <w:t xml:space="preserve">Baculima-Cuesta et al. (2026)</w:t>
      </w:r>
      <w:r>
        <w:rPr>
          <w:rFonts w:ascii="Times New Roman" w:hAnsi="Times New Roman" w:eastAsia="Times New Roman" w:cs="Times New Roman"/>
          <w:sz w:val="22"/>
          <w:szCs w:val="22"/>
        </w:rPr>
        <w:t xml:space="preserve">). Al analizar la descomposición de las brechas de ingresos mediante microd</w:t>
      </w:r>
      <w:r>
        <w:rPr>
          <w:rFonts w:ascii="Times New Roman" w:hAnsi="Times New Roman" w:eastAsia="Times New Roman" w:cs="Times New Roman"/>
          <w:sz w:val="22"/>
          <w:szCs w:val="22"/>
        </w:rPr>
        <w:t xml:space="preserve">atos, la evidencia revela que la escolaridad, la experiencia laboral y la informalidad actúan como determinantes críticos que segmentan los ingresos del trabajo, empujando a los trabajadores más vulnerables hacia la informalidad previsional en el Ecuador (</w:t>
      </w:r>
      <w:r>
        <w:rPr>
          <w:rFonts w:ascii="Times New Roman" w:hAnsi="Times New Roman" w:eastAsia="Times New Roman" w:cs="Times New Roman"/>
          <w:sz w:val="22"/>
          <w:szCs w:val="22"/>
        </w:rPr>
        <w:t xml:space="preserve">Vargas-Miño (2026)</w:t>
      </w:r>
      <w:r>
        <w:rPr>
          <w:rFonts w:ascii="Times New Roman" w:hAnsi="Times New Roman" w:eastAsia="Times New Roman" w:cs="Times New Roman"/>
          <w:sz w:val="22"/>
          <w:szCs w:val="22"/>
        </w:rPr>
        <w:t xml:space="preserve">). Este descalce estructural se complementa con la inestabilidad social, donde el incremento de la violencia actúa como una barrera para el acceso al empleo formal y consolida una baja afiliación que compromete la viabilidad financiera del IESS (</w:t>
      </w:r>
      <w:r>
        <w:rPr>
          <w:rFonts w:ascii="Times New Roman" w:hAnsi="Times New Roman" w:eastAsia="Times New Roman" w:cs="Times New Roman"/>
          <w:sz w:val="22"/>
          <w:szCs w:val="22"/>
        </w:rPr>
        <w:t xml:space="preserve">Murillo et al. (2025)</w:t>
      </w:r>
      <w:r>
        <w:rPr>
          <w:rFonts w:ascii="Times New Roman" w:hAnsi="Times New Roman" w:eastAsia="Times New Roman" w:cs="Times New Roman"/>
          <w:sz w:val="22"/>
          <w:szCs w:val="22"/>
        </w:rPr>
        <w:t xml:space="preserve">).</w:t>
      </w:r>
      <w:bookmarkEnd w:id="18"/>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9" w:name="brecha-en-la-literatura"/>
      <w:r>
        <w:rPr>
          <w:rFonts w:ascii="Times New Roman" w:hAnsi="Times New Roman" w:eastAsia="Times New Roman" w:cs="Times New Roman"/>
          <w:sz w:val="22"/>
          <w:szCs w:val="22"/>
        </w:rPr>
        <w:t xml:space="preserve">2.3 Brecha en la literatura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 pesar del desarrollo de la literatura empírica sobre la sostenibilidad previsional, existe una brecha metodológica y temática importante. Los estudios previos a nivel nacional se enfocan predominan</w:t>
      </w:r>
      <w:r>
        <w:rPr>
          <w:rFonts w:ascii="Times New Roman" w:hAnsi="Times New Roman" w:eastAsia="Times New Roman" w:cs="Times New Roman"/>
          <w:sz w:val="22"/>
          <w:szCs w:val="22"/>
        </w:rPr>
        <w:t xml:space="preserve">temente en análisis estáticos o proyecciones actuariales paramétricas que asumen relaciones lineales y estabilidad estructural. No obstante, en un contexto caracterizado por la dolarización y choques severos de inestabilidad social e inseguridad física, lo</w:t>
      </w:r>
      <w:r>
        <w:rPr>
          <w:rFonts w:ascii="Times New Roman" w:hAnsi="Times New Roman" w:eastAsia="Times New Roman" w:cs="Times New Roman"/>
          <w:sz w:val="22"/>
          <w:szCs w:val="22"/>
        </w:rPr>
        <w:t xml:space="preserve">s supuestos lineales clásicos resultan insuficientes. Esta investigación cubre dicha brecha al unificar metodologías de cointegración con quiebres estructurales endógenos (Gregory-Hansen) y regularización no paramétrica basada en kernel (KRLS). Esto permit</w:t>
      </w:r>
      <w:r>
        <w:rPr>
          <w:rFonts w:ascii="Times New Roman" w:hAnsi="Times New Roman" w:eastAsia="Times New Roman" w:cs="Times New Roman"/>
          <w:sz w:val="22"/>
          <w:szCs w:val="22"/>
        </w:rPr>
        <w:t xml:space="preserve">e modelar el impacto no lineal del crimen y del gasto de defensa sobre el padrón de cotizantes, aportando una perspectiva dinámica y libre de supuestos restrictivos de linealidad que no había sido explorada en la literatura de seguridad social ecuatoriana.</w:t>
      </w:r>
      <w:bookmarkEnd w:id="19"/>
      <w:r>
        <w:rPr>
          <w:rFonts w:ascii="Times New Roman" w:hAnsi="Times New Roman" w:eastAsia="Times New Roman" w:cs="Times New Roman"/>
        </w:rPr>
      </w:r>
      <w:bookmarkEnd w:id="20"/>
      <w:r>
        <w:rPr>
          <w:rFonts w:ascii="Times New Roman" w:hAnsi="Times New Roman" w:eastAsia="Times New Roman" w:cs="Times New Roman"/>
        </w:rPr>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6" w:name="datos-y-metodología"/>
      <w:r>
        <w:rPr>
          <w:rFonts w:ascii="Times New Roman" w:hAnsi="Times New Roman" w:eastAsia="Times New Roman" w:cs="Times New Roman"/>
          <w:sz w:val="22"/>
          <w:szCs w:val="22"/>
        </w:rPr>
        <w:t xml:space="preserve">3. Datos y metodología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En esta sección detallo la base de datos recopilada, el comportamiento de las variables de estudio y la estructura metodológica implementada para evaluar la crisis de sostenibilidad del sistema de reparto del IESS durante el periodo 1990-2024.</w:t>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0" w:name="datos"/>
      <w:r>
        <w:rPr>
          <w:rFonts w:ascii="Times New Roman" w:hAnsi="Times New Roman" w:eastAsia="Times New Roman" w:cs="Times New Roman"/>
          <w:sz w:val="22"/>
          <w:szCs w:val="22"/>
        </w:rPr>
        <w:t xml:space="preserve">3.1 Datos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base de datos combina registros de afiliación previsional del seguro social con series macroeconómicas y d</w:t>
      </w:r>
      <w:r>
        <w:rPr>
          <w:rFonts w:ascii="Times New Roman" w:hAnsi="Times New Roman" w:eastAsia="Times New Roman" w:cs="Times New Roman"/>
          <w:sz w:val="22"/>
          <w:szCs w:val="22"/>
        </w:rPr>
        <w:t xml:space="preserve">e seguridad del Banco Mundial. El conjunto de datos abarca 35 observaciones anuales que capturan la evolución de los cotizantes frente a la presión presupuestaria fiscal por gasto de defensa nacional y el entorno de violencia que desplaza el empleo formal.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análisis cuantitativo de la afiliación previsional se fundamenta en canales de transmisión específicos para cada regresor del modelo. La masa de afiliados (</w:t>
      </w:r>
      <w:r>
        <w:rPr>
          <w:rFonts w:ascii="Times New Roman" w:hAnsi="Times New Roman" w:eastAsia="Times New Roman" w:cs="Times New Roman"/>
          <w:b/>
          <w:bCs/>
          <w:sz w:val="22"/>
          <w:szCs w:val="22"/>
        </w:rPr>
        <w:t xml:space="preserve">AF</w:t>
      </w:r>
      <w:r>
        <w:rPr>
          <w:rFonts w:ascii="Times New Roman" w:hAnsi="Times New Roman" w:eastAsia="Times New Roman" w:cs="Times New Roman"/>
          <w:sz w:val="22"/>
          <w:szCs w:val="22"/>
        </w:rPr>
        <w:t xml:space="preserve">) actúa como la variable dependiente de la sostenibilidad previsional. Entre las variables explicativas, el gasto militar (</w:t>
      </w:r>
      <w:r>
        <w:rPr>
          <w:rFonts w:ascii="Times New Roman" w:hAnsi="Times New Roman" w:eastAsia="Times New Roman" w:cs="Times New Roman"/>
          <w:b/>
          <w:bCs/>
          <w:sz w:val="22"/>
          <w:szCs w:val="22"/>
        </w:rPr>
        <w:t xml:space="preserve">GM</w:t>
      </w:r>
      <w:r>
        <w:rPr>
          <w:rFonts w:ascii="Times New Roman" w:hAnsi="Times New Roman" w:eastAsia="Times New Roman" w:cs="Times New Roman"/>
          <w:sz w:val="22"/>
          <w:szCs w:val="22"/>
        </w:rPr>
        <w:t xml:space="preserve">) captura el desvío de liquidez fiscal que genera un desplazamiento </w:t>
      </w:r>
      <w:r>
        <w:rPr>
          <w:rFonts w:ascii="Times New Roman" w:hAnsi="Times New Roman" w:eastAsia="Times New Roman" w:cs="Times New Roman"/>
          <w:sz w:val="22"/>
          <w:szCs w:val="22"/>
        </w:rPr>
        <w:t xml:space="preserve">físico de los recursos públicos, compitiendo de manera presupuestaria con la transferencia estatal obligatoria destinada al fondo de pensiones, lo cual limita la capacidad del Estado para financiar incentivos a la formalización laboral. La migración neta (</w:t>
      </w:r>
      <w:r>
        <w:rPr>
          <w:rFonts w:ascii="Times New Roman" w:hAnsi="Times New Roman" w:eastAsia="Times New Roman" w:cs="Times New Roman"/>
          <w:b/>
          <w:bCs/>
          <w:sz w:val="22"/>
          <w:szCs w:val="22"/>
        </w:rPr>
        <w:t xml:space="preserve">MI</w:t>
      </w:r>
      <w:r>
        <w:rPr>
          <w:rFonts w:ascii="Times New Roman" w:hAnsi="Times New Roman" w:eastAsia="Times New Roman" w:cs="Times New Roman"/>
          <w:sz w:val="22"/>
          <w:szCs w:val="22"/>
        </w:rPr>
        <w:t xml:space="preserve">) mide la pérdida de cotizantes potenciales debido a la emigración de mano de obra joven. La tasa de homicidios (</w:t>
      </w:r>
      <w:r>
        <w:rPr>
          <w:rFonts w:ascii="Times New Roman" w:hAnsi="Times New Roman" w:eastAsia="Times New Roman" w:cs="Times New Roman"/>
          <w:b/>
          <w:bCs/>
          <w:sz w:val="22"/>
          <w:szCs w:val="22"/>
        </w:rPr>
        <w:t xml:space="preserve">HO</w:t>
      </w:r>
      <w:r>
        <w:rPr>
          <w:rFonts w:ascii="Times New Roman" w:hAnsi="Times New Roman" w:eastAsia="Times New Roman" w:cs="Times New Roman"/>
          <w:sz w:val="22"/>
          <w:szCs w:val="22"/>
        </w:rPr>
        <w:t xml:space="preserve">) modela el imp</w:t>
      </w:r>
      <w:r>
        <w:rPr>
          <w:rFonts w:ascii="Times New Roman" w:hAnsi="Times New Roman" w:eastAsia="Times New Roman" w:cs="Times New Roman"/>
          <w:sz w:val="22"/>
          <w:szCs w:val="22"/>
        </w:rPr>
        <w:t xml:space="preserve">acto de la inseguridad física sobre la destrucción de empresas y empleo formal, forzando la transición hacia la informalidad laboral sin cobertura previsional de acuerdo con el enfoque de segmentación del mercado de trabajo. Finalmente, la fuerza laboral (</w:t>
      </w:r>
      <w:r>
        <w:rPr>
          <w:rFonts w:ascii="Times New Roman" w:hAnsi="Times New Roman" w:eastAsia="Times New Roman" w:cs="Times New Roman"/>
          <w:b/>
          <w:bCs/>
          <w:sz w:val="22"/>
          <w:szCs w:val="22"/>
        </w:rPr>
        <w:t xml:space="preserve">FL</w:t>
      </w:r>
      <w:r>
        <w:rPr>
          <w:rFonts w:ascii="Times New Roman" w:hAnsi="Times New Roman" w:eastAsia="Times New Roman" w:cs="Times New Roman"/>
          <w:sz w:val="22"/>
          <w:szCs w:val="22"/>
        </w:rPr>
        <w:t xml:space="preserve">) delimita el volumen de la población económicamente activa y la base potencial de cotización del sistema. Las fuentes de datos y especificaciones de las variables se detallan en la</w:t>
      </w:r>
      <w:r>
        <w:rPr>
          <w:rFonts w:ascii="Times New Roman" w:hAnsi="Times New Roman" w:eastAsia="Times New Roman" w:cs="Times New Roman"/>
          <w:sz w:val="22"/>
          <w:szCs w:val="22"/>
        </w:rPr>
        <w:t xml:space="preserve"> </w:t>
      </w:r>
      <w:hyperlink w:tooltip="#tbl-variables" w:anchor="tbl-variables" w:history="1">
        <w:r>
          <w:rPr>
            <w:rStyle w:val="731"/>
            <w:rFonts w:ascii="Times New Roman" w:hAnsi="Times New Roman" w:eastAsia="Times New Roman" w:cs="Times New Roman"/>
            <w:sz w:val="22"/>
            <w:szCs w:val="22"/>
          </w:rPr>
          <w:t xml:space="preserve">Tabla 1</w:t>
        </w:r>
      </w:hyperlink>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28" w:name="tbl-variables"/>
            <w:r>
              <w:rPr>
                <w:rFonts w:ascii="Times New Roman" w:hAnsi="Times New Roman" w:eastAsia="Times New Roman" w:cs="Times New Roman"/>
                <w:sz w:val="22"/>
                <w:szCs w:val="22"/>
              </w:rPr>
              <w:t xml:space="preserve">Tabla 1: Matriz de Variables de Investigación</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792"/>
              <w:gridCol w:w="1188"/>
              <w:gridCol w:w="2772"/>
              <w:gridCol w:w="792"/>
              <w:gridCol w:w="2376"/>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Código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Definición</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Unidad</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Fuente de Datos</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AF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Afiliados</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Personas registradas que aportan activamente al IESS (SGO + SSC).</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Conteo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hyperlink r:id="rId9" w:tooltip="https://www.bce.fin.ec/index.php/informacion-estadistica-mensual" w:history="1">
                    <w:r>
                      <w:rPr>
                        <w:rStyle w:val="731"/>
                        <w:rFonts w:ascii="Times New Roman" w:hAnsi="Times New Roman" w:eastAsia="Times New Roman" w:cs="Times New Roman"/>
                        <w:sz w:val="22"/>
                        <w:szCs w:val="22"/>
                      </w:rPr>
                      <w:t xml:space="preserve">BCE (IEM)</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hyperlink r:id="rId10" w:tooltip="https://www.iess.gob.ec/es/estadisticas/-/document_library_display/zIm8/view/8421754/171705?_110_INSTANCE_zIm8_redirect=https%3A%2F%2Fwww.iess.gob.ec%2Fes%2Festadisticas%3Fp_p_id%3D110_INSTANCE_zIm8%26p_p_lifecycle%3D0%26p_p_state%3Dnormal%26p_p_mode%3Dview%26p_p_col_id%3Dcolumn-1%26p_p_col_pos%3D1%26p_p_col_count%3D3" w:history="1">
                    <w:r>
                      <w:rPr>
                        <w:rStyle w:val="731"/>
                        <w:rFonts w:ascii="Times New Roman" w:hAnsi="Times New Roman" w:eastAsia="Times New Roman" w:cs="Times New Roman"/>
                        <w:sz w:val="22"/>
                        <w:szCs w:val="22"/>
                      </w:rPr>
                      <w:t xml:space="preserve">IESS Boletín 2024</w:t>
                    </w:r>
                  </w:hyperlink>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Gasto Militar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Gasto en defensa y fuerzas armadas como proporción del producto interno.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 del PIB</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hyperlink r:id="rId11" w:tooltip="https://data.worldbank.org/indicator/MS.MIL.XPND.GD.ZS" w:history="1">
                    <w:r>
                      <w:rPr>
                        <w:rStyle w:val="731"/>
                        <w:rFonts w:ascii="Times New Roman" w:hAnsi="Times New Roman" w:eastAsia="Times New Roman" w:cs="Times New Roman"/>
                        <w:sz w:val="22"/>
                        <w:szCs w:val="22"/>
                      </w:rPr>
                      <w:t xml:space="preserve">Banco Mundial (MS.MIL.XPND.GD.ZS)</w:t>
                    </w:r>
                  </w:hyperlink>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Migración</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Saldo neto de personas que ingresan menos las que salen del país.</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Conteo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hyperlink r:id="rId12" w:tooltip="https://data.worldbank.org/indicator/SM.POP.NETM" w:history="1">
                    <w:r>
                      <w:rPr>
                        <w:rStyle w:val="731"/>
                        <w:rFonts w:ascii="Times New Roman" w:hAnsi="Times New Roman" w:eastAsia="Times New Roman" w:cs="Times New Roman"/>
                        <w:sz w:val="22"/>
                        <w:szCs w:val="22"/>
                      </w:rPr>
                      <w:t xml:space="preserve">Banco Mundial (SM.POP.NETM)</w:t>
                    </w:r>
                  </w:hyperlink>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Homicidios</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Muertes ilegales causadas intencionalmente por violencia interpersonal.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Tasa por 100k hab.</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hyperlink r:id="rId13" w:tooltip="https://data.worldbank.org/indicator/VC.IHR.PSRC.P5" w:history="1">
                    <w:r>
                      <w:rPr>
                        <w:rStyle w:val="731"/>
                        <w:rFonts w:ascii="Times New Roman" w:hAnsi="Times New Roman" w:eastAsia="Times New Roman" w:cs="Times New Roman"/>
                        <w:sz w:val="22"/>
                        <w:szCs w:val="22"/>
                      </w:rPr>
                      <w:t xml:space="preserve">Banco Mundial (VC.IHR.PSRC.P5)</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hyperlink r:id="rId14" w:tooltip="https://dataunodc.un.org/" w:history="1">
                    <w:r>
                      <w:rPr>
                        <w:rStyle w:val="731"/>
                        <w:rFonts w:ascii="Times New Roman" w:hAnsi="Times New Roman" w:eastAsia="Times New Roman" w:cs="Times New Roman"/>
                        <w:sz w:val="22"/>
                        <w:szCs w:val="22"/>
                      </w:rPr>
                      <w:t xml:space="preserve">UNODC Data</w:t>
                    </w:r>
                  </w:hyperlink>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Fuerza Laboral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Población económicamente activa total.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Conteo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hyperlink r:id="rId15" w:tooltip="https://data.worldbank.org/indicator/SL.TLF.TOTL.IN" w:history="1">
                    <w:r>
                      <w:rPr>
                        <w:rStyle w:val="731"/>
                        <w:rFonts w:ascii="Times New Roman" w:hAnsi="Times New Roman" w:eastAsia="Times New Roman" w:cs="Times New Roman"/>
                        <w:sz w:val="22"/>
                        <w:szCs w:val="22"/>
                      </w:rPr>
                      <w:t xml:space="preserve">Banco Mundial (SL.TLF.TOTL.IN)</w:t>
                    </w:r>
                  </w:hyperlink>
                  <w:r>
                    <w:rPr>
                      <w:rFonts w:ascii="Times New Roman" w:hAnsi="Times New Roman" w:eastAsia="Times New Roman" w:cs="Times New Roman"/>
                      <w:sz w:val="22"/>
                      <w:szCs w:val="22"/>
                    </w:rPr>
                  </w:r>
                  <w:bookmarkEnd w:id="28"/>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Analizo las variables seleccionadas para comprender las tendencias históricas y la variabilidad física de las series temporales, las cuales se resumen a continuación a través de sus estadísticos descriptivos elementales.</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29" w:name="tbl-resumen"/>
            <w:r>
              <w:rPr>
                <w:rFonts w:ascii="Times New Roman" w:hAnsi="Times New Roman" w:eastAsia="Times New Roman" w:cs="Times New Roman"/>
                <w:sz w:val="22"/>
                <w:szCs w:val="22"/>
              </w:rPr>
              <w:t xml:space="preserve">Tabla 2: Estadísticos descriptivos de las variables de investigación</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1092"/>
              <w:gridCol w:w="1365"/>
              <w:gridCol w:w="1365"/>
              <w:gridCol w:w="1365"/>
              <w:gridCol w:w="1365"/>
              <w:gridCol w:w="1365"/>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N</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Media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Desv. Est.</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Mín.</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Máx.</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Log Afiliados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A</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14.4970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0.5160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13.7420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15.1493</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Gasto Militar (</w:t>
                  </w:r>
                  <m:oMath>
                    <m:r>
                      <w:rPr>
                        <w:rFonts w:hint="default" w:ascii="Cambria Math" w:hAnsi="Cambria Math" w:eastAsia="Cambria Math" w:cs="Cambria Math"/>
                        <w:sz w:val="22"/>
                        <w:szCs w:val="22"/>
                      </w:rPr>
                      <m:rPr/>
                      <m:t>G</m:t>
                    </m:r>
                    <m:r>
                      <w:rPr>
                        <w:rFonts w:hint="default" w:ascii="Cambria Math" w:hAnsi="Cambria Math" w:eastAsia="Cambria Math" w:cs="Cambria Math"/>
                        <w:sz w:val="22"/>
                        <w:szCs w:val="22"/>
                      </w:rPr>
                      <m:rPr/>
                      <m:t>M</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2.1833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0.5560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1.2133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3.2432</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Migración Neta (</w:t>
                  </w:r>
                  <m:oMath>
                    <m:r>
                      <w:rPr>
                        <w:rFonts w:hint="default" w:ascii="Cambria Math" w:hAnsi="Cambria Math" w:eastAsia="Cambria Math" w:cs="Cambria Math"/>
                        <w:sz w:val="22"/>
                        <w:szCs w:val="22"/>
                      </w:rPr>
                      <m:rPr/>
                      <m:t>M</m:t>
                    </m:r>
                    <m:r>
                      <w:rPr>
                        <w:rFonts w:hint="default" w:ascii="Cambria Math" w:hAnsi="Cambria Math" w:eastAsia="Cambria Math" w:cs="Cambria Math"/>
                        <w:sz w:val="22"/>
                        <w:szCs w:val="22"/>
                      </w:rPr>
                      <m:rPr/>
                      <m:t>I</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-13606.2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31691.4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-47287.0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95482.0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Log Tasa Homicidios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H</m:t>
                    </m:r>
                    <m:r>
                      <w:rPr>
                        <w:rFonts w:hint="default" w:ascii="Cambria Math" w:hAnsi="Cambria Math" w:eastAsia="Cambria Math" w:cs="Cambria Math"/>
                        <w:sz w:val="22"/>
                        <w:szCs w:val="22"/>
                      </w:rPr>
                      <m:rPr/>
                      <m:t>O</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2.5222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0.4908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1.7557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3.8226</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Log Fuerza Laboral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t>L</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15.6394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0.2402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15.2127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15.9950</w:t>
                  </w:r>
                  <w:bookmarkEnd w:id="29"/>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pPr>
        <w:pStyle w:val="685"/>
        <w:pBdr/>
        <w:spacing/>
        <w:ind/>
        <w:rPr>
          <w:rFonts w:ascii="Times New Roman" w:hAnsi="Times New Roman" w:cs="Times New Roman"/>
          <w:sz w:val="22"/>
          <w:szCs w:val="22"/>
        </w:rPr>
      </w:pPr>
      <w:r>
        <w:rPr>
          <w:rFonts w:ascii="Times New Roman" w:hAnsi="Times New Roman" w:eastAsia="Times New Roman" w:cs="Times New Roman"/>
          <w:b/>
          <w:bCs/>
          <w:sz w:val="22"/>
          <w:szCs w:val="22"/>
        </w:rPr>
        <w:t xml:space="preserve">Matriz de Correlación</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30" w:name="tbl-correlacion"/>
            <w:r>
              <w:rPr>
                <w:rFonts w:ascii="Times New Roman" w:hAnsi="Times New Roman" w:eastAsia="Times New Roman" w:cs="Times New Roman"/>
                <w:sz w:val="22"/>
                <w:szCs w:val="22"/>
              </w:rPr>
              <w:t xml:space="preserve">Tabla 3: Matriz de Correlación de las variables de investigación</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1092"/>
              <w:gridCol w:w="1365"/>
              <w:gridCol w:w="1365"/>
              <w:gridCol w:w="1365"/>
              <w:gridCol w:w="1365"/>
              <w:gridCol w:w="1365"/>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A</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t>G</m:t>
                      </m:r>
                      <m:r>
                        <w:rPr>
                          <w:rFonts w:hint="default" w:ascii="Cambria Math" w:hAnsi="Cambria Math" w:eastAsia="Cambria Math" w:cs="Cambria Math"/>
                          <w:sz w:val="22"/>
                          <w:szCs w:val="22"/>
                        </w:rPr>
                        <m:rPr/>
                        <m:t>M</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t>M</m:t>
                      </m:r>
                      <m:r>
                        <w:rPr>
                          <w:rFonts w:hint="default" w:ascii="Cambria Math" w:hAnsi="Cambria Math" w:eastAsia="Cambria Math" w:cs="Cambria Math"/>
                          <w:sz w:val="22"/>
                          <w:szCs w:val="22"/>
                        </w:rPr>
                        <m:rPr/>
                        <m:t>I</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H</m:t>
                      </m:r>
                      <m:r>
                        <w:rPr>
                          <w:rFonts w:hint="default" w:ascii="Cambria Math" w:hAnsi="Cambria Math" w:eastAsia="Cambria Math" w:cs="Cambria Math"/>
                          <w:sz w:val="22"/>
                          <w:szCs w:val="22"/>
                        </w:rPr>
                        <m:rPr/>
                        <m:t>O</m:t>
                      </m:r>
                      <m:r>
                        <w:rPr>
                          <w:rFonts w:hint="default" w:ascii="Cambria Math" w:hAnsi="Cambria Math" w:eastAsia="Cambria Math" w:cs="Cambria Math"/>
                          <w:sz w:val="22"/>
                          <w:szCs w:val="22"/>
                        </w:rPr>
                        <m:rPr>
                          <m:sty m:val="p"/>
                        </m:rPr>
                        <m:t>)</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t>L</m:t>
                      </m:r>
                      <m:r>
                        <w:rPr>
                          <w:rFonts w:hint="default" w:ascii="Cambria Math" w:hAnsi="Cambria Math" w:eastAsia="Cambria Math" w:cs="Cambria Math"/>
                          <w:sz w:val="22"/>
                          <w:szCs w:val="22"/>
                        </w:rPr>
                        <m:rPr>
                          <m:sty m:val="p"/>
                        </m:rPr>
                        <m:t>)</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Log Afiliados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A</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b/>
                      <w:bCs/>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1.0000</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Gasto Militar (</w:t>
                  </w:r>
                  <m:oMath>
                    <m:r>
                      <w:rPr>
                        <w:rFonts w:hint="default" w:ascii="Cambria Math" w:hAnsi="Cambria Math" w:eastAsia="Cambria Math" w:cs="Cambria Math"/>
                        <w:sz w:val="22"/>
                        <w:szCs w:val="22"/>
                      </w:rPr>
                      <m:rPr/>
                      <m:t>G</m:t>
                    </m:r>
                    <m:r>
                      <w:rPr>
                        <w:rFonts w:hint="default" w:ascii="Cambria Math" w:hAnsi="Cambria Math" w:eastAsia="Cambria Math" w:cs="Cambria Math"/>
                        <w:sz w:val="22"/>
                        <w:szCs w:val="22"/>
                      </w:rPr>
                      <m:rPr/>
                      <m:t>M</m:t>
                    </m:r>
                  </m:oMath>
                  <w:r>
                    <w:rPr>
                      <w:rFonts w:ascii="Times New Roman" w:hAnsi="Times New Roman" w:eastAsia="Times New Roman" w:cs="Times New Roman"/>
                      <w:b/>
                      <w:bCs/>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0.6972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1.0000</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Migración Neta (</w:t>
                  </w:r>
                  <m:oMath>
                    <m:r>
                      <w:rPr>
                        <w:rFonts w:hint="default" w:ascii="Cambria Math" w:hAnsi="Cambria Math" w:eastAsia="Cambria Math" w:cs="Cambria Math"/>
                        <w:sz w:val="22"/>
                        <w:szCs w:val="22"/>
                      </w:rPr>
                      <m:rPr/>
                      <m:t>M</m:t>
                    </m:r>
                    <m:r>
                      <w:rPr>
                        <w:rFonts w:hint="default" w:ascii="Cambria Math" w:hAnsi="Cambria Math" w:eastAsia="Cambria Math" w:cs="Cambria Math"/>
                        <w:sz w:val="22"/>
                        <w:szCs w:val="22"/>
                      </w:rPr>
                      <m:rPr/>
                      <m:t>I</m:t>
                    </m:r>
                  </m:oMath>
                  <w:r>
                    <w:rPr>
                      <w:rFonts w:ascii="Times New Roman" w:hAnsi="Times New Roman" w:eastAsia="Times New Roman" w:cs="Times New Roman"/>
                      <w:b/>
                      <w:bCs/>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0.6568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0.4622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1.0000</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Log Tasa Homicidios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H</m:t>
                    </m:r>
                    <m:r>
                      <w:rPr>
                        <w:rFonts w:hint="default" w:ascii="Cambria Math" w:hAnsi="Cambria Math" w:eastAsia="Cambria Math" w:cs="Cambria Math"/>
                        <w:sz w:val="22"/>
                        <w:szCs w:val="22"/>
                      </w:rPr>
                      <m:rPr/>
                      <m:t>O</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b/>
                      <w:bCs/>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0.0398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0.1225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-0.4544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1.0000</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Log Fuerza Laboral (</w:t>
                  </w:r>
                  <m:oMath>
                    <m:r>
                      <w:rPr>
                        <w:rFonts w:hint="default" w:ascii="Cambria Math" w:hAnsi="Cambria Math" w:eastAsia="Cambria Math" w:cs="Cambria Math"/>
                        <w:sz w:val="22"/>
                        <w:szCs w:val="22"/>
                      </w:rPr>
                      <m:rPr>
                        <m:sty m:val="p"/>
                      </m:rPr>
                      <m:t>ln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t>L</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b/>
                      <w:bCs/>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0.9520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0.6677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0.6335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0.1751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1.0000</w:t>
                  </w:r>
                  <w:bookmarkEnd w:id="30"/>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estimar conjuntamente las variables, se descarta la presencia de multicolinealidad sever</w:t>
      </w:r>
      <w:r>
        <w:rPr>
          <w:rFonts w:ascii="Times New Roman" w:hAnsi="Times New Roman" w:eastAsia="Times New Roman" w:cs="Times New Roman"/>
          <w:sz w:val="22"/>
          <w:szCs w:val="22"/>
        </w:rPr>
        <w:t xml:space="preserve">a mediante el cálculo del Factor de Inflación de la Varianza (VIF). Asimismo, se evalúa la normalidad de la distribución de los residuos para garantizar la validez de las pruebas estadísticas subsiguientes. El VIF promedio para los regresores independiente</w:t>
      </w:r>
      <w:r>
        <w:rPr>
          <w:rFonts w:ascii="Times New Roman" w:hAnsi="Times New Roman" w:eastAsia="Times New Roman" w:cs="Times New Roman"/>
          <w:sz w:val="22"/>
          <w:szCs w:val="22"/>
        </w:rPr>
        <w:t xml:space="preserve">s es de 2.87 (Migración Neta: 3.76, Fuerza Laboral: 3.60, Tasa de Homicidios: 2.31 y Gasto Militar: 1.83), todos inferiores al límite de 5.0, descartando colinealidad grave. En cuanto a la normalidad residual, la prueba Jarque-Bera arroja un estadístico de</w:t>
      </w:r>
      <w:r>
        <w:rPr>
          <w:rFonts w:ascii="Times New Roman" w:hAnsi="Times New Roman" w:eastAsia="Times New Roman" w:cs="Times New Roman"/>
          <w:sz w:val="22"/>
          <w:szCs w:val="22"/>
        </w:rPr>
        <w:t xml:space="preserve"> </w:t>
      </w:r>
      <m:oMath>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χ</m:t>
            </m:r>
          </m:e>
          <m:sup>
            <m:r>
              <w:rPr>
                <w:rFonts w:hint="default" w:ascii="Cambria Math" w:hAnsi="Cambria Math" w:eastAsia="Cambria Math" w:cs="Cambria Math"/>
                <w:sz w:val="22"/>
                <w:szCs w:val="22"/>
              </w:rPr>
              <m:rPr/>
              <m:t>2</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1.94</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con un p-valor de 0.379, lo que confirma que no se rechaza la hipótesis nula de residuos normales.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Para complementar el análisis descriptivo</w:t>
      </w:r>
      <w:r>
        <w:rPr>
          <w:rFonts w:ascii="Times New Roman" w:hAnsi="Times New Roman" w:eastAsia="Times New Roman" w:cs="Times New Roman"/>
          <w:sz w:val="22"/>
          <w:szCs w:val="22"/>
        </w:rPr>
        <w:t xml:space="preserve">, se presenta la evolución temporal y longitudinal de las variables explicativas y demográficas. Esta visualización permite identificar los quiebres estructurales asociados a la dolarización en el año 2000 y al auge normativo previsional posterior al 2008.</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bookmarkStart w:id="34" w:name="fig-tendencias"/>
            <w:r>
              <w:rPr>
                <w:rFonts w:ascii="Times New Roman" w:hAnsi="Times New Roman" w:eastAsia="Times New Roman" w:cs="Times New Roman"/>
                <w:sz w:val="22"/>
                <w:szCs w:val="22"/>
              </w:rPr>
              <mc:AlternateContent>
                <mc:Choice Requires="wpg">
                  <w:drawing>
                    <wp:inline xmlns:wp="http://schemas.openxmlformats.org/drawingml/2006/wordprocessingDrawing" distT="0" distB="0" distL="0" distR="0">
                      <wp:extent cx="5334000" cy="3878818"/>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assets/fig-tendencias-stata.png"/>
                              <pic:cNvPicPr>
                                <a:picLocks noChangeAspect="1" noChangeArrowheads="1"/>
                              </pic:cNvPicPr>
                              <pic:nvPr/>
                            </pic:nvPicPr>
                            <pic:blipFill rotWithShape="1">
                              <a:blip r:embed="rId16"/>
                              <a:stretch/>
                            </pic:blipFill>
                            <pic:spPr bwMode="auto">
                              <a:xfrm>
                                <a:off x="0" y="0"/>
                                <a:ext cx="5334000" cy="38788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305.42pt;mso-wrap-distance-left:0.00pt;mso-wrap-distance-top:0.00pt;mso-wrap-distance-right:0.00pt;mso-wrap-distance-bottom:0.00pt;z-index:1;" stroked="f" strokeweight="0.75pt">
                      <v:imagedata r:id="rId16" o:title=""/>
                      <o:lock v:ext="edit" rotation="t"/>
                    </v:shape>
                  </w:pict>
                </mc:Fallback>
              </mc:AlternateContent>
            </w:r>
            <w:r>
              <w:rPr>
                <w:rFonts w:ascii="Times New Roman" w:hAnsi="Times New Roman" w:eastAsia="Times New Roman" w:cs="Times New Roman"/>
                <w:sz w:val="22"/>
                <w:szCs w:val="22"/>
              </w:rPr>
            </w:r>
          </w:p>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t xml:space="preserve">Figura 1: Evolución temporal de las variables explicativas e inestabilidad (1990-2024)</w:t>
            </w:r>
            <w:bookmarkEnd w:id="34"/>
            <w:r>
              <w:rPr>
                <w:rFonts w:ascii="Times New Roman" w:hAnsi="Times New Roman" w:eastAsia="Times New Roman" w:cs="Times New Roman"/>
                <w:sz w:val="22"/>
                <w:szCs w:val="22"/>
              </w:rPr>
            </w:r>
          </w:p>
        </w:tc>
      </w:tr>
    </w:tbl>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39" w:name="diagnósticos-econométricos-de-los-datos"/>
      <w:r>
        <w:rPr>
          <w:rFonts w:ascii="Times New Roman" w:hAnsi="Times New Roman" w:eastAsia="Times New Roman" w:cs="Times New Roman"/>
          <w:sz w:val="22"/>
          <w:szCs w:val="22"/>
        </w:rPr>
        <w:t xml:space="preserve">3.1.1 Diagnósticos Econométricos de los Datos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validez de las inferencias en series de tiempo depende de la estructura dinámica de los datos y del cumplimiento de las condiciones de estabilidad. Se aplican pruebas estadísticas para asegurar la robustez ante la no-estacionariedad.</w:t>
      </w:r>
      <w:r>
        <w:rPr>
          <w:rFonts w:ascii="Times New Roman" w:hAnsi="Times New Roman" w:eastAsia="Times New Roman" w:cs="Times New Roman"/>
          <w:sz w:val="22"/>
          <w:szCs w:val="22"/>
        </w:rPr>
      </w:r>
    </w:p>
    <w:p>
      <w:pPr>
        <w:pStyle w:val="700"/>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36" w:name="multicolinealidad"/>
      <w:r>
        <w:rPr>
          <w:rFonts w:ascii="Times New Roman" w:hAnsi="Times New Roman" w:eastAsia="Times New Roman" w:cs="Times New Roman"/>
          <w:sz w:val="22"/>
          <w:szCs w:val="22"/>
        </w:rPr>
        <w:t xml:space="preserve">3.1.1.1 Multicolinealidad</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35" w:name="tbl-vif"/>
            <w:r>
              <w:rPr>
                <w:rFonts w:ascii="Times New Roman" w:hAnsi="Times New Roman" w:eastAsia="Times New Roman" w:cs="Times New Roman"/>
                <w:sz w:val="22"/>
                <w:szCs w:val="22"/>
              </w:rPr>
              <w:t xml:space="preserve">Tabla 4: Factor de Inflación de la Varianza</w:t>
            </w:r>
            <w:r>
              <w:rPr>
                <w:rFonts w:ascii="Times New Roman" w:hAnsi="Times New Roman" w:eastAsia="Times New Roman" w:cs="Times New Roman"/>
                <w:sz w:val="22"/>
                <w:szCs w:val="22"/>
              </w:rPr>
            </w:r>
          </w:p>
          <w:tbl>
            <w:tblPr>
              <w:tblStyle w:val="719"/>
              <w:tblW w:w="0" w:type="auto"/>
              <w:tblBorders/>
              <w:tblLook w:val="0020" w:firstRow="1" w:lastRow="0" w:firstColumn="0" w:lastColumn="0" w:noHBand="0" w:noVBand="0"/>
            </w:tblPr>
            <w:tblGrid>
              <w:gridCol w:w="2640"/>
              <w:gridCol w:w="2640"/>
              <w:gridCol w:w="2640"/>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VIF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1/VIF</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Migración Neta (MI)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3.76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0.2658</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Log Fuerza Laboral (FL)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3.60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0.2780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Log Tasa Homicidios (HO)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2.31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0.4323</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Gasto Militar (GM)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1.83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0.5474</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Promedio VIF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2.87</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35"/>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36"/>
            <w:r>
              <w:rPr>
                <w:rFonts w:ascii="Times New Roman" w:hAnsi="Times New Roman" w:eastAsia="Times New Roman" w:cs="Times New Roman"/>
                <w:sz w:val="22"/>
                <w:szCs w:val="22"/>
              </w:rPr>
            </w:r>
          </w:p>
        </w:tc>
      </w:tr>
    </w:tbl>
    <w:p>
      <w:pPr>
        <w:pStyle w:val="700"/>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38" w:name="pruebas-de-raíz-unitaria"/>
      <w:r>
        <w:rPr>
          <w:rFonts w:ascii="Times New Roman" w:hAnsi="Times New Roman" w:eastAsia="Times New Roman" w:cs="Times New Roman"/>
          <w:sz w:val="22"/>
          <w:szCs w:val="22"/>
        </w:rPr>
        <w:t xml:space="preserve">3.1.1.2 Pruebas de Raíz Unitaria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Se consolidan los resultados de ADF, PP y ZA para niveles e integración.</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37" w:name="tbl-za"/>
            <w:r>
              <w:rPr>
                <w:rFonts w:ascii="Times New Roman" w:hAnsi="Times New Roman" w:eastAsia="Times New Roman" w:cs="Times New Roman"/>
                <w:sz w:val="22"/>
                <w:szCs w:val="22"/>
              </w:rPr>
              <w:t xml:space="preserve">Tabla 5: Pruebas de raíz unitaria con quiebre estructural (Zivot-Andrews)</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646"/>
              <w:gridCol w:w="808"/>
              <w:gridCol w:w="808"/>
              <w:gridCol w:w="808"/>
              <w:gridCol w:w="808"/>
              <w:gridCol w:w="808"/>
              <w:gridCol w:w="808"/>
              <w:gridCol w:w="808"/>
              <w:gridCol w:w="808"/>
              <w:gridCol w:w="808"/>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(Level) ADF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(Level) PP</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(Level) ZA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(Level) Break</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(First Diff) ADF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(First Diff) PP</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(First Diff) ZA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Test-statistics (First Diff) Break</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I(d)</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AF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-1.529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-1.367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-2.707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-1.936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-2.963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-4.578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2008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-0.863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-1.566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-4.458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2008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-3.817*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-8.747***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-10.371***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-3.269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-2.22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-5.665***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-4.347**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-3.544*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-9.270***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-2.264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-1.154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-3.791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1998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-3.824**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-3.128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-5.109**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-2.423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-2.785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-3.657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2009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-4.212**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-6.756***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-7.020***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2015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I(1)</w:t>
                  </w:r>
                  <w:bookmarkEnd w:id="37"/>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Nota: * p &lt; 0.1, ** p &lt; 0.05, *** p &lt; 0.01.</w:t>
      </w:r>
      <w:bookmarkEnd w:id="38"/>
      <w:r>
        <w:rPr>
          <w:rFonts w:ascii="Times New Roman" w:hAnsi="Times New Roman" w:eastAsia="Times New Roman" w:cs="Times New Roman"/>
        </w:rPr>
      </w:r>
      <w:bookmarkEnd w:id="39"/>
      <w:r>
        <w:rPr>
          <w:rFonts w:ascii="Times New Roman" w:hAnsi="Times New Roman" w:eastAsia="Times New Roman" w:cs="Times New Roman"/>
        </w:rPr>
      </w:r>
      <w:bookmarkEnd w:id="40"/>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5" w:name="metodología"/>
      <w:r>
        <w:rPr>
          <w:rFonts w:ascii="Times New Roman" w:hAnsi="Times New Roman" w:eastAsia="Times New Roman" w:cs="Times New Roman"/>
          <w:sz w:val="22"/>
          <w:szCs w:val="22"/>
        </w:rPr>
        <w:t xml:space="preserve">3.2 Metodología</w:t>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1" w:name="X601a4c2f9ee96a6b3c25abfaf927965b6397aea"/>
      <w:r>
        <w:rPr>
          <w:rFonts w:ascii="Times New Roman" w:hAnsi="Times New Roman" w:eastAsia="Times New Roman" w:cs="Times New Roman"/>
          <w:sz w:val="22"/>
          <w:szCs w:val="22"/>
        </w:rPr>
        <w:t xml:space="preserve">3.2.1 Pruebas de raíz unitaria y estacionariedad</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evaluar el orden de integración de las series temporales de forma individual y prevenir regresiones espurias, se implementan pruebas de raíz unitaria con y sin quiebres estructurales.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prueba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Dickey-Fuller Aumentada (ADF)</w:t>
      </w:r>
      <w:r>
        <w:rPr>
          <w:rFonts w:ascii="Times New Roman" w:hAnsi="Times New Roman" w:eastAsia="Times New Roman" w:cs="Times New Roman"/>
          <w:sz w:val="22"/>
          <w:szCs w:val="22"/>
        </w:rPr>
        <w:t xml:space="preserve">, formulada originalmente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Dickey y Fuller (1979)</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y detallada en los textos clásicos de econometría aplicada (</w:t>
      </w:r>
      <w:r>
        <w:rPr>
          <w:rFonts w:ascii="Times New Roman" w:hAnsi="Times New Roman" w:eastAsia="Times New Roman" w:cs="Times New Roman"/>
          <w:sz w:val="22"/>
          <w:szCs w:val="22"/>
        </w:rPr>
        <w:t xml:space="preserve">Gujarati y Porter (2009)</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Greene (2019)</w:t>
      </w:r>
      <w:r>
        <w:rPr>
          <w:rFonts w:ascii="Times New Roman" w:hAnsi="Times New Roman" w:eastAsia="Times New Roman" w:cs="Times New Roman"/>
          <w:sz w:val="22"/>
          <w:szCs w:val="22"/>
        </w:rPr>
        <w:t xml:space="preserve">), evalúa la presencia de una raíz unitaria (no estacionariedad) frente a la alternativa de estacionariedad en torno a una tendencia determinista. En el soporte computacional, esta estimación se realiza en Stata mediante el comando oficial</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dfuller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(StataCorp, 2023). Se utiliza para verificar que ninguna serie del sistema supere el orden de integración</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estimando la regresión auxiliar general: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α</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α</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j</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k</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θ</m:t>
                  </m:r>
                </m:e>
                <m:sub>
                  <m:r>
                    <w:rPr>
                      <w:rFonts w:hint="default" w:ascii="Cambria Math" w:hAnsi="Cambria Math" w:eastAsia="Cambria Math" w:cs="Cambria Math"/>
                      <w:sz w:val="22"/>
                      <w:szCs w:val="22"/>
                    </w:rPr>
                    <m:rPr/>
                    <m:t>j</m:t>
                  </m:r>
                </m:sub>
              </m:sSub>
            </m:e>
          </m:nary>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ϵ</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es la variable genérica bajo análisis,</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sty m:val="p"/>
          </m:rPr>
          <m:t>Δ</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representa la primera diferencia,</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la tendencia y se selecciona el rezago óptimo</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k</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mediante el Criterio de Schwarz para eliminar la autocorrelación en el residuo</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ϵ</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d</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r>
          <w:rPr>
            <w:rFonts w:hint="default" w:ascii="Cambria Math" w:hAnsi="Cambria Math" w:eastAsia="Cambria Math" w:cs="Cambria Math"/>
            <w:sz w:val="22"/>
            <w:szCs w:val="22"/>
          </w:rPr>
          <m:rPr>
            <m:sty m:val="p"/>
          </m:rPr>
          <m:t>,</m:t>
        </m:r>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σ</m:t>
            </m:r>
          </m:e>
          <m:sup>
            <m:r>
              <w:rPr>
                <w:rFonts w:hint="default" w:ascii="Cambria Math" w:hAnsi="Cambria Math" w:eastAsia="Cambria Math" w:cs="Cambria Math"/>
                <w:sz w:val="22"/>
                <w:szCs w:val="22"/>
              </w:rPr>
              <m:rPr/>
              <m:t>2</m:t>
            </m:r>
          </m:sup>
        </m:sSup>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De manera complementaria, se aplica la prueba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Phillips-Perron (PP)</w:t>
      </w:r>
      <w:r>
        <w:rPr>
          <w:rFonts w:ascii="Times New Roman" w:hAnsi="Times New Roman" w:eastAsia="Times New Roman" w:cs="Times New Roman"/>
          <w:sz w:val="22"/>
          <w:szCs w:val="22"/>
        </w:rPr>
        <w:t xml:space="preserve">, formulada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Phillips y Perron (1988)</w:t>
      </w:r>
      <w:r>
        <w:rPr>
          <w:rFonts w:ascii="Times New Roman" w:hAnsi="Times New Roman" w:eastAsia="Times New Roman" w:cs="Times New Roman"/>
          <w:sz w:val="22"/>
          <w:szCs w:val="22"/>
        </w:rPr>
        <w:t xml:space="preserve">, la cual se computa en Stata utilizando el comando estándar</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pperron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(StataCorp, 2023). Mide la hipótesis de raíz unitaria aplicando correcciones no paramétricas directas a la matriz de varianza-covarianza para controlar la correlación serial y la heterocedasticidad en el término de error. Estima la ecuación:</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μ</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μ</m:t>
              </m:r>
            </m:e>
            <m:sub>
              <m:r>
                <w:rPr>
                  <w:rFonts w:hint="default" w:ascii="Cambria Math" w:hAnsi="Cambria Math" w:eastAsia="Cambria Math" w:cs="Cambria Math"/>
                  <w:sz w:val="22"/>
                  <w:szCs w:val="22"/>
                </w:rPr>
                <m:rPr/>
                <m:t>1</m:t>
              </m:r>
            </m:sub>
          </m:sSub>
          <m:d>
            <m:dPr>
              <m:begChr m:val="("/>
              <m:endChr m:val=")"/>
              <m:sepChr m:val=""/>
              <m:ctrlPr>
                <w:rPr>
                  <w:rFonts w:hint="default"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f>
                <m:fPr>
                  <m:ctrlPr>
                    <w:rPr>
                      <w:rFonts w:hint="default" w:ascii="Cambria Math" w:hAnsi="Cambria Math" w:eastAsia="Cambria Math" w:cs="Cambria Math"/>
                      <w:sz w:val="22"/>
                    </w:rPr>
                  </m:ctrlPr>
                </m:fPr>
                <m:num>
                  <m:r>
                    <w:rPr>
                      <w:rFonts w:hint="default" w:ascii="Cambria Math" w:hAnsi="Cambria Math" w:eastAsia="Cambria Math" w:cs="Cambria Math"/>
                      <w:sz w:val="22"/>
                      <w:szCs w:val="22"/>
                    </w:rPr>
                    <m:rPr/>
                    <m:t>T</m:t>
                  </m:r>
                </m:num>
                <m:den>
                  <m:r>
                    <w:rPr>
                      <w:rFonts w:hint="default" w:ascii="Cambria Math" w:hAnsi="Cambria Math" w:eastAsia="Cambria Math" w:cs="Cambria Math"/>
                      <w:sz w:val="22"/>
                      <w:szCs w:val="22"/>
                    </w:rPr>
                    <m:rPr/>
                    <m:t>2</m:t>
                  </m:r>
                </m:den>
              </m:f>
            </m:e>
          </m:d>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ϕ</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u</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Esta prueba se emplea como contraste robusto para validar la estacionariedad de las series.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Adicionalmente, dado que los choques de política económica y las crisis estructurales en Ecuador pueden sesgar las pruebas tradicionales hacia la no-estacionariedad, se estima la prueba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Zivot-Andrews (ZA)</w:t>
      </w:r>
      <w:r>
        <w:rPr>
          <w:rFonts w:ascii="Times New Roman" w:hAnsi="Times New Roman" w:eastAsia="Times New Roman" w:cs="Times New Roman"/>
          <w:sz w:val="22"/>
          <w:szCs w:val="22"/>
        </w:rPr>
        <w:t xml:space="preserve">, formulada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Zivot y Andrews (1992)</w:t>
      </w:r>
      <w:r>
        <w:rPr>
          <w:rFonts w:ascii="Times New Roman" w:hAnsi="Times New Roman" w:eastAsia="Times New Roman" w:cs="Times New Roman"/>
          <w:sz w:val="22"/>
          <w:szCs w:val="22"/>
        </w:rPr>
        <w:t xml:space="preserve">. En Stata, se utiliza el módulo de usuario</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zandrews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desarrollado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Baum (2015)</w:t>
      </w:r>
      <w:r>
        <w:rPr>
          <w:rFonts w:ascii="Times New Roman" w:hAnsi="Times New Roman" w:eastAsia="Times New Roman" w:cs="Times New Roman"/>
          <w:sz w:val="22"/>
          <w:szCs w:val="22"/>
        </w:rPr>
        <w:t xml:space="preserve">. Esta prueba mide la existencia de raíz unitaria permitiendo la presencia de un quiebre estructural endógeno en la constante, en la tendencia o en ambos. Estima la regresión auxiliar:</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μ</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β</m:t>
          </m:r>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θ</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D</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λ</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γ</m:t>
          </m:r>
          <m:r>
            <w:rPr>
              <w:rFonts w:hint="default" w:ascii="Cambria Math" w:hAnsi="Cambria Math" w:eastAsia="Cambria Math" w:cs="Cambria Math"/>
              <w:sz w:val="22"/>
              <w:szCs w:val="22"/>
            </w:rPr>
            <m:rPr/>
            <m:t>D</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T</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λ</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α</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j</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k</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c</m:t>
                  </m:r>
                </m:e>
                <m:sub>
                  <m:r>
                    <w:rPr>
                      <w:rFonts w:hint="default" w:ascii="Cambria Math" w:hAnsi="Cambria Math" w:eastAsia="Cambria Math" w:cs="Cambria Math"/>
                      <w:sz w:val="22"/>
                      <w:szCs w:val="22"/>
                    </w:rPr>
                    <m:rPr/>
                    <m:t>j</m:t>
                  </m:r>
                </m:sub>
              </m:sSub>
            </m:e>
          </m:nary>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e</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D</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λ</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y</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D</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T</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λ</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son variables dummy que capturan quiebres en intercepto y tendencia respectivamente para una fracción del punto de quiebre</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λ</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T</m:t>
            </m:r>
          </m:e>
          <m:sub>
            <m:r>
              <w:rPr>
                <w:rFonts w:hint="default" w:ascii="Cambria Math" w:hAnsi="Cambria Math" w:eastAsia="Cambria Math" w:cs="Cambria Math"/>
                <w:sz w:val="22"/>
                <w:szCs w:val="22"/>
              </w:rPr>
              <m:rPr/>
              <m:t>B</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T</m:t>
        </m:r>
      </m:oMath>
      <w:r>
        <w:rPr>
          <w:rFonts w:ascii="Times New Roman" w:hAnsi="Times New Roman" w:eastAsia="Times New Roman" w:cs="Times New Roman"/>
          <w:sz w:val="22"/>
          <w:szCs w:val="22"/>
        </w:rPr>
        <w:t xml:space="preserve">. Se utiliza para evitar falsos dia</w:t>
      </w:r>
      <w:r>
        <w:rPr>
          <w:rFonts w:ascii="Times New Roman" w:hAnsi="Times New Roman" w:eastAsia="Times New Roman" w:cs="Times New Roman"/>
          <w:sz w:val="22"/>
          <w:szCs w:val="22"/>
        </w:rPr>
        <w:t xml:space="preserve">gnósticos de no-estacionariedad causados por cambios de régimen en la economía. Esta metodología de raíz unitaria con quiebre estructural ha sido implementada en investigaciones empíricas similares sobre sostenibilidad previsional, tales como el estudio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Şarısoy (2026)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para auditar las transferencias fiscales y la solvencia de la seguridad social.</w:t>
      </w:r>
      <w:bookmarkEnd w:id="41"/>
      <w:r>
        <w:rPr>
          <w:rFonts w:ascii="Times New Roman" w:hAnsi="Times New Roman" w:eastAsia="Times New Roman" w:cs="Times New Roman"/>
        </w:rPr>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2" w:name="X0e64c235431c484a09656a01f6674e80f9ed39e"/>
      <w:r>
        <w:rPr>
          <w:rFonts w:ascii="Times New Roman" w:hAnsi="Times New Roman" w:eastAsia="Times New Roman" w:cs="Times New Roman"/>
          <w:sz w:val="22"/>
          <w:szCs w:val="22"/>
        </w:rPr>
        <w:t xml:space="preserve">3.2.2 Cointegración y equilibrio de largo plazo</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evaluar el equilibrio de largo plazo en sistemas integrados de orden mixto, se implementa la prueba de cointegración por límites (</w:t>
      </w:r>
      <w:r>
        <w:rPr>
          <w:rFonts w:ascii="Times New Roman" w:hAnsi="Times New Roman" w:eastAsia="Times New Roman" w:cs="Times New Roman"/>
          <w:b/>
          <w:bCs/>
          <w:sz w:val="22"/>
          <w:szCs w:val="22"/>
        </w:rPr>
        <w:t xml:space="preserve">Bounds Test</w:t>
      </w:r>
      <w:r>
        <w:rPr>
          <w:rFonts w:ascii="Times New Roman" w:hAnsi="Times New Roman" w:eastAsia="Times New Roman" w:cs="Times New Roman"/>
          <w:sz w:val="22"/>
          <w:szCs w:val="22"/>
        </w:rPr>
        <w:t xml:space="preserve">), formulada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Pesaran et al. (2001)</w:t>
      </w:r>
      <w:r>
        <w:rPr>
          <w:rFonts w:ascii="Times New Roman" w:hAnsi="Times New Roman" w:eastAsia="Times New Roman" w:cs="Times New Roman"/>
          <w:sz w:val="22"/>
          <w:szCs w:val="22"/>
        </w:rPr>
        <w:t xml:space="preserve">. Se calcula en Stata empleando el paquete de usuario</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ardl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programado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Kripfganz y Schneider (2023)</w:t>
      </w:r>
      <w:r>
        <w:rPr>
          <w:rFonts w:ascii="Times New Roman" w:hAnsi="Times New Roman" w:eastAsia="Times New Roman" w:cs="Times New Roman"/>
          <w:sz w:val="22"/>
          <w:szCs w:val="22"/>
        </w:rPr>
        <w:t xml:space="preserve">. Esta metodología mide la existencia de una relación lineal de largo plazo entre un conjunto de variables sin importar si son integradas de orden</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o de forma mixta. Su uso permite superar la rigidez de las pruebas de cointegración clásicas que exigen homogeneidad en el orden de integración. La ecuación condicional general de corrección de error uniecuacional (ARDL-ECM) se formula como:</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c</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c</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α</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K</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β</m:t>
                  </m:r>
                </m:e>
                <m:sub>
                  <m:r>
                    <w:rPr>
                      <w:rFonts w:hint="default" w:ascii="Cambria Math" w:hAnsi="Cambria Math" w:eastAsia="Cambria Math" w:cs="Cambria Math"/>
                      <w:sz w:val="22"/>
                      <w:szCs w:val="22"/>
                    </w:rPr>
                    <m:rPr/>
                    <m:t>i</m:t>
                  </m:r>
                </m:sub>
              </m:sSub>
            </m:e>
          </m:nary>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j</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ψ</m:t>
                  </m:r>
                </m:e>
                <m:sub>
                  <m:r>
                    <w:rPr>
                      <w:rFonts w:hint="default" w:ascii="Cambria Math" w:hAnsi="Cambria Math" w:eastAsia="Cambria Math" w:cs="Cambria Math"/>
                      <w:sz w:val="22"/>
                      <w:szCs w:val="22"/>
                    </w:rPr>
                    <m:rPr/>
                    <m:t>j</m:t>
                  </m:r>
                </m:sub>
              </m:sSub>
            </m:e>
          </m:nary>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K</m:t>
              </m:r>
            </m:sup>
            <m:e>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j</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sub>
                <m:sup>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q</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γ</m:t>
                      </m:r>
                    </m:e>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e>
              </m:nary>
            </m:e>
          </m:nary>
          <m:r>
            <w:rPr>
              <w:rFonts w:hint="default" w:ascii="Cambria Math" w:hAnsi="Cambria Math" w:eastAsia="Cambria Math" w:cs="Cambria Math"/>
              <w:sz w:val="22"/>
              <w:szCs w:val="22"/>
            </w:rPr>
            <m:rPr>
              <m:sty m:val="p"/>
            </m:rPr>
            <m:t>Δ</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ϵ</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representa la variable dependiente genérica,</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t</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denota el vector de regresores explicativos,</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α</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y</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β</m:t>
            </m:r>
          </m:e>
          <m:sub>
            <m:r>
              <w:rPr>
                <w:rFonts w:hint="default" w:ascii="Cambria Math" w:hAnsi="Cambria Math" w:eastAsia="Cambria Math" w:cs="Cambria Math"/>
                <w:sz w:val="22"/>
                <w:szCs w:val="22"/>
              </w:rPr>
              <m:rPr/>
              <m:t>i</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capturan la dinámica de largo plazo, y</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ψ</m:t>
            </m:r>
          </m:e>
          <m:sub>
            <m:r>
              <w:rPr>
                <w:rFonts w:hint="default" w:ascii="Cambria Math" w:hAnsi="Cambria Math" w:eastAsia="Cambria Math" w:cs="Cambria Math"/>
                <w:sz w:val="22"/>
                <w:szCs w:val="22"/>
              </w:rPr>
              <m:rPr/>
              <m:t>j</m:t>
            </m:r>
          </m:sub>
        </m:sSub>
      </m:oMath>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γ</m:t>
            </m:r>
          </m:e>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modelan las respuestas dinámicas de corto plazo. El contraste Wald-F conjunto evalúa la hipótesis nula de inexistencia de relación de largo plazo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H</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α</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β</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β</m:t>
            </m:r>
          </m:e>
          <m:sub>
            <m:r>
              <w:rPr>
                <w:rFonts w:hint="default" w:ascii="Cambria Math" w:hAnsi="Cambria Math" w:eastAsia="Cambria Math" w:cs="Cambria Math"/>
                <w:sz w:val="22"/>
                <w:szCs w:val="22"/>
              </w:rPr>
              <m:rPr/>
              <m:t>K</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oMath>
      <w:r>
        <w:rPr>
          <w:rFonts w:ascii="Times New Roman" w:hAnsi="Times New Roman" w:eastAsia="Times New Roman" w:cs="Times New Roman"/>
          <w:sz w:val="22"/>
          <w:szCs w:val="22"/>
        </w:rPr>
        <w:t xml:space="preserve">) comparando el estadístico F calculado con las cotas críticas inferiores</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y superiores</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Ante la cointegración, se deriva la velocidad de ajuste y el término de error rezagado (</w:t>
      </w:r>
      <m:oMath>
        <m:r>
          <w:rPr>
            <w:rFonts w:hint="default" w:ascii="Cambria Math" w:hAnsi="Cambria Math" w:eastAsia="Cambria Math" w:cs="Cambria Math"/>
            <w:sz w:val="22"/>
            <w:szCs w:val="22"/>
          </w:rPr>
          <m:rPr/>
          <m:t>E</m:t>
        </m:r>
        <m:r>
          <w:rPr>
            <w:rFonts w:hint="default" w:ascii="Cambria Math" w:hAnsi="Cambria Math" w:eastAsia="Cambria Math" w:cs="Cambria Math"/>
            <w:sz w:val="22"/>
            <w:szCs w:val="22"/>
          </w:rPr>
          <m:rPr/>
          <m:t>C</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T</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Sub>
      </m:oMath>
      <w:r>
        <w:rPr>
          <w:rFonts w:ascii="Times New Roman" w:hAnsi="Times New Roman" w:eastAsia="Times New Roman" w:cs="Times New Roman"/>
          <w:sz w:val="22"/>
          <w:szCs w:val="22"/>
        </w:rPr>
        <w:t xml:space="preserve">) que mide el retorno al equilibrio dinámico.</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Adicionalmente, para modelar cambios de régimen de largo plazo ante posibles quiebres estructurales en la relación previsional, se aplican pruebas de cointegración con quiebre estructural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Gregory y Hansen (1996)</w:t>
      </w:r>
      <w:r>
        <w:rPr>
          <w:rFonts w:ascii="Times New Roman" w:hAnsi="Times New Roman" w:eastAsia="Times New Roman" w:cs="Times New Roman"/>
          <w:sz w:val="22"/>
          <w:szCs w:val="22"/>
        </w:rPr>
        <w:t xml:space="preserve">, mediante el módulo de Stata</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gregoryhansen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desarrollado por Diallo (2014), estimando la especificación:</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μ</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μ</m:t>
              </m:r>
            </m:e>
            <m:sub>
              <m:r>
                <w:rPr>
                  <w:rFonts w:hint="default" w:ascii="Cambria Math" w:hAnsi="Cambria Math" w:eastAsia="Cambria Math" w:cs="Cambria Math"/>
                  <w:sz w:val="22"/>
                  <w:szCs w:val="22"/>
                </w:rPr>
                <m:rPr/>
                <m:t>2</m:t>
              </m:r>
            </m:sub>
          </m:sSub>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φ</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t>τ</m:t>
              </m:r>
            </m:sub>
          </m:sSub>
          <m:r>
            <w:rPr>
              <w:rFonts w:hint="default" w:ascii="Cambria Math" w:hAnsi="Cambria Math" w:eastAsia="Cambria Math" w:cs="Cambria Math"/>
              <w:sz w:val="22"/>
              <w:szCs w:val="22"/>
            </w:rPr>
            <m:rPr>
              <m:sty m:val="p"/>
            </m:rPr>
            <m:t>+</m:t>
          </m:r>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α</m:t>
              </m:r>
            </m:e>
            <m:sup>
              <m:r>
                <w:rPr>
                  <w:rFonts w:hint="default" w:ascii="Cambria Math" w:hAnsi="Cambria Math" w:eastAsia="Cambria Math" w:cs="Cambria Math"/>
                  <w:sz w:val="22"/>
                  <w:szCs w:val="22"/>
                </w:rPr>
                <m:rPr/>
                <m:t>T</m:t>
              </m:r>
            </m:sup>
          </m:sSup>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2</m:t>
              </m:r>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e</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φ</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t>τ</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es una variabl</w:t>
      </w:r>
      <w:r>
        <w:rPr>
          <w:rFonts w:ascii="Times New Roman" w:hAnsi="Times New Roman" w:eastAsia="Times New Roman" w:cs="Times New Roman"/>
          <w:sz w:val="22"/>
          <w:szCs w:val="22"/>
        </w:rPr>
        <w:t xml:space="preserve">e dicotómica de quiebre de régimen. La cointegración con quiebre estructural bajo este método ha sido ampliamente adoptada en la literatura de economía pública para evaluar la solvencia gubernamental en contextos de transición demográfica, como lo ilustran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Ramos-Herrera y Sosvilla-Rivero (2020)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al evaluar la sostenibilidad previsional y fiscal ante el envejecimiento poblacional en la Eurozona.</w:t>
      </w:r>
      <w:bookmarkEnd w:id="42"/>
      <w:r>
        <w:rPr>
          <w:rFonts w:ascii="Times New Roman" w:hAnsi="Times New Roman" w:eastAsia="Times New Roman" w:cs="Times New Roman"/>
        </w:rPr>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3" w:name="X806865fa0badd7a9776e8d062c1b1364a3e959a"/>
      <w:r>
        <w:rPr>
          <w:rFonts w:ascii="Times New Roman" w:hAnsi="Times New Roman" w:eastAsia="Times New Roman" w:cs="Times New Roman"/>
          <w:sz w:val="22"/>
          <w:szCs w:val="22"/>
        </w:rPr>
        <w:t xml:space="preserve">3.2.3 Estimadores dinámicos y validación no paramétrica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Una vez confirmada la cointegración entre las variables de la seguridad social, se estiman los coeficientes dinámicos de corto y largo plazo empleando la especificación de corrección de error del modelo ARDL, de acuerdo con el soporte algorítmico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Kripfganz y Schneider (2023)</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lidiar con no linealidades y quiebres regulatorios extremos que distorsionan los estimadores paramétricos, se aplica la validación no paramétrica robusta</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Kernel-based Regularized Least Squares (KRLS)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Hainmueller y Hazlett (2014)</w:t>
      </w:r>
      <w:r>
        <w:rPr>
          <w:rFonts w:ascii="Times New Roman" w:hAnsi="Times New Roman" w:eastAsia="Times New Roman" w:cs="Times New Roman"/>
          <w:sz w:val="22"/>
          <w:szCs w:val="22"/>
        </w:rPr>
        <w:t xml:space="preserve">. En Stata, se utiliza el paquete</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krls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Ferwerda et al. (2017)</w:t>
      </w:r>
      <w:r>
        <w:rPr>
          <w:rFonts w:ascii="Times New Roman" w:hAnsi="Times New Roman" w:eastAsia="Times New Roman" w:cs="Times New Roman"/>
          <w:sz w:val="22"/>
          <w:szCs w:val="22"/>
        </w:rPr>
        <w:t xml:space="preserve">, modelando la función predictiva mediante: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x</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N</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c</m:t>
                  </m:r>
                </m:e>
                <m:sub>
                  <m:r>
                    <w:rPr>
                      <w:rFonts w:hint="default" w:ascii="Cambria Math" w:hAnsi="Cambria Math" w:eastAsia="Cambria Math" w:cs="Cambria Math"/>
                      <w:sz w:val="22"/>
                      <w:szCs w:val="22"/>
                    </w:rPr>
                    <m:rPr/>
                    <m:t>i</m:t>
                  </m:r>
                </m:sub>
              </m:sSub>
            </m:e>
          </m:nary>
          <m:r>
            <w:rPr>
              <w:rFonts w:hint="default" w:ascii="Cambria Math" w:hAnsi="Cambria Math" w:eastAsia="Cambria Math" w:cs="Cambria Math"/>
              <w:sz w:val="22"/>
              <w:szCs w:val="22"/>
            </w:rPr>
            <m:rPr/>
            <m:t>K</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x</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rPr>
            <m:rPr>
              <m:sty m:val="p"/>
            </m:rPr>
            <m:t>)</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K</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x</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exp</m:t>
        </m:r>
        <m:d>
          <m:dPr>
            <m:begChr m:val="("/>
            <m:endChr m:val=")"/>
            <m:sepChr m:val=""/>
            <m:ctrlPr>
              <w:rPr>
                <w:rFonts w:hint="default" w:ascii="Cambria Math" w:hAnsi="Cambria Math" w:eastAsia="Cambria Math" w:cs="Cambria Math"/>
                <w:sz w:val="22"/>
              </w:rPr>
            </m:ctrlPr>
          </m:dPr>
          <m:e>
            <m:r>
              <w:rPr>
                <w:rFonts w:hint="default" w:ascii="Cambria Math" w:hAnsi="Cambria Math" w:eastAsia="Cambria Math" w:cs="Cambria Math"/>
                <w:sz w:val="22"/>
                <w:szCs w:val="22"/>
              </w:rPr>
              <m:rPr>
                <m:sty m:val="p"/>
              </m:rPr>
              <m:t>−</m:t>
            </m:r>
            <m:f>
              <m:fPr>
                <m:ctrlPr>
                  <w:rPr>
                    <w:rFonts w:hint="default" w:ascii="Cambria Math" w:hAnsi="Cambria Math" w:eastAsia="Cambria Math" w:cs="Cambria Math"/>
                    <w:sz w:val="22"/>
                  </w:rPr>
                </m:ctrlPr>
              </m:fPr>
              <m:num>
                <m:sSup>
                  <m:sSupPr>
                    <m:ctrlPr>
                      <w:rPr>
                        <w:rFonts w:hint="default" w:ascii="Cambria Math" w:hAnsi="Cambria Math" w:eastAsia="Cambria Math" w:cs="Cambria Math"/>
                        <w:sz w:val="22"/>
                      </w:rPr>
                    </m:ctrlPr>
                  </m:sSupPr>
                  <m:e>
                    <m:d>
                      <m:dPr>
                        <m:begChr m:val="‖"/>
                        <m:endChr m:val="‖"/>
                        <m:sepChr m:val=""/>
                        <m:ctrlPr>
                          <w:rPr>
                            <w:rFonts w:hint="default" w:ascii="Cambria Math" w:hAnsi="Cambria Math" w:eastAsia="Cambria Math" w:cs="Cambria Math"/>
                            <w:sz w:val="22"/>
                          </w:rPr>
                        </m:ctrlPr>
                      </m:dPr>
                      <m:e>
                        <m:r>
                          <w:rPr>
                            <w:rFonts w:hint="default" w:ascii="Cambria Math" w:hAnsi="Cambria Math" w:eastAsia="Cambria Math" w:cs="Cambria Math"/>
                            <w:sz w:val="22"/>
                            <w:szCs w:val="22"/>
                          </w:rPr>
                          <m:rPr/>
                          <m:t>x</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i</m:t>
                            </m:r>
                          </m:sub>
                        </m:sSub>
                      </m:e>
                    </m:d>
                  </m:e>
                  <m:sup>
                    <m:r>
                      <w:rPr>
                        <w:rFonts w:hint="default" w:ascii="Cambria Math" w:hAnsi="Cambria Math" w:eastAsia="Cambria Math" w:cs="Cambria Math"/>
                        <w:sz w:val="22"/>
                        <w:szCs w:val="22"/>
                      </w:rPr>
                      <m:rPr/>
                      <m:t>2</m:t>
                    </m:r>
                  </m:sup>
                </m:sSup>
              </m:num>
              <m:den>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σ</m:t>
                    </m:r>
                  </m:e>
                  <m:sup>
                    <m:r>
                      <w:rPr>
                        <w:rFonts w:hint="default" w:ascii="Cambria Math" w:hAnsi="Cambria Math" w:eastAsia="Cambria Math" w:cs="Cambria Math"/>
                        <w:sz w:val="22"/>
                        <w:szCs w:val="22"/>
                      </w:rPr>
                      <m:rPr/>
                      <m:t>2</m:t>
                    </m:r>
                  </m:sup>
                </m:sSup>
              </m:den>
            </m:f>
          </m:e>
        </m:d>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es un kernel gaussiano que mapea interacciones no lineales de alta dimensión y estima efectos marginales locales para cada observación sin supuestos distributivos. En la literatura aplicada reciente, la metodología KRLS ha sido empleada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Nsair y Alzubi (2025)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para desentrañar interacciones complejas en modelos de sostenibilidad social e institucional con presencia de riesgo exógeno, superando los sesgos de la regresión clásica.</w:t>
      </w:r>
      <w:bookmarkEnd w:id="43"/>
      <w:r>
        <w:rPr>
          <w:rFonts w:ascii="Times New Roman" w:hAnsi="Times New Roman" w:eastAsia="Times New Roman" w:cs="Times New Roman"/>
        </w:rPr>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4" w:name="dirección-y-dinámica-de-causalidad"/>
      <w:r>
        <w:rPr>
          <w:rFonts w:ascii="Times New Roman" w:hAnsi="Times New Roman" w:eastAsia="Times New Roman" w:cs="Times New Roman"/>
          <w:sz w:val="22"/>
          <w:szCs w:val="22"/>
        </w:rPr>
        <w:t xml:space="preserve">3.2.4 Dirección y dinámica de causalidad</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precedencia temporal y la dirección causal entre las variables se examinan mediante la prueba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Causalidad de Granger</w:t>
      </w:r>
      <w:r>
        <w:rPr>
          <w:rFonts w:ascii="Times New Roman" w:hAnsi="Times New Roman" w:eastAsia="Times New Roman" w:cs="Times New Roman"/>
          <w:sz w:val="22"/>
          <w:szCs w:val="22"/>
        </w:rPr>
        <w:t xml:space="preserve">, formulada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Granger (1969)</w:t>
      </w:r>
      <w:r>
        <w:rPr>
          <w:rFonts w:ascii="Times New Roman" w:hAnsi="Times New Roman" w:eastAsia="Times New Roman" w:cs="Times New Roman"/>
          <w:sz w:val="22"/>
          <w:szCs w:val="22"/>
        </w:rPr>
        <w:t xml:space="preserve">, ejecutada en Stata con el comando oficial</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vargranger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posterior a la estimación del modelo VAR (StataCorp, 2023). Esta prueba evalúa si los valores rezagados de una variable contribuyen a predecir el c</w:t>
      </w:r>
      <w:r>
        <w:rPr>
          <w:rFonts w:ascii="Times New Roman" w:hAnsi="Times New Roman" w:eastAsia="Times New Roman" w:cs="Times New Roman"/>
          <w:sz w:val="22"/>
          <w:szCs w:val="22"/>
        </w:rPr>
        <w:t xml:space="preserve">omportamiento actual de otra, controlando por la historia de esta última. Se utiliza para clarificar el flujo de precedencia temporal entre el entorno fiscal/seguridad y la afiliación, estimando la regresión auxiliar bivariada generalizada en un marco VAR:</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α</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i</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p</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β</m:t>
                  </m:r>
                </m:e>
                <m:sub>
                  <m:r>
                    <w:rPr>
                      <w:rFonts w:hint="default" w:ascii="Cambria Math" w:hAnsi="Cambria Math" w:eastAsia="Cambria Math" w:cs="Cambria Math"/>
                      <w:sz w:val="22"/>
                      <w:szCs w:val="22"/>
                    </w:rPr>
                    <m:rPr/>
                    <m:t>i</m:t>
                  </m:r>
                </m:sub>
              </m:sSub>
            </m:e>
          </m:nary>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rPr>
            <m:rPr>
              <m:sty m:val="p"/>
            </m:rPr>
            <m:t>+</m:t>
          </m:r>
          <m:nary>
            <m:naryPr>
              <m:chr m:val="∑"/>
              <m:grow m:val="off"/>
              <m:limLoc m:val="undOvr"/>
              <m:ctrlPr>
                <w:rPr>
                  <w:rFonts w:hint="default" w:ascii="Cambria Math" w:hAnsi="Cambria Math" w:eastAsia="Cambria Math" w:cs="Cambria Math"/>
                  <w:sz w:val="22"/>
                </w:rPr>
              </m:ctrlPr>
            </m:naryPr>
            <m:sub>
              <m:r>
                <w:rPr>
                  <w:rFonts w:hint="default" w:ascii="Cambria Math" w:hAnsi="Cambria Math" w:eastAsia="Cambria Math" w:cs="Cambria Math"/>
                  <w:sz w:val="22"/>
                  <w:szCs w:val="22"/>
                </w:rPr>
                <m:rPr/>
                <m:t>j</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sub>
            <m:sup>
              <m:r>
                <w:rPr>
                  <w:rFonts w:hint="default" w:ascii="Cambria Math" w:hAnsi="Cambria Math" w:eastAsia="Cambria Math" w:cs="Cambria Math"/>
                  <w:sz w:val="22"/>
                  <w:szCs w:val="22"/>
                </w:rPr>
                <m:rPr/>
                <m:t>p</m:t>
              </m:r>
            </m:sup>
            <m:e>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γ</m:t>
                  </m:r>
                </m:e>
                <m:sub>
                  <m:r>
                    <w:rPr>
                      <w:rFonts w:hint="default" w:ascii="Cambria Math" w:hAnsi="Cambria Math" w:eastAsia="Cambria Math" w:cs="Cambria Math"/>
                      <w:sz w:val="22"/>
                      <w:szCs w:val="22"/>
                    </w:rPr>
                    <m:rPr/>
                    <m:t>j</m:t>
                  </m:r>
                </m:sub>
              </m:sSub>
            </m:e>
          </m:nary>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j</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ε</m:t>
              </m:r>
            </m:e>
            <m:sub>
              <m:r>
                <w:rPr>
                  <w:rFonts w:hint="default" w:ascii="Cambria Math" w:hAnsi="Cambria Math" w:eastAsia="Cambria Math" w:cs="Cambria Math"/>
                  <w:sz w:val="22"/>
                  <w:szCs w:val="22"/>
                </w:rPr>
                <m:rPr/>
                <m:t>t</m:t>
              </m:r>
            </m:sub>
          </m:sSub>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 la hipótesis nula establece la ausencia de causalidad de Granger de</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x</m:t>
            </m:r>
          </m:e>
          <m:sub>
            <m:r>
              <w:rPr>
                <w:rFonts w:hint="default" w:ascii="Cambria Math" w:hAnsi="Cambria Math" w:eastAsia="Cambria Math" w:cs="Cambria Math"/>
                <w:sz w:val="22"/>
                <w:szCs w:val="22"/>
              </w:rPr>
              <m:rPr/>
              <m:t>t</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hacia</w:t>
      </w:r>
      <w:r>
        <w:rPr>
          <w:rFonts w:ascii="Times New Roman" w:hAnsi="Times New Roman" w:eastAsia="Times New Roman" w:cs="Times New Roman"/>
          <w:sz w:val="22"/>
          <w:szCs w:val="22"/>
        </w:rPr>
        <w:t xml:space="preserve"> </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y</m:t>
            </m:r>
          </m:e>
          <m:sub>
            <m:r>
              <w:rPr>
                <w:rFonts w:hint="default" w:ascii="Cambria Math" w:hAnsi="Cambria Math" w:eastAsia="Cambria Math" w:cs="Cambria Math"/>
                <w:sz w:val="22"/>
                <w:szCs w:val="22"/>
              </w:rPr>
              <m:rPr/>
              <m:t>t</m:t>
            </m:r>
          </m:sub>
        </m:sSub>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w:t>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H</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γ</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γ</m:t>
            </m:r>
          </m:e>
          <m:sub>
            <m:r>
              <w:rPr>
                <w:rFonts w:hint="default" w:ascii="Cambria Math" w:hAnsi="Cambria Math" w:eastAsia="Cambria Math" w:cs="Cambria Math"/>
                <w:sz w:val="22"/>
                <w:szCs w:val="22"/>
              </w:rPr>
              <m:rPr/>
              <m:t>p</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oMath>
      <w:r>
        <w:rPr>
          <w:rFonts w:ascii="Times New Roman" w:hAnsi="Times New Roman" w:eastAsia="Times New Roman" w:cs="Times New Roman"/>
          <w:sz w:val="22"/>
          <w:szCs w:val="22"/>
        </w:rPr>
        <w:t xml:space="preserve">). En caso de cointegración, se extiende el análisis al marco de la causalidad espectral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Jörg Breitung y Jörg Candelon (2006)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en el dominio de la frecuencia para evaluar las relaciones dinámicas en horizontes de corto y largo plazo, implementada en Stata a través del módulo de usuario</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spcaus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(Breitung &amp; Candelon, 2006), estimando la medida causal: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r>
      <m:oMathPara>
        <m:oMathParaPr>
          <m:jc m:val="center"/>
        </m:oMathParaP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M</m:t>
              </m:r>
            </m:e>
            <m:sub>
              <m:r>
                <w:rPr>
                  <w:rFonts w:hint="default" w:ascii="Cambria Math" w:hAnsi="Cambria Math" w:eastAsia="Cambria Math" w:cs="Cambria Math"/>
                  <w:sz w:val="22"/>
                  <w:szCs w:val="22"/>
                </w:rPr>
                <m:rPr/>
                <m:t>y</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x</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ω</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log</m:t>
          </m:r>
          <m:d>
            <m:dPr>
              <m:begChr m:val="["/>
              <m:endChr m:val="]"/>
              <m:sepChr m:val=""/>
              <m:ctrlPr>
                <w:rPr>
                  <w:rFonts w:hint="default" w:ascii="Cambria Math" w:hAnsi="Cambria Math" w:eastAsia="Cambria Math" w:cs="Cambria Math"/>
                  <w:sz w:val="22"/>
                </w:rPr>
              </m:ctrlPr>
            </m:dPr>
            <m:e>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sty m:val="p"/>
                </m:rPr>
                <m:t>+</m:t>
              </m:r>
              <m:f>
                <m:fPr>
                  <m:ctrlPr>
                    <w:rPr>
                      <w:rFonts w:hint="default" w:ascii="Cambria Math" w:hAnsi="Cambria Math" w:eastAsia="Cambria Math" w:cs="Cambria Math"/>
                      <w:sz w:val="22"/>
                    </w:rPr>
                  </m:ctrlPr>
                </m:fPr>
                <m:num>
                  <m:r>
                    <w:rPr>
                      <w:rFonts w:hint="default" w:ascii="Cambria Math" w:hAnsi="Cambria Math" w:eastAsia="Cambria Math" w:cs="Cambria Math"/>
                      <w:sz w:val="22"/>
                      <w:szCs w:val="22"/>
                    </w:rPr>
                    <m:rPr>
                      <m:sty m:val="p"/>
                    </m:rPr>
                    <m:t>var</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num>
                <m:den>
                  <m:r>
                    <w:rPr>
                      <w:rFonts w:hint="default" w:ascii="Cambria Math" w:hAnsi="Cambria Math" w:eastAsia="Cambria Math" w:cs="Cambria Math"/>
                      <w:sz w:val="22"/>
                      <w:szCs w:val="22"/>
                    </w:rPr>
                    <m:rPr>
                      <m:sty m:val="p"/>
                    </m:rPr>
                    <m:t>var</m:t>
                  </m:r>
                  <m:r>
                    <w:rPr>
                      <w:rFonts w:hint="default" w:ascii="Cambria Math" w:hAnsi="Cambria Math" w:eastAsia="Cambria Math" w:cs="Cambria Math"/>
                      <w:sz w:val="22"/>
                      <w:szCs w:val="22"/>
                    </w:rPr>
                    <m:rPr>
                      <m:sty m:val="p"/>
                    </m:rPr>
                    <m:t>(</m:t>
                  </m:r>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ϵ</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sty m:val="p"/>
                    </m:rPr>
                    <m:t>)</m:t>
                  </m:r>
                </m:den>
              </m:f>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G</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ω</m:t>
              </m:r>
              <m:r>
                <w:rPr>
                  <w:rFonts w:hint="default" w:ascii="Cambria Math" w:hAnsi="Cambria Math" w:eastAsia="Cambria Math" w:cs="Cambria Math"/>
                  <w:sz w:val="22"/>
                  <w:szCs w:val="22"/>
                </w:rPr>
                <m:rPr>
                  <m:sty m:val="p"/>
                </m:rPr>
                <m:t>)</m:t>
              </m:r>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sty m:val="p"/>
                    </m:rPr>
                    <m:t>|</m:t>
                  </m:r>
                </m:e>
                <m:sup>
                  <m:r>
                    <w:rPr>
                      <w:rFonts w:hint="default" w:ascii="Cambria Math" w:hAnsi="Cambria Math" w:eastAsia="Cambria Math" w:cs="Cambria Math"/>
                      <w:sz w:val="22"/>
                      <w:szCs w:val="22"/>
                    </w:rPr>
                    <m:rPr/>
                    <m:t>2</m:t>
                  </m:r>
                </m:sup>
              </m:sSup>
            </m:e>
          </m:d>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Donde</w:t>
      </w:r>
      <w:r>
        <w:rPr>
          <w:rFonts w:ascii="Times New Roman" w:hAnsi="Times New Roman" w:eastAsia="Times New Roman" w:cs="Times New Roman"/>
          <w:sz w:val="22"/>
          <w:szCs w:val="22"/>
        </w:rPr>
        <w:t xml:space="preserve"> </w:t>
      </w:r>
      <m:oMath>
        <m:r>
          <w:rPr>
            <w:rFonts w:hint="default" w:ascii="Cambria Math" w:hAnsi="Cambria Math" w:eastAsia="Cambria Math" w:cs="Cambria Math"/>
            <w:sz w:val="22"/>
            <w:szCs w:val="22"/>
          </w:rPr>
          <m:rPr/>
          <m:t>ω</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π</m:t>
        </m:r>
        <m:r>
          <w:rPr>
            <w:rFonts w:hint="default" w:ascii="Cambria Math" w:hAnsi="Cambria Math" w:eastAsia="Cambria Math" w:cs="Cambria Math"/>
            <w:sz w:val="22"/>
            <w:szCs w:val="22"/>
          </w:rPr>
          <m:rPr>
            <m:sty m:val="p"/>
          </m:rPr>
          <m:t>)</m:t>
        </m:r>
      </m:oMath>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representa la frecuencia correspondiente a la periodicidad del ciclo bajo análisis. El anális</w:t>
      </w:r>
      <w:r>
        <w:rPr>
          <w:rFonts w:ascii="Times New Roman" w:hAnsi="Times New Roman" w:eastAsia="Times New Roman" w:cs="Times New Roman"/>
          <w:sz w:val="22"/>
          <w:szCs w:val="22"/>
        </w:rPr>
        <w:t xml:space="preserve">is de causalidad espectral en frecuencia ha sido implementado en la econometría moderna para discernir si las dinámicas causales entre el mercado de trabajo y los choques fiscales poseen un carácter transitorio o permanente, siguiendo el enfoque seminal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Breitung y Candelon (2006)</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soporte computacional y la estimación se sustentan en desarrollos científicos consolidados. Para la prueba KPSS se adopta el algoritmo de Baum (1998); se estima el modelo ARDL mediante la especificación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Kripfganz y Schneider (2023)</w:t>
      </w:r>
      <w:r>
        <w:rPr>
          <w:rFonts w:ascii="Times New Roman" w:hAnsi="Times New Roman" w:eastAsia="Times New Roman" w:cs="Times New Roman"/>
          <w:sz w:val="22"/>
          <w:szCs w:val="22"/>
        </w:rPr>
        <w:t xml:space="preserve">; para las pruebas de raíz unitaria tradicionales se siguen las directrices de StataCorp (2023) mediante sus módulos estándar</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dfuller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y</w:t>
      </w:r>
      <w:r>
        <w:rPr>
          <w:rFonts w:ascii="Times New Roman" w:hAnsi="Times New Roman" w:eastAsia="Times New Roman" w:cs="Times New Roman"/>
          <w:sz w:val="22"/>
          <w:szCs w:val="22"/>
        </w:rPr>
        <w:t xml:space="preserve"> </w:t>
      </w:r>
      <w:r>
        <w:rPr>
          <w:rStyle w:val="728"/>
          <w:rFonts w:ascii="Times New Roman" w:hAnsi="Times New Roman" w:eastAsia="Times New Roman" w:cs="Times New Roman"/>
          <w:sz w:val="22"/>
          <w:szCs w:val="22"/>
        </w:rPr>
        <w:t xml:space="preserve">pperron</w:t>
      </w:r>
      <w:r>
        <w:rPr>
          <w:rFonts w:ascii="Times New Roman" w:hAnsi="Times New Roman" w:eastAsia="Times New Roman" w:cs="Times New Roman"/>
          <w:sz w:val="22"/>
          <w:szCs w:val="22"/>
        </w:rPr>
        <w:t xml:space="preserve">. La aplicación de estas metodologías permite evaluar la sostenibilidad de la seguridad social bajo inestabilidad y rigideces del mercado laboral.</w:t>
      </w:r>
      <w:bookmarkEnd w:id="44"/>
      <w:r>
        <w:rPr>
          <w:rFonts w:ascii="Times New Roman" w:hAnsi="Times New Roman" w:eastAsia="Times New Roman" w:cs="Times New Roman"/>
        </w:rPr>
      </w:r>
      <w:bookmarkEnd w:id="45"/>
      <w:r>
        <w:rPr>
          <w:rFonts w:ascii="Times New Roman" w:hAnsi="Times New Roman" w:eastAsia="Times New Roman" w:cs="Times New Roman"/>
        </w:rPr>
      </w:r>
      <w:bookmarkEnd w:id="46"/>
      <w:r>
        <w:rPr>
          <w:rFonts w:ascii="Times New Roman" w:hAnsi="Times New Roman" w:eastAsia="Times New Roman" w:cs="Times New Roman"/>
        </w:rPr>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9" w:name="resultados-y-discusión"/>
      <w:r>
        <w:rPr>
          <w:rFonts w:ascii="Times New Roman" w:hAnsi="Times New Roman" w:eastAsia="Times New Roman" w:cs="Times New Roman"/>
          <w:sz w:val="22"/>
          <w:szCs w:val="22"/>
        </w:rPr>
        <w:t xml:space="preserve">4. Resultados y Discusión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En esta sección se presentan las estimaciones finales del modelo econométrico. El análisis se inicia con la determinación de la estructura dinámica del sistema (VAR) para validar la consistencia de las relaciones de largo plazo.</w:t>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51" w:name="diagnóstico-dinámico-del-sistema"/>
      <w:r>
        <w:rPr>
          <w:rFonts w:ascii="Times New Roman" w:hAnsi="Times New Roman" w:eastAsia="Times New Roman" w:cs="Times New Roman"/>
          <w:sz w:val="22"/>
          <w:szCs w:val="22"/>
        </w:rPr>
        <w:t xml:space="preserve">4.1 Diagnóstico Dinámico del Sistema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Antes de la estimación estructural, se valida la longitud óptima de los rezagos y la existencia de relaciones de equilibrio mediante pruebas multivariadas.</w:t>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48" w:name="selección-de-rezagos-óptimos"/>
      <w:r>
        <w:rPr>
          <w:rFonts w:ascii="Times New Roman" w:hAnsi="Times New Roman" w:eastAsia="Times New Roman" w:cs="Times New Roman"/>
          <w:sz w:val="22"/>
          <w:szCs w:val="22"/>
        </w:rPr>
        <w:t xml:space="preserve">4.1.1 Selección de Rezagos Óptimos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w:t>
      </w:r>
      <w:r>
        <w:rPr>
          <w:rFonts w:ascii="Times New Roman" w:hAnsi="Times New Roman" w:eastAsia="Times New Roman" w:cs="Times New Roman"/>
          <w:sz w:val="22"/>
          <w:szCs w:val="22"/>
        </w:rPr>
        <w:t xml:space="preserve"> </w:t>
      </w:r>
      <w:hyperlink w:tooltip="#tbl-rezagos" w:anchor="tbl-rezagos" w:history="1">
        <w:r>
          <w:rPr>
            <w:rStyle w:val="731"/>
            <w:rFonts w:ascii="Times New Roman" w:hAnsi="Times New Roman" w:eastAsia="Times New Roman" w:cs="Times New Roman"/>
            <w:sz w:val="22"/>
            <w:szCs w:val="22"/>
          </w:rPr>
          <w:t xml:space="preserve">Tabla 6</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muestra los criterios de información para la selección del número de rezagos. Todos los criterios (AIC, HQIC, SBIC y FPE) convergen en una estructura de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 xml:space="preserve">4 rezagos</w:t>
      </w:r>
      <w:r>
        <w:rPr>
          <w:rFonts w:ascii="Times New Roman" w:hAnsi="Times New Roman" w:eastAsia="Times New Roman" w:cs="Times New Roman"/>
          <w:sz w:val="22"/>
          <w:szCs w:val="22"/>
        </w:rPr>
        <w:t xml:space="preserve">, lo que permite capturar adecuadamente la inercia temporal de las variables institucionales y sociales. Esta estructura inercial es consistente con análisis empíricos de ciclos macroeconómicos bajo dolarización en Ecuador (</w:t>
      </w:r>
      <w:r>
        <w:rPr>
          <w:rFonts w:ascii="Times New Roman" w:hAnsi="Times New Roman" w:eastAsia="Times New Roman" w:cs="Times New Roman"/>
          <w:sz w:val="22"/>
          <w:szCs w:val="22"/>
        </w:rPr>
        <w:t xml:space="preserve">Baculima-Cuesta et al. (2026)</w:t>
      </w:r>
      <w:r>
        <w:rPr>
          <w:rFonts w:ascii="Times New Roman" w:hAnsi="Times New Roman" w:eastAsia="Times New Roman" w:cs="Times New Roman"/>
          <w:sz w:val="22"/>
          <w:szCs w:val="22"/>
        </w:rPr>
        <w:t xml:space="preserve">), reflejando un retardo de transmisión anual en la dinámica laboral formal.</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47" w:name="tbl-rezagos"/>
            <w:r>
              <w:rPr>
                <w:rFonts w:ascii="Times New Roman" w:hAnsi="Times New Roman" w:eastAsia="Times New Roman" w:cs="Times New Roman"/>
                <w:sz w:val="22"/>
                <w:szCs w:val="22"/>
              </w:rPr>
              <w:t xml:space="preserve">Tabla 6: Criterios de Selección de Orden de Rezagos</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879"/>
              <w:gridCol w:w="879"/>
              <w:gridCol w:w="879"/>
              <w:gridCol w:w="879"/>
              <w:gridCol w:w="879"/>
              <w:gridCol w:w="879"/>
              <w:gridCol w:w="879"/>
              <w:gridCol w:w="879"/>
              <w:gridCol w:w="879"/>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Lag</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LR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FPE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AIC</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HQIC</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SBIC</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-358.45</w:t>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10499.4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23.45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23.52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23.68</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-184.28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348.33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0.7117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13.82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14.28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15.21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-134.30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99.96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0.1628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12.21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13.04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14.76</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-89.20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90.21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0.0656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10.92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12.12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14.62</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-31.07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116.25*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0.0194</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8.78</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10.36</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13.64</w:t>
                  </w:r>
                  <w:r>
                    <w:rPr>
                      <w:rFonts w:ascii="Times New Roman" w:hAnsi="Times New Roman" w:eastAsia="Times New Roman" w:cs="Times New Roman"/>
                      <w:sz w:val="22"/>
                      <w:szCs w:val="22"/>
                    </w:rPr>
                    <w:t xml:space="preserve">*</w:t>
                  </w:r>
                  <w:bookmarkEnd w:id="47"/>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48"/>
            <w:r>
              <w:rPr>
                <w:rFonts w:ascii="Times New Roman" w:hAnsi="Times New Roman" w:eastAsia="Times New Roman" w:cs="Times New Roman"/>
                <w:sz w:val="22"/>
                <w:szCs w:val="22"/>
              </w:rPr>
            </w:r>
          </w:p>
        </w:tc>
      </w:tr>
    </w:tbl>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50" w:name="pruebas-de-causalidad-de-granger"/>
      <w:r>
        <w:rPr>
          <w:rFonts w:ascii="Times New Roman" w:hAnsi="Times New Roman" w:eastAsia="Times New Roman" w:cs="Times New Roman"/>
          <w:sz w:val="22"/>
          <w:szCs w:val="22"/>
        </w:rPr>
        <w:t xml:space="preserve">4.1.2 Pruebas de Causalidad de Granger</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w:t>
      </w:r>
      <w:r>
        <w:rPr>
          <w:rFonts w:ascii="Times New Roman" w:hAnsi="Times New Roman" w:eastAsia="Times New Roman" w:cs="Times New Roman"/>
          <w:sz w:val="22"/>
          <w:szCs w:val="22"/>
        </w:rPr>
        <w:t xml:space="preserve"> </w:t>
      </w:r>
      <w:hyperlink w:tooltip="#tbl-granger" w:anchor="tbl-granger" w:history="1">
        <w:r>
          <w:rPr>
            <w:rStyle w:val="731"/>
            <w:rFonts w:ascii="Times New Roman" w:hAnsi="Times New Roman" w:eastAsia="Times New Roman" w:cs="Times New Roman"/>
            <w:sz w:val="22"/>
            <w:szCs w:val="22"/>
          </w:rPr>
          <w:t xml:space="preserve">Tabla 7</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evalúa si el comportamiento pasado de una variable ayuda a predecir el comportamiento de otra. Los resultados indican una red de causalidad altamente significativa, donde la inestabilidad so</w:t>
      </w:r>
      <w:r>
        <w:rPr>
          <w:rFonts w:ascii="Times New Roman" w:hAnsi="Times New Roman" w:eastAsia="Times New Roman" w:cs="Times New Roman"/>
          <w:sz w:val="22"/>
          <w:szCs w:val="22"/>
        </w:rPr>
        <w:t xml:space="preserve">cial, medida mediante homicidios y migración, y la presión fiscal, representada por el gasto militar, afectan directamente la sostenibilidad del IESS, reflejada en el padrón de afiliados. Esta causalidad bivariada conjunta concuerda con las estimaciones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Murillo et al. (2025)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para el mercado ecuatoriano, confirmando que el entorno de seguridad precede temporalmente a la toma de decisiones de afiliación al seguro social.</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49" w:name="tbl-granger"/>
            <w:r>
              <w:rPr>
                <w:rFonts w:ascii="Times New Roman" w:hAnsi="Times New Roman" w:eastAsia="Times New Roman" w:cs="Times New Roman"/>
                <w:sz w:val="22"/>
                <w:szCs w:val="22"/>
              </w:rPr>
              <w:t xml:space="preserve">Tabla 7: Pruebas de Causalidad de Granger</w:t>
            </w:r>
            <w:r>
              <w:rPr>
                <w:rFonts w:ascii="Times New Roman" w:hAnsi="Times New Roman" w:eastAsia="Times New Roman" w:cs="Times New Roman"/>
                <w:sz w:val="22"/>
                <w:szCs w:val="22"/>
              </w:rPr>
            </w:r>
          </w:p>
          <w:tbl>
            <w:tblPr>
              <w:tblStyle w:val="719"/>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Ecuación</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 Excluida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χ</m:t>
                          </m:r>
                        </m:e>
                        <m:sup>
                          <m:r>
                            <w:rPr>
                              <w:rFonts w:hint="default" w:ascii="Cambria Math" w:hAnsi="Cambria Math" w:eastAsia="Cambria Math" w:cs="Cambria Math"/>
                              <w:sz w:val="22"/>
                              <w:szCs w:val="22"/>
                            </w:rPr>
                            <m:rPr/>
                            <m:t>2</m:t>
                          </m:r>
                        </m:sup>
                      </m:sSup>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p-valor</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Afiliados (AF)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Gasto Militar (GM)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14.77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0.005</w:t>
                  </w:r>
                  <w:r>
                    <w:rPr>
                      <w:rFonts w:ascii="Times New Roman" w:hAnsi="Times New Roman" w:eastAsia="Times New Roman" w:cs="Times New Roman"/>
                      <w:sz w:val="22"/>
                      <w:szCs w:val="22"/>
                    </w:rPr>
                  </w:r>
                </w:p>
              </w:tc>
            </w:tr>
            <w:tr>
              <w:trPr/>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Migración (MI)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22.25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Homicidios (HO)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12.79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0.012</w:t>
                  </w:r>
                  <w:r>
                    <w:rPr>
                      <w:rFonts w:ascii="Times New Roman" w:hAnsi="Times New Roman" w:eastAsia="Times New Roman" w:cs="Times New Roman"/>
                      <w:sz w:val="22"/>
                      <w:szCs w:val="22"/>
                    </w:rPr>
                  </w:r>
                </w:p>
              </w:tc>
            </w:tr>
            <w:tr>
              <w:trPr/>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Fuerza Laboral (FL)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13.81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0.008</w:t>
                  </w:r>
                  <w:r>
                    <w:rPr>
                      <w:rFonts w:ascii="Times New Roman" w:hAnsi="Times New Roman" w:eastAsia="Times New Roman" w:cs="Times New Roman"/>
                      <w:sz w:val="22"/>
                      <w:szCs w:val="22"/>
                    </w:rPr>
                  </w:r>
                </w:p>
              </w:tc>
            </w:tr>
            <w:tr>
              <w:trPr/>
              <w:tc>
                <w:tcPr>
                  <w:tcBorders/>
                </w:tcPr>
                <w:p>
                  <w:pPr>
                    <w:pStyle w:val="687"/>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TOTAL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81.77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Gasto Militar (GM)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Afiliados (AF)</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150.17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Migración (MI)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Homicidios (HO)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66.10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Homicidios (HO)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Migración (MI)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43.68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Fuerza Laboral (FL)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Todos</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312.74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bookmarkEnd w:id="49"/>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50"/>
            <w:bookmarkEnd w:id="51"/>
            <w:r>
              <w:rPr>
                <w:rFonts w:ascii="Times New Roman" w:hAnsi="Times New Roman" w:eastAsia="Times New Roman" w:cs="Times New Roman"/>
                <w:sz w:val="22"/>
                <w:szCs w:val="22"/>
              </w:rPr>
            </w:r>
          </w:p>
        </w:tc>
      </w:tr>
    </w:tbl>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54" w:name="estimación-de-cointegración"/>
      <w:r>
        <w:rPr>
          <w:rFonts w:ascii="Times New Roman" w:hAnsi="Times New Roman" w:eastAsia="Times New Roman" w:cs="Times New Roman"/>
          <w:sz w:val="22"/>
          <w:szCs w:val="22"/>
        </w:rPr>
        <w:t xml:space="preserve">4.2 Estimación de Cointegración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Due a la persistencia temporal y las fallas de especificación de los modelos</w:t>
      </w:r>
      <w:r>
        <w:rPr>
          <w:rFonts w:ascii="Times New Roman" w:hAnsi="Times New Roman" w:eastAsia="Times New Roman" w:cs="Times New Roman"/>
          <w:sz w:val="22"/>
          <w:szCs w:val="22"/>
        </w:rPr>
        <w:t xml:space="preserve"> estáticos, se emplea la técnica de Autorregresivos con Rezagos Distribuidos (ARDL). Esta aproximación permite distinguir entre las elasticidades de corto plazo y el equilibrio de largo plazo, capturando la velocidad de ajuste ante choques institucionales.</w:t>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53" w:name="dinámica-de-corto-plazo"/>
      <w:r>
        <w:rPr>
          <w:rFonts w:ascii="Times New Roman" w:hAnsi="Times New Roman" w:eastAsia="Times New Roman" w:cs="Times New Roman"/>
          <w:sz w:val="22"/>
          <w:szCs w:val="22"/>
        </w:rPr>
        <w:t xml:space="preserve">4.2.1 Dinámica de Corto Plazo</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w:t>
      </w:r>
      <w:r>
        <w:rPr>
          <w:rFonts w:ascii="Times New Roman" w:hAnsi="Times New Roman" w:eastAsia="Times New Roman" w:cs="Times New Roman"/>
          <w:sz w:val="22"/>
          <w:szCs w:val="22"/>
        </w:rPr>
        <w:t xml:space="preserve"> </w:t>
      </w:r>
      <w:hyperlink w:tooltip="#tbl-ardl-sr" w:anchor="tbl-ardl-sr" w:history="1">
        <w:r>
          <w:rPr>
            <w:rStyle w:val="731"/>
            <w:rFonts w:ascii="Times New Roman" w:hAnsi="Times New Roman" w:eastAsia="Times New Roman" w:cs="Times New Roman"/>
            <w:sz w:val="22"/>
            <w:szCs w:val="22"/>
          </w:rPr>
          <w:t xml:space="preserve">Tabla 8</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presenta los efectos inmediatos de las variables sobre la variación de los afiliados. Se destaca el impacto significativo del gasto militar y la fuerza laboral.</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52" w:name="tbl-ardl-sr"/>
            <w:r>
              <w:rPr>
                <w:rFonts w:ascii="Times New Roman" w:hAnsi="Times New Roman" w:eastAsia="Times New Roman" w:cs="Times New Roman"/>
                <w:sz w:val="22"/>
                <w:szCs w:val="22"/>
              </w:rPr>
              <w:t xml:space="preserve">Tabla 8: Coeficientes de Corto Plazo - Modelo ARDL</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Regresor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Diferencia (D1.)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p-valor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Interpretación</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Gasto Militar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-0.0699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0.022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Efecto contractivo inmediato (S)</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Migración Neta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0.082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Impacto marginal en el flujo (S)</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Log Tasa Homicidios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0.0516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0.181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No significativo en el cortísimo plazo</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Log Fuerza Laboral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0.7986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Principal motor de afiliación (HS)</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Constante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6.5528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Componente autónomo robusto</w:t>
                  </w:r>
                  <w:bookmarkEnd w:id="52"/>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53"/>
            <w:bookmarkEnd w:id="54"/>
            <w:r>
              <w:rPr>
                <w:rFonts w:ascii="Times New Roman" w:hAnsi="Times New Roman" w:eastAsia="Times New Roman" w:cs="Times New Roman"/>
                <w:sz w:val="22"/>
                <w:szCs w:val="22"/>
              </w:rPr>
            </w:r>
          </w:p>
        </w:tc>
      </w:tr>
    </w:tbl>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3" w:name="cointegración-y-estabilidad"/>
      <w:r>
        <w:rPr>
          <w:rFonts w:ascii="Times New Roman" w:hAnsi="Times New Roman" w:eastAsia="Times New Roman" w:cs="Times New Roman"/>
          <w:sz w:val="22"/>
          <w:szCs w:val="22"/>
        </w:rPr>
        <w:t xml:space="preserve">4.3 Cointegración y Estabilidad</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modelo ARDL permite capturar la relación de equilibrio de largo plazo y la estabilidad del sistema ante perturbaciones externas.</w:t>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56" w:name="relación-de-largo-plazo"/>
      <w:r>
        <w:rPr>
          <w:rFonts w:ascii="Times New Roman" w:hAnsi="Times New Roman" w:eastAsia="Times New Roman" w:cs="Times New Roman"/>
          <w:sz w:val="22"/>
          <w:szCs w:val="22"/>
        </w:rPr>
        <w:t xml:space="preserve">4.3.1 Relación de Largo Plazo</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modelo ARDL(1,2,2,1,1) revela las elasticidades estructurales que gobiernan el sistema del IESS en el largo plazo:</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55" w:name="tbl-ardl-lp"/>
            <w:r>
              <w:rPr>
                <w:rFonts w:ascii="Times New Roman" w:hAnsi="Times New Roman" w:eastAsia="Times New Roman" w:cs="Times New Roman"/>
                <w:sz w:val="22"/>
                <w:szCs w:val="22"/>
              </w:rPr>
              <w:t xml:space="preserve">Tabla 9: Coeficientes de Largo Plazo del Modelo ARDL</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2217"/>
              <w:gridCol w:w="1108"/>
              <w:gridCol w:w="950"/>
              <w:gridCol w:w="3643"/>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Regresor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Coeficiente (LP)</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p-valor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Interpretación</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Gasto Militar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-24.6987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0.924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Efecto de desplazamiento fiscal (explosivo, no sig.)</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Migración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0.923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Efecto no concluyente en largo plazo (no sig.)</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Homicidios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-22.9725</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0.923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Impacto contractivo extremo (divergente, no sig.)</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b/>
                      <w:bCs/>
                      <w:sz w:val="22"/>
                      <w:szCs w:val="22"/>
                    </w:rPr>
                    <w:t xml:space="preserve">Fuerza Laboral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106.0743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0.922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Relación inestable con la base productiva (no sig.)</w:t>
                  </w:r>
                  <w:bookmarkEnd w:id="55"/>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56"/>
            <w:r>
              <w:rPr>
                <w:rFonts w:ascii="Times New Roman" w:hAnsi="Times New Roman" w:eastAsia="Times New Roman" w:cs="Times New Roman"/>
                <w:sz w:val="22"/>
                <w:szCs w:val="22"/>
              </w:rPr>
            </w:r>
          </w:p>
        </w:tc>
      </w:tr>
    </w:tbl>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1" w:name="Xe6bffb10cafca0d99770bfb5187382b4d199f35"/>
      <w:r>
        <w:rPr>
          <w:rFonts w:ascii="Times New Roman" w:hAnsi="Times New Roman" w:eastAsia="Times New Roman" w:cs="Times New Roman"/>
          <w:sz w:val="22"/>
          <w:szCs w:val="22"/>
        </w:rPr>
        <w:t xml:space="preserve">4.3.2 Análisis del Mecanismo de Ajuste e Inestabilidad Lineal</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coeficiente de ajuste derivado del modelo de corrección de error presenta un valor positivo de +0.0042 con un p-valor de 0.924. Desde la perspectiva estrictamente econométrica</w:t>
      </w:r>
      <w:r>
        <w:rPr>
          <w:rFonts w:ascii="Times New Roman" w:hAnsi="Times New Roman" w:eastAsia="Times New Roman" w:cs="Times New Roman"/>
          <w:sz w:val="22"/>
          <w:szCs w:val="22"/>
        </w:rPr>
        <w:t xml:space="preserve">, este resultado posee alta relevancia diagnóstica ya que el signo positivo y la falta de significancia estadística del vector de cointegración lineal en el largo plazo indican la total ausencia de mecanismos de convergencia hacia un equilibrio estable. La</w:t>
      </w:r>
      <w:r>
        <w:rPr>
          <w:rFonts w:ascii="Times New Roman" w:hAnsi="Times New Roman" w:eastAsia="Times New Roman" w:cs="Times New Roman"/>
          <w:sz w:val="22"/>
          <w:szCs w:val="22"/>
        </w:rPr>
        <w:t xml:space="preserve"> </w:t>
      </w:r>
      <w:hyperlink w:tooltip="#fig-cusum" w:anchor="fig-cusum" w:history="1">
        <w:r>
          <w:rPr>
            <w:rStyle w:val="731"/>
            <w:rFonts w:ascii="Times New Roman" w:hAnsi="Times New Roman" w:eastAsia="Times New Roman" w:cs="Times New Roman"/>
            <w:sz w:val="22"/>
            <w:szCs w:val="22"/>
          </w:rPr>
          <w:t xml:space="preserve">Figura 2</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de estabilidad de residuos corrobora este comportamiento, al situarse en el umbral de las bandas de confianza al 5%. Esta inestabilidad estructural es consistente con los hallazgos de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Şarısoy (2026)</w:t>
      </w:r>
      <w:r>
        <w:rPr>
          <w:rFonts w:ascii="Times New Roman" w:hAnsi="Times New Roman" w:eastAsia="Times New Roman" w:cs="Times New Roman"/>
          <w:sz w:val="22"/>
          <w:szCs w:val="22"/>
        </w:rPr>
        <w:t xml:space="preserve">, quienes documentan que la acumulación de choques fiscales persistentes en sistemas previsionales rompe la estabilidad paramétrica lineal y altera el retorno al estado de equilibrio dinámico de largo plazo.</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w:bookmarkStart w:id="60" w:name="fig-cusum"/>
            <w:r>
              <w:rPr>
                <w:rFonts w:ascii="Times New Roman" w:hAnsi="Times New Roman" w:eastAsia="Times New Roman" w:cs="Times New Roman"/>
                <w:sz w:val="22"/>
                <w:szCs w:val="22"/>
              </w:rPr>
              <mc:AlternateContent>
                <mc:Choice Requires="wpg">
                  <w:drawing>
                    <wp:inline xmlns:wp="http://schemas.openxmlformats.org/drawingml/2006/wordprocessingDrawing" distT="0" distB="0" distL="0" distR="0">
                      <wp:extent cx="4000500" cy="2910363"/>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assets/cusum_plot.png"/>
                              <pic:cNvPicPr>
                                <a:picLocks noChangeAspect="1" noChangeArrowheads="1"/>
                              </pic:cNvPicPr>
                              <pic:nvPr/>
                            </pic:nvPicPr>
                            <pic:blipFill rotWithShape="1">
                              <a:blip r:embed="rId17"/>
                              <a:stretch/>
                            </pic:blipFill>
                            <pic:spPr bwMode="auto">
                              <a:xfrm>
                                <a:off x="0" y="0"/>
                                <a:ext cx="4000500" cy="291036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5.00pt;height:229.16pt;mso-wrap-distance-left:0.00pt;mso-wrap-distance-top:0.00pt;mso-wrap-distance-right:0.00pt;mso-wrap-distance-bottom:0.00pt;z-index:1;" stroked="f" strokeweight="0.75pt">
                      <v:imagedata r:id="rId17" o:title=""/>
                      <o:lock v:ext="edit" rotation="t"/>
                    </v:shape>
                  </w:pict>
                </mc:Fallback>
              </mc:AlternateContent>
            </w:r>
            <w:r>
              <w:rPr>
                <w:rFonts w:ascii="Times New Roman" w:hAnsi="Times New Roman" w:eastAsia="Times New Roman" w:cs="Times New Roman"/>
                <w:sz w:val="22"/>
                <w:szCs w:val="22"/>
              </w:rPr>
            </w:r>
          </w:p>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t xml:space="preserve">Figura 2: Prueba CUSUM de estabilidad estructural para los residuos del modelo previsional (1990-2024)</w:t>
            </w:r>
            <w:bookmarkEnd w:id="60"/>
            <w:r>
              <w:rPr>
                <w:rFonts w:ascii="Times New Roman" w:hAnsi="Times New Roman" w:eastAsia="Times New Roman" w:cs="Times New Roman"/>
                <w:sz w:val="22"/>
                <w:szCs w:val="22"/>
              </w:rPr>
            </w:r>
          </w:p>
        </w:tc>
      </w:tr>
    </w:tbl>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[Esto demues</w:t>
      </w:r>
      <w:r>
        <w:rPr>
          <w:rFonts w:ascii="Times New Roman" w:hAnsi="Times New Roman" w:eastAsia="Times New Roman" w:cs="Times New Roman"/>
          <w:sz w:val="22"/>
          <w:szCs w:val="22"/>
        </w:rPr>
        <w:t xml:space="preserve">tra empíricamente que el sistema previsional del IESS se encuentra en una trayectoria divergente y explosiva ante perturbaciones en sus determinantes. Las fricciones estructurales del mercado laboral ecuatoriano, caracterizadas por el subempleo y la inform</w:t>
      </w:r>
      <w:r>
        <w:rPr>
          <w:rFonts w:ascii="Times New Roman" w:hAnsi="Times New Roman" w:eastAsia="Times New Roman" w:cs="Times New Roman"/>
          <w:sz w:val="22"/>
          <w:szCs w:val="22"/>
        </w:rPr>
        <w:t xml:space="preserve">alidad defensiva, en conjunto con los choques fiscales de seguridad, impiden que los mecanismos lineales clásicos restituyan el equilibrio del sistema. Esta ruptura del equilibrio lineal es precisamente lo que justifica de forma científica la transición ha</w:t>
      </w:r>
      <w:r>
        <w:rPr>
          <w:rFonts w:ascii="Times New Roman" w:hAnsi="Times New Roman" w:eastAsia="Times New Roman" w:cs="Times New Roman"/>
          <w:sz w:val="22"/>
          <w:szCs w:val="22"/>
        </w:rPr>
        <w:t xml:space="preserve">cia aproximaciones no lineales y no paramétricas, tales como la validación no paramétrica mediante el estimador de mínimos cuadrados regularizados basados en kernel, que captura las relaciones funcionales complejas en entornos de inestabilidad estructural.</w:t>
      </w:r>
      <w:bookmarkEnd w:id="61"/>
      <w:r>
        <w:rPr>
          <w:rFonts w:ascii="Times New Roman" w:hAnsi="Times New Roman" w:eastAsia="Times New Roman" w:cs="Times New Roman"/>
        </w:rPr>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2" w:name="discusión-de-hallazgos"/>
      <w:r>
        <w:rPr>
          <w:rFonts w:ascii="Times New Roman" w:hAnsi="Times New Roman" w:eastAsia="Times New Roman" w:cs="Times New Roman"/>
          <w:sz w:val="22"/>
          <w:szCs w:val="22"/>
        </w:rPr>
        <w:t xml:space="preserve">4.3.3 Discusión de Hallazgos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Los resultados obtenidos mediante los modelos autorregresivos y de mínimos cuadrados regularizados basados en kernel permiten real</w:t>
      </w:r>
      <w:r>
        <w:rPr>
          <w:rFonts w:ascii="Times New Roman" w:hAnsi="Times New Roman" w:eastAsia="Times New Roman" w:cs="Times New Roman"/>
          <w:sz w:val="22"/>
          <w:szCs w:val="22"/>
        </w:rPr>
        <w:t xml:space="preserve">izar una lectura crítica de la sostenibilidad del seguro social en el Ecuador. Este análisis, realizado de manera agregada, contrasta los coeficientes estimados con la literatura empírica global e institucional pertinente para cada determinante del modelo.</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dinamismo del mercado de trabajo, evaluado mediante la fuerza laboral, constituye el motor principal del padrón contributivo del sistema prevision</w:t>
      </w:r>
      <w:r>
        <w:rPr>
          <w:rFonts w:ascii="Times New Roman" w:hAnsi="Times New Roman" w:eastAsia="Times New Roman" w:cs="Times New Roman"/>
          <w:sz w:val="22"/>
          <w:szCs w:val="22"/>
        </w:rPr>
        <w:t xml:space="preserve">al. Las estimaciones dinámicas revelan que las variaciones de la fuerza laboral tienen un impacto positivo y significativo de 0.7986 en el corto plazo, mientras que el efecto marginal promedio de la regularización no paramétrica se sitúa en 1.2074. No obst</w:t>
      </w:r>
      <w:r>
        <w:rPr>
          <w:rFonts w:ascii="Times New Roman" w:hAnsi="Times New Roman" w:eastAsia="Times New Roman" w:cs="Times New Roman"/>
          <w:sz w:val="22"/>
          <w:szCs w:val="22"/>
        </w:rPr>
        <w:t xml:space="preserve">ante, la velocidad de ajuste lineal positiva e inestable de +0.0042 sugiere una trayectoria de desequilibrio dinámico divergente que contradice el supuesto de estado estacionario y pleno empleo del modelo de generaciones traslapadas propuesto por Diamond (</w:t>
      </w:r>
      <w:r>
        <w:rPr>
          <w:rFonts w:ascii="Times New Roman" w:hAnsi="Times New Roman" w:eastAsia="Times New Roman" w:cs="Times New Roman"/>
          <w:sz w:val="22"/>
          <w:szCs w:val="22"/>
        </w:rPr>
        <w:t xml:space="preserve">Diamond (1965)</w:t>
      </w:r>
      <w:r>
        <w:rPr>
          <w:rFonts w:ascii="Times New Roman" w:hAnsi="Times New Roman" w:eastAsia="Times New Roman" w:cs="Times New Roman"/>
          <w:sz w:val="22"/>
          <w:szCs w:val="22"/>
        </w:rPr>
        <w:t xml:space="preserve">). En concordancia con los estudios de pensiones en países con mercados laborales fragmentados (</w:t>
      </w:r>
      <w:r>
        <w:rPr>
          <w:rFonts w:ascii="Times New Roman" w:hAnsi="Times New Roman" w:eastAsia="Times New Roman" w:cs="Times New Roman"/>
          <w:sz w:val="22"/>
          <w:szCs w:val="22"/>
        </w:rPr>
        <w:t xml:space="preserve">Gao y Lu (2025)</w:t>
      </w:r>
      <w:r>
        <w:rPr>
          <w:rFonts w:ascii="Times New Roman" w:hAnsi="Times New Roman" w:eastAsia="Times New Roman" w:cs="Times New Roman"/>
          <w:sz w:val="22"/>
          <w:szCs w:val="22"/>
        </w:rPr>
        <w:t xml:space="preserve">), la incapacidad de </w:t>
      </w:r>
      <w:r>
        <w:rPr>
          <w:rFonts w:ascii="Times New Roman" w:hAnsi="Times New Roman" w:eastAsia="Times New Roman" w:cs="Times New Roman"/>
          <w:sz w:val="22"/>
          <w:szCs w:val="22"/>
        </w:rPr>
        <w:t xml:space="preserve">la economía para formalizar de manera estable el crecimiento de la fuerza laboral, que en el Ecuador presenta tasas de informalidad superiores al 53%, bloquea el mecanismo de convergencia del sistema y debilita la viabilidad del contrato intergeneracional.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El gasto militar ejerce un impacto contractivo inmediato en el corto plazo de -0.0699, el cual es consistente con el efecto marginal promedio de -0.0762 reportado por el estimador de mínimos cuadrados regularizados basados en kernel. Este comportamien</w:t>
      </w:r>
      <w:r>
        <w:rPr>
          <w:rFonts w:ascii="Times New Roman" w:hAnsi="Times New Roman" w:eastAsia="Times New Roman" w:cs="Times New Roman"/>
          <w:sz w:val="22"/>
          <w:szCs w:val="22"/>
        </w:rPr>
        <w:t xml:space="preserve">to confirma un canal de transmisión de desplazamiento fiscal o crowding-out que opera sobre el presupuesto público del Ecuador. La inestabilidad de las finanzas públicas ecuatorianas, provocada por choques fiscales externos y rigideces de la dolarización (</w:t>
      </w:r>
      <w:r>
        <w:rPr>
          <w:rFonts w:ascii="Times New Roman" w:hAnsi="Times New Roman" w:eastAsia="Times New Roman" w:cs="Times New Roman"/>
          <w:sz w:val="22"/>
          <w:szCs w:val="22"/>
        </w:rPr>
        <w:t xml:space="preserve">Baculima-Cuesta et al. (2026)</w:t>
      </w:r>
      <w:r>
        <w:rPr>
          <w:rFonts w:ascii="Times New Roman" w:hAnsi="Times New Roman" w:eastAsia="Times New Roman" w:cs="Times New Roman"/>
          <w:sz w:val="22"/>
          <w:szCs w:val="22"/>
        </w:rPr>
        <w:t xml:space="preserve">), genera tensiones presupuestarias que inducen al Estado a priorizar el gasto de seguridad y defensa nacional sobre la transferencia constitucional obligatoria del 40% destinada al fondo de pensiones. Ante estas pres</w:t>
      </w:r>
      <w:r>
        <w:rPr>
          <w:rFonts w:ascii="Times New Roman" w:hAnsi="Times New Roman" w:eastAsia="Times New Roman" w:cs="Times New Roman"/>
          <w:sz w:val="22"/>
          <w:szCs w:val="22"/>
        </w:rPr>
        <w:t xml:space="preserve">iones de caja, el retraso del financiamiento público corriente fuerza la descapitalización anticipada de las reservas del fondo de invalidez, vejez y muerte, deteriorando la confianza de los afiliados activos sobre el retorno de sus contribuciones futuras.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Por su parte, la inestabilidad social, medida mediante la tasa de homicidios</w:t>
      </w:r>
      <w:r>
        <w:rPr>
          <w:rFonts w:ascii="Times New Roman" w:hAnsi="Times New Roman" w:eastAsia="Times New Roman" w:cs="Times New Roman"/>
          <w:sz w:val="22"/>
          <w:szCs w:val="22"/>
        </w:rPr>
        <w:t xml:space="preserve">, actúa como un gravamen implícito e impredecible para la actividad formal del país. Las estimaciones de regularización no paramétrica reportan un efecto marginal promedio contractivo de -0.1314. En la línea de la economía del crimen propuesta por Becker (</w:t>
      </w:r>
      <w:r>
        <w:rPr>
          <w:rFonts w:ascii="Times New Roman" w:hAnsi="Times New Roman" w:eastAsia="Times New Roman" w:cs="Times New Roman"/>
          <w:sz w:val="22"/>
          <w:szCs w:val="22"/>
        </w:rPr>
        <w:t xml:space="preserve">Becker (1968)</w:t>
      </w:r>
      <w:r>
        <w:rPr>
          <w:rFonts w:ascii="Times New Roman" w:hAnsi="Times New Roman" w:eastAsia="Times New Roman" w:cs="Times New Roman"/>
          <w:sz w:val="22"/>
          <w:szCs w:val="22"/>
        </w:rPr>
        <w:t xml:space="preserve">), la escalada de la violencia delictiva actúa como un desincentivo severo para la inversión y la formalización laboral. Como explican las investigaciones previas para el entorno latinoamericano (</w:t>
      </w:r>
      <w:r>
        <w:rPr>
          <w:rFonts w:ascii="Times New Roman" w:hAnsi="Times New Roman" w:eastAsia="Times New Roman" w:cs="Times New Roman"/>
          <w:sz w:val="22"/>
          <w:szCs w:val="22"/>
        </w:rPr>
        <w:t xml:space="preserve">Maydom (2023)</w:t>
      </w:r>
      <w:r>
        <w:rPr>
          <w:rFonts w:ascii="Times New Roman" w:hAnsi="Times New Roman" w:eastAsia="Times New Roman" w:cs="Times New Roman"/>
          <w:sz w:val="22"/>
          <w:szCs w:val="22"/>
        </w:rPr>
        <w:t xml:space="preserve">), la inseguridad física y el riesgo de extorsión comercial empujan a microempresarios y trabajadores independientes a refugiarse en la informalidad defensiva para reducir su visibilidad regulatoria,</w:t>
      </w:r>
      <w:r>
        <w:rPr>
          <w:rFonts w:ascii="Times New Roman" w:hAnsi="Times New Roman" w:eastAsia="Times New Roman" w:cs="Times New Roman"/>
          <w:sz w:val="22"/>
          <w:szCs w:val="22"/>
        </w:rPr>
        <w:t xml:space="preserve"> disminuyendo la recaudación de contribuciones previsionales. Asimismo, la respuesta militarizada y la fragmentación institucional que caracterizan a las guerras criminales en la región terminan por contraer la demanda de trabajo formal en el largo plazo (</w:t>
      </w:r>
      <w:r>
        <w:rPr>
          <w:rFonts w:ascii="Times New Roman" w:hAnsi="Times New Roman" w:eastAsia="Times New Roman" w:cs="Times New Roman"/>
          <w:sz w:val="22"/>
          <w:szCs w:val="22"/>
        </w:rPr>
        <w:t xml:space="preserve">Zepeda Gil (2023)</w:t>
      </w:r>
      <w:r>
        <w:rPr>
          <w:rFonts w:ascii="Times New Roman" w:hAnsi="Times New Roman" w:eastAsia="Times New Roman" w:cs="Times New Roman"/>
          <w:sz w:val="22"/>
          <w:szCs w:val="22"/>
        </w:rPr>
        <w:t xml:space="preserve">), consolidando tasas de desafiliación críticas como las documentadas a nivel nacional (</w:t>
      </w:r>
      <w:r>
        <w:rPr>
          <w:rFonts w:ascii="Times New Roman" w:hAnsi="Times New Roman" w:eastAsia="Times New Roman" w:cs="Times New Roman"/>
          <w:sz w:val="22"/>
          <w:szCs w:val="22"/>
        </w:rPr>
        <w:t xml:space="preserve">Murillo et al. (2025)</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Finalmente, el saldo migratorio neto del Ecuador exhibe un</w:t>
      </w:r>
      <w:r>
        <w:rPr>
          <w:rFonts w:ascii="Times New Roman" w:hAnsi="Times New Roman" w:eastAsia="Times New Roman" w:cs="Times New Roman"/>
          <w:sz w:val="22"/>
          <w:szCs w:val="22"/>
        </w:rPr>
        <w:t xml:space="preserve"> efecto marginal promedio negativo y significativo en la estimación de mínimos cuadrados regularizados basados en kernel. A nivel macroeconómico, los flujos migratorios de salida representan la pérdida de capital humano productivo que emigra debido a la pr</w:t>
      </w:r>
      <w:r>
        <w:rPr>
          <w:rFonts w:ascii="Times New Roman" w:hAnsi="Times New Roman" w:eastAsia="Times New Roman" w:cs="Times New Roman"/>
          <w:sz w:val="22"/>
          <w:szCs w:val="22"/>
        </w:rPr>
        <w:t xml:space="preserve">ecariedad de las condiciones del mercado laboral interno. Esta contracción poblacional reduce físicamente el número de cotizantes jóvenes disponibles en el país, acelerando el déficit financiero corriente inmediato del fondo de pensiones en el largo plazo.</w:t>
      </w:r>
      <w:bookmarkEnd w:id="62"/>
      <w:r>
        <w:rPr>
          <w:rFonts w:ascii="Times New Roman" w:hAnsi="Times New Roman" w:eastAsia="Times New Roman" w:cs="Times New Roman"/>
        </w:rPr>
      </w:r>
      <w:bookmarkEnd w:id="63"/>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6" w:name="X5ceac4c0a23bbdef8f8a92a40e8096a8c258fbe"/>
      <w:r>
        <w:rPr>
          <w:rFonts w:ascii="Times New Roman" w:hAnsi="Times New Roman" w:eastAsia="Times New Roman" w:cs="Times New Roman"/>
          <w:sz w:val="22"/>
          <w:szCs w:val="22"/>
        </w:rPr>
        <w:t xml:space="preserve">4.4 Diagnósticos Post-estimación y Validación Robusta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validez de las inferencias se sustenta en la auditoría técnica de los residuos y la estabilidad estructural del sistema.</w:t>
      </w:r>
      <w:r>
        <w:rPr>
          <w:rFonts w:ascii="Times New Roman" w:hAnsi="Times New Roman" w:eastAsia="Times New Roman" w:cs="Times New Roman"/>
          <w:sz w:val="22"/>
          <w:szCs w:val="22"/>
        </w:rPr>
      </w:r>
    </w:p>
    <w:p>
      <w:pPr>
        <w:pStyle w:val="699"/>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5" w:name="auditoría-de-residuos"/>
      <w:r>
        <w:rPr>
          <w:rFonts w:ascii="Times New Roman" w:hAnsi="Times New Roman" w:eastAsia="Times New Roman" w:cs="Times New Roman"/>
          <w:sz w:val="22"/>
          <w:szCs w:val="22"/>
        </w:rPr>
        <w:t xml:space="preserve">4.4.1 Auditoría de Residuos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w:t>
      </w:r>
      <w:r>
        <w:rPr>
          <w:rFonts w:ascii="Times New Roman" w:hAnsi="Times New Roman" w:eastAsia="Times New Roman" w:cs="Times New Roman"/>
          <w:sz w:val="22"/>
          <w:szCs w:val="22"/>
        </w:rPr>
        <w:t xml:space="preserve"> </w:t>
      </w:r>
      <w:hyperlink w:tooltip="#tbl-diagnosticos" w:anchor="tbl-diagnosticos" w:history="1">
        <w:r>
          <w:rPr>
            <w:rStyle w:val="731"/>
            <w:rFonts w:ascii="Times New Roman" w:hAnsi="Times New Roman" w:eastAsia="Times New Roman" w:cs="Times New Roman"/>
            <w:sz w:val="22"/>
            <w:szCs w:val="22"/>
          </w:rPr>
          <w:t xml:space="preserve">Tabla 10</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presenta las pruebas de diagnóstico sobre la especificación base. La detección de autocorrelación (</w:t>
      </w:r>
      <m:oMath>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0.000</m:t>
        </m:r>
      </m:oMath>
      <w:r>
        <w:rPr>
          <w:rFonts w:ascii="Times New Roman" w:hAnsi="Times New Roman" w:eastAsia="Times New Roman" w:cs="Times New Roman"/>
          <w:sz w:val="22"/>
          <w:szCs w:val="22"/>
        </w:rPr>
        <w:t xml:space="preserve">) y heterocedasticidad (</w:t>
      </w:r>
      <m:oMath>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0.036</m:t>
        </m:r>
      </m:oMath>
      <w:r>
        <w:rPr>
          <w:rFonts w:ascii="Times New Roman" w:hAnsi="Times New Roman" w:eastAsia="Times New Roman" w:cs="Times New Roman"/>
          <w:sz w:val="22"/>
          <w:szCs w:val="22"/>
        </w:rPr>
        <w:t xml:space="preserve">) invalida el uso de estimadores estáticos tradicionales, justificando la transición hacia modelos de corrección de error (ARDL) para capturar la dinámica compleja de los datos. Esta distorsión residual es similar a la documentada por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Baculima-Cuesta et al. (2026)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al modelar las finanzas públicas ecuatorianas, donde la no linealidad severa detectada por la prueba RESET de Ramsey (</w:t>
      </w:r>
      <m:oMath>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0.000</m:t>
        </m:r>
      </m:oMath>
      <w:r>
        <w:rPr>
          <w:rFonts w:ascii="Times New Roman" w:hAnsi="Times New Roman" w:eastAsia="Times New Roman" w:cs="Times New Roman"/>
          <w:sz w:val="22"/>
          <w:szCs w:val="22"/>
        </w:rPr>
        <w:t xml:space="preserve">) justifica metodológicamente descartar las regresiones convencionales en favor de estimadores no paramétricos.</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64" w:name="tbl-diagnosticos"/>
            <w:r>
              <w:rPr>
                <w:rFonts w:ascii="Times New Roman" w:hAnsi="Times New Roman" w:eastAsia="Times New Roman" w:cs="Times New Roman"/>
                <w:sz w:val="22"/>
                <w:szCs w:val="22"/>
              </w:rPr>
              <w:t xml:space="preserve">Tabla 10: Auditoría de diagnóstico sobre los residuos del modelo</w:t>
            </w:r>
            <w:r>
              <w:rPr>
                <w:rFonts w:ascii="Times New Roman" w:hAnsi="Times New Roman" w:eastAsia="Times New Roman" w:cs="Times New Roman"/>
                <w:sz w:val="22"/>
                <w:szCs w:val="22"/>
              </w:rPr>
            </w:r>
          </w:p>
          <w:tbl>
            <w:tblPr>
              <w:tblStyle w:val="719"/>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Prueba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Estadístico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p-valor</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Conclusión</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Normalidad (Jarque-Bera)</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χ</m:t>
                          </m:r>
                        </m:e>
                        <m:sup>
                          <m:r>
                            <w:rPr>
                              <w:rFonts w:hint="default" w:ascii="Cambria Math" w:hAnsi="Cambria Math" w:eastAsia="Cambria Math" w:cs="Cambria Math"/>
                              <w:sz w:val="22"/>
                              <w:szCs w:val="22"/>
                            </w:rPr>
                            <m:rPr/>
                            <m:t>2</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1.94</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0.379</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No se rechaza normalidad</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Autocorrelación (Breusch-Godfrey)</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χ</m:t>
                          </m:r>
                        </m:e>
                        <m:sup>
                          <m:r>
                            <w:rPr>
                              <w:rFonts w:hint="default" w:ascii="Cambria Math" w:hAnsi="Cambria Math" w:eastAsia="Cambria Math" w:cs="Cambria Math"/>
                              <w:sz w:val="22"/>
                              <w:szCs w:val="22"/>
                            </w:rPr>
                            <m:rPr/>
                            <m:t>2</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27.97</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Presencia de autocorrelación</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Heterocedasticidad (White)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χ</m:t>
                          </m:r>
                        </m:e>
                        <m:sup>
                          <m:r>
                            <w:rPr>
                              <w:rFonts w:hint="default" w:ascii="Cambria Math" w:hAnsi="Cambria Math" w:eastAsia="Cambria Math" w:cs="Cambria Math"/>
                              <w:sz w:val="22"/>
                              <w:szCs w:val="22"/>
                            </w:rPr>
                            <m:rPr/>
                            <m:t>2</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14</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24.82</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0.036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Presencia de heterocedasticidad</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Especificación (Ramsey RESET)</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r>
                  <m:oMathPara>
                    <m:oMathParaPr/>
                    <m:oMath>
                      <m:r>
                        <w:rPr>
                          <w:rFonts w:hint="default" w:ascii="Cambria Math" w:hAnsi="Cambria Math" w:eastAsia="Cambria Math" w:cs="Cambria Math"/>
                          <w:sz w:val="22"/>
                          <w:szCs w:val="22"/>
                        </w:rPr>
                        <m:rPr/>
                        <m:t>F</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3</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27</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24.20</m:t>
                      </m:r>
                    </m:oMath>
                  </m:oMathPara>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Evidencia de no linealidad</w:t>
                  </w:r>
                  <w:bookmarkEnd w:id="64"/>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65"/>
            <w:bookmarkEnd w:id="66"/>
            <w:r>
              <w:rPr>
                <w:rFonts w:ascii="Times New Roman" w:hAnsi="Times New Roman" w:eastAsia="Times New Roman" w:cs="Times New Roman"/>
                <w:sz w:val="22"/>
                <w:szCs w:val="22"/>
              </w:rPr>
            </w:r>
          </w:p>
        </w:tc>
      </w:tr>
    </w:tbl>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68" w:name="validación-no-lineal"/>
      <w:r>
        <w:rPr>
          <w:rFonts w:ascii="Times New Roman" w:hAnsi="Times New Roman" w:eastAsia="Times New Roman" w:cs="Times New Roman"/>
          <w:sz w:val="22"/>
          <w:szCs w:val="22"/>
        </w:rPr>
        <w:t xml:space="preserve">4.5 Validación No Lineal</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Ante el rechazo de la hipótesis de linealidad en la prueba RESET (</w:t>
      </w:r>
      <m:oMath>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t>0.000</m:t>
        </m:r>
      </m:oMath>
      <w:r>
        <w:rPr>
          <w:rFonts w:ascii="Times New Roman" w:hAnsi="Times New Roman" w:eastAsia="Times New Roman" w:cs="Times New Roman"/>
          <w:sz w:val="22"/>
          <w:szCs w:val="22"/>
        </w:rPr>
        <w:t xml:space="preserve">), se implementa la validación robusta mediante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Kernel-based Regularized Least Squares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(KRLS). Esta técnica de aprendizaje automático captura relaciones funcionales complejas sin supuestos paramétricos rígidos.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A diferencia de las elasticidades lineales de largo plazo, los efectos marginales promedio en</w:t>
      </w:r>
      <w:r>
        <w:rPr>
          <w:rFonts w:ascii="Times New Roman" w:hAnsi="Times New Roman" w:eastAsia="Times New Roman" w:cs="Times New Roman"/>
          <w:sz w:val="22"/>
          <w:szCs w:val="22"/>
        </w:rPr>
        <w:t xml:space="preserve"> </w:t>
      </w:r>
      <w:hyperlink w:tooltip="#tbl-krls" w:anchor="tbl-krls" w:history="1">
        <w:r>
          <w:rPr>
            <w:rStyle w:val="731"/>
            <w:rFonts w:ascii="Times New Roman" w:hAnsi="Times New Roman" w:eastAsia="Times New Roman" w:cs="Times New Roman"/>
            <w:sz w:val="22"/>
            <w:szCs w:val="22"/>
          </w:rPr>
          <w:t xml:space="preserve">Tabla 11</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son estadísticamente significativos para todos los determinantes (</w:t>
      </w:r>
      <m:oMath>
        <m:r>
          <w:rPr>
            <w:rFonts w:hint="default" w:ascii="Cambria Math" w:hAnsi="Cambria Math" w:eastAsia="Cambria Math" w:cs="Cambria Math"/>
            <w:sz w:val="22"/>
            <w:szCs w:val="22"/>
          </w:rPr>
          <m:rPr/>
          <m:t>p</m:t>
        </m:r>
        <m:r>
          <w:rPr>
            <w:rFonts w:hint="default" w:ascii="Cambria Math" w:hAnsi="Cambria Math" w:eastAsia="Cambria Math" w:cs="Cambria Math"/>
            <w:sz w:val="22"/>
            <w:szCs w:val="22"/>
          </w:rPr>
          <m:rPr>
            <m:sty m:val="p"/>
          </m:rPr>
          <m:t>&lt;</m:t>
        </m:r>
        <m:r>
          <w:rPr>
            <w:rFonts w:hint="default" w:ascii="Cambria Math" w:hAnsi="Cambria Math" w:eastAsia="Cambria Math" w:cs="Cambria Math"/>
            <w:sz w:val="22"/>
            <w:szCs w:val="22"/>
          </w:rPr>
          <m:rPr/>
          <m:t>0.01</m:t>
        </m:r>
      </m:oMath>
      <w:r>
        <w:rPr>
          <w:rFonts w:ascii="Times New Roman" w:hAnsi="Times New Roman" w:eastAsia="Times New Roman" w:cs="Times New Roman"/>
          <w:sz w:val="22"/>
          <w:szCs w:val="22"/>
        </w:rPr>
        <w:t xml:space="preserve">). El contraste entre la insignificancia del ARDL y la robustez del KRLS evidencia que la crisis del IESS responde a umbrales críticos de seguridad y presión fiscal, cuya complejidad no es capturada por modelos paramétricos convencionales.</w:t>
      </w:r>
      <w:r>
        <w:rPr>
          <w:rFonts w:ascii="Times New Roman" w:hAnsi="Times New Roman" w:eastAsia="Times New Roman" w:cs="Times New Roman"/>
          <w:sz w:val="22"/>
          <w:szCs w:val="22"/>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left"/>
              <w:rPr>
                <w:rFonts w:ascii="Times New Roman" w:hAnsi="Times New Roman" w:cs="Times New Roman"/>
                <w:sz w:val="22"/>
                <w:szCs w:val="22"/>
              </w:rPr>
            </w:pPr>
            <w:r>
              <w:rPr>
                <w:rFonts w:ascii="Times New Roman" w:hAnsi="Times New Roman" w:eastAsia="Times New Roman" w:cs="Times New Roman"/>
                <w:sz w:val="22"/>
                <w:szCs w:val="22"/>
              </w:rPr>
            </w:r>
            <w:bookmarkStart w:id="67" w:name="tbl-krls"/>
            <w:r>
              <w:rPr>
                <w:rFonts w:ascii="Times New Roman" w:hAnsi="Times New Roman" w:eastAsia="Times New Roman" w:cs="Times New Roman"/>
                <w:sz w:val="22"/>
                <w:szCs w:val="22"/>
              </w:rPr>
              <w:t xml:space="preserve">Tabla 11: Resultados de la validación robusta mediante KRLS</w:t>
            </w:r>
            <w:r>
              <w:rPr>
                <w:rFonts w:ascii="Times New Roman" w:hAnsi="Times New Roman" w:eastAsia="Times New Roman" w:cs="Times New Roman"/>
                <w:sz w:val="22"/>
                <w:szCs w:val="22"/>
              </w:rPr>
            </w:r>
          </w:p>
          <w:tbl>
            <w:tblPr>
              <w:tblStyle w:val="719"/>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Variable</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Efecto Promedio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Desv. Est.</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t-stat</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p-valor</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Gasto Militar (GM)</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0.1448</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0.0227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6.376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Migración (MI)</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-2.1e-06</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5.8e-07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-3.517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Homicidios (HO)</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-0.1314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0.0352</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-3.733</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0.001***</w:t>
                  </w:r>
                  <w:r>
                    <w:rPr>
                      <w:rFonts w:ascii="Times New Roman" w:hAnsi="Times New Roman" w:eastAsia="Times New Roman" w:cs="Times New Roman"/>
                      <w:sz w:val="22"/>
                      <w:szCs w:val="22"/>
                    </w:rPr>
                  </w:r>
                </w:p>
              </w:tc>
            </w:tr>
            <w:tr>
              <w:trPr/>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Fuerza Laboral (FL)</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1.2074</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0.0671</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17.997</w:t>
                  </w:r>
                  <w:r>
                    <w:rPr>
                      <w:rFonts w:ascii="Times New Roman" w:hAnsi="Times New Roman" w:eastAsia="Times New Roman" w:cs="Times New Roman"/>
                      <w:sz w:val="22"/>
                      <w:szCs w:val="22"/>
                    </w:rPr>
                  </w:r>
                </w:p>
              </w:tc>
              <w:tc>
                <w:tcPr>
                  <w:tcBorders/>
                </w:tcPr>
                <w:p>
                  <w:pPr>
                    <w:pStyle w:val="687"/>
                    <w:pBdr/>
                    <w:spacing/>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0.000***</w:t>
                  </w:r>
                  <w:bookmarkEnd w:id="67"/>
                  <w:r>
                    <w:rPr>
                      <w:rFonts w:ascii="Times New Roman" w:hAnsi="Times New Roman" w:eastAsia="Times New Roman" w:cs="Times New Roman"/>
                      <w:sz w:val="22"/>
                      <w:szCs w:val="22"/>
                    </w:rPr>
                  </w:r>
                </w:p>
              </w:tc>
            </w:tr>
          </w:tbl>
          <w:p>
            <w:pPr>
              <w:pBdr/>
              <w:spacing/>
              <w:ind/>
              <w:rPr>
                <w:rFonts w:ascii="Times New Roman" w:hAnsi="Times New Roman" w:cs="Times New Roman"/>
                <w:sz w:val="22"/>
                <w:szCs w:val="22"/>
              </w:rPr>
            </w:pPr>
            <w:r>
              <w:rPr>
                <w:rFonts w:ascii="Times New Roman" w:hAnsi="Times New Roman" w:eastAsia="Times New Roman" w:cs="Times New Roman"/>
                <w:sz w:val="22"/>
                <w:szCs w:val="22"/>
              </w:rPr>
            </w:r>
            <w:bookmarkEnd w:id="68"/>
            <w:bookmarkEnd w:id="69"/>
            <w:r>
              <w:rPr>
                <w:rFonts w:ascii="Times New Roman" w:hAnsi="Times New Roman" w:eastAsia="Times New Roman" w:cs="Times New Roman"/>
                <w:sz w:val="22"/>
                <w:szCs w:val="22"/>
              </w:rPr>
            </w:r>
          </w:p>
        </w:tc>
      </w:tr>
    </w:tbl>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3" w:name="conclusiones-e-implicaciones-de-política"/>
      <w:r>
        <w:rPr>
          <w:rFonts w:ascii="Times New Roman" w:hAnsi="Times New Roman" w:eastAsia="Times New Roman" w:cs="Times New Roman"/>
          <w:sz w:val="22"/>
          <w:szCs w:val="22"/>
        </w:rPr>
        <w:t xml:space="preserve">5. Conclusiones e implicaciones de política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Esta investigación examinó de manera empírica y cuantitativa los determinantes de la crisis de sostenibilidad previsional del Instituto Ecuatoriano de Seguridad Social durante el periodo 1990-2024. A través de la modelación de series temporales, este e</w:t>
      </w:r>
      <w:r>
        <w:rPr>
          <w:rFonts w:ascii="Times New Roman" w:hAnsi="Times New Roman" w:eastAsia="Times New Roman" w:cs="Times New Roman"/>
          <w:sz w:val="22"/>
          <w:szCs w:val="22"/>
        </w:rPr>
        <w:t xml:space="preserve">studio analizó la relación dinámica y de largo plazo entre la masa de afiliados cotizantes y variables de carácter fiscal, macroeconómico y de seguridad ciudadana, abarcando el gasto militar, la fuerza laboral, el saldo migratorio y la tasa de homicidios. </w:t>
      </w:r>
      <w:r>
        <w:rPr>
          <w:rFonts w:ascii="Times New Roman" w:hAnsi="Times New Roman" w:eastAsia="Times New Roman" w:cs="Times New Roman"/>
          <w:sz w:val="22"/>
          <w:szCs w:val="22"/>
        </w:rPr>
        <w:t xml:space="preserve">La importancia de abordar la baja afiliación previsional desde un enfoque estrictamente econométrico radica en la necesidad de superar las discusiones meramente normativas o descriptivas que predominan en el debate público ecuatoriano. Al emplear un marco </w:t>
      </w:r>
      <w:r>
        <w:rPr>
          <w:rFonts w:ascii="Times New Roman" w:hAnsi="Times New Roman" w:eastAsia="Times New Roman" w:cs="Times New Roman"/>
          <w:sz w:val="22"/>
          <w:szCs w:val="22"/>
        </w:rPr>
        <w:t xml:space="preserve">analítico cuantitativo, esta investigación aporta estimaciones de elasticidades robustas y libres de sesgos discrecionales, permitiendo evaluar el impacto neto de los choques macroeconómicos e institucionales sobre el financiamiento del fondo de pensiones.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Con respecto a la teoría económica, los resultados de esta investigación revelan que los supuestos del modelo de generaciones traslapadas clásico de Diamond no se sostienen plenamente en el contexto ecuatoriano. La presencia de un coeficient</w:t>
      </w:r>
      <w:r>
        <w:rPr>
          <w:rFonts w:ascii="Times New Roman" w:hAnsi="Times New Roman" w:eastAsia="Times New Roman" w:cs="Times New Roman"/>
          <w:sz w:val="22"/>
          <w:szCs w:val="22"/>
        </w:rPr>
        <w:t xml:space="preserve">e de velocidad de ajuste positivo e inestable de +0.0042 en el mecanismo de corrección de errores sugiere que la economía ecuatoriana no converge de manera automática hacia un estado estacionario previsible. Asimismo, la persistencia de una segmentación la</w:t>
      </w:r>
      <w:r>
        <w:rPr>
          <w:rFonts w:ascii="Times New Roman" w:hAnsi="Times New Roman" w:eastAsia="Times New Roman" w:cs="Times New Roman"/>
          <w:sz w:val="22"/>
          <w:szCs w:val="22"/>
        </w:rPr>
        <w:t xml:space="preserve">boral estructural y el peso del sector informal impiden que el crecimiento de la fuerza laboral se traduzca de forma proporcional en un incremento equivalente de cotizantes, lo que invalida el supuesto de pleno empleo y homogeneidad del mercado de trabajo.</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principal ventaja metodológica de esta publicación reside en la combinación complementaria de modelos lineales autorregresivos de rezagos distribuidos con quiebres estructurales endógenos de Gregory-Hansen y aproximaciones analíticas no para</w:t>
      </w:r>
      <w:r>
        <w:rPr>
          <w:rFonts w:ascii="Times New Roman" w:hAnsi="Times New Roman" w:eastAsia="Times New Roman" w:cs="Times New Roman"/>
          <w:sz w:val="22"/>
          <w:szCs w:val="22"/>
        </w:rPr>
        <w:t xml:space="preserve">métricas mediante el estimador de mínimos cuadrados regularizados basados en kernel. Mientras que los quiebres estructurales permitieron capturar el impacto de las reformas legales de 2008 y la crisis pandémica de 2020 sin sesgar los estimadores de largo p</w:t>
      </w:r>
      <w:r>
        <w:rPr>
          <w:rFonts w:ascii="Times New Roman" w:hAnsi="Times New Roman" w:eastAsia="Times New Roman" w:cs="Times New Roman"/>
          <w:sz w:val="22"/>
          <w:szCs w:val="22"/>
        </w:rPr>
        <w:t xml:space="preserve">lazo, el enfoque basado en regularización de kernel facilitó la identificación de efectos marginales locales no lineales, logrando modelar las complejidades del sistema previsional con una precisión superior a la de las regresiones clásicas convencionales.</w:t>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0" w:name="síntesis-de-resultados-empíricos"/>
      <w:r>
        <w:rPr>
          <w:rFonts w:ascii="Times New Roman" w:hAnsi="Times New Roman" w:eastAsia="Times New Roman" w:cs="Times New Roman"/>
          <w:sz w:val="22"/>
          <w:szCs w:val="22"/>
        </w:rPr>
        <w:t xml:space="preserve">5.1 Síntesis de resultados empíricos</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contrastación empírica aporta tres inferencias econométricas fundamentales:</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En primer lugar, las pruebas de cointegración por límites, Bounds Test, y de Gregory-Hansen confirman que el sistema previsional ma</w:t>
      </w:r>
      <w:r>
        <w:rPr>
          <w:rFonts w:ascii="Times New Roman" w:hAnsi="Times New Roman" w:eastAsia="Times New Roman" w:cs="Times New Roman"/>
          <w:sz w:val="22"/>
          <w:szCs w:val="22"/>
        </w:rPr>
        <w:t xml:space="preserve">ntiene una relación de largo plazo inestable, afectada por un quiebre estructural en 2008. Este cambio de régimen coincide con la reforma constitucional que expandió el aseguramiento obligatorio general sin un diseño de financiamiento actuarial sostenible.</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En segundo lugar, las estimaciones paramétricas de corto plazo y la valid</w:t>
      </w:r>
      <w:r>
        <w:rPr>
          <w:rFonts w:ascii="Times New Roman" w:hAnsi="Times New Roman" w:eastAsia="Times New Roman" w:cs="Times New Roman"/>
          <w:sz w:val="22"/>
          <w:szCs w:val="22"/>
        </w:rPr>
        <w:t xml:space="preserve">ación no paramétrica por mínimos cuadrados regularizados basados en kernel, KRLS, revelan respuestas asimétricas. La fuerza laboral actúa como el principal dinamizador de la afiliación, con un coeficiente de 0.7986 en el corto plazo, mientras que el gasto </w:t>
      </w:r>
      <w:r>
        <w:rPr>
          <w:rFonts w:ascii="Times New Roman" w:hAnsi="Times New Roman" w:eastAsia="Times New Roman" w:cs="Times New Roman"/>
          <w:sz w:val="22"/>
          <w:szCs w:val="22"/>
        </w:rPr>
        <w:t xml:space="preserve">militar ejerce un desplazamiento fiscal de -0.0699. En el largo plazo, el estimador KRLS identifica que la inestabilidad social, medida mediante la tasa de homicidios, ejerce un efecto marginal promedio contractivo de -0.1314 que destruye el empleo formal.</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En tercer lugar, las pruebas de causalidad en el dominio del tiempo, Granger, y de la frecuen</w:t>
      </w:r>
      <w:r>
        <w:rPr>
          <w:rFonts w:ascii="Times New Roman" w:hAnsi="Times New Roman" w:eastAsia="Times New Roman" w:cs="Times New Roman"/>
          <w:sz w:val="22"/>
          <w:szCs w:val="22"/>
        </w:rPr>
        <w:t xml:space="preserve">cia, Breitung-Candelon, confirman un flujo predictivo unidireccional de corto y largo plazo. Los choques de criminalidad y la reasignación presupuestaria hacia defensa causan conjuntamente, en el sentido de Granger, la dinámica de los afiliados cotizantes.</w:t>
      </w:r>
      <w:bookmarkEnd w:id="70"/>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1" w:name="recomendaciones-de-política"/>
      <w:r>
        <w:rPr>
          <w:rFonts w:ascii="Times New Roman" w:hAnsi="Times New Roman" w:eastAsia="Times New Roman" w:cs="Times New Roman"/>
          <w:sz w:val="22"/>
          <w:szCs w:val="22"/>
        </w:rPr>
        <w:t xml:space="preserve">5.2 Recomendaciones de política</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Con base en la evidencia empírica generada por los modelos estimados, esta investigación plantea recomendaciones concretas de política económica orientadas a mitigar el problema de</w:t>
      </w:r>
      <w:r>
        <w:rPr>
          <w:rFonts w:ascii="Times New Roman" w:hAnsi="Times New Roman" w:eastAsia="Times New Roman" w:cs="Times New Roman"/>
          <w:sz w:val="22"/>
          <w:szCs w:val="22"/>
        </w:rPr>
        <w:t xml:space="preserve"> la baja afiliación y viabilizar la sostenibilidad previsional. En primer lugar, dado el efecto contractivo promedio que la inestabilidad social y los homicidios ejercen sobre la afiliación, se recomienda diseñar incentivos de afiliación cruzados por segur</w:t>
      </w:r>
      <w:r>
        <w:rPr>
          <w:rFonts w:ascii="Times New Roman" w:hAnsi="Times New Roman" w:eastAsia="Times New Roman" w:cs="Times New Roman"/>
          <w:sz w:val="22"/>
          <w:szCs w:val="22"/>
        </w:rPr>
        <w:t xml:space="preserve">idad laboral consistentes en un subsidio decreciente y temporal a la contribución patronal obligatoria dirigido a las micro y pequeñas empresas que formalicen trabajadores en zonas con altas tasas de delincuencia, contrarrestando de este modo el impacto de</w:t>
      </w:r>
      <w:r>
        <w:rPr>
          <w:rFonts w:ascii="Times New Roman" w:hAnsi="Times New Roman" w:eastAsia="Times New Roman" w:cs="Times New Roman"/>
          <w:sz w:val="22"/>
          <w:szCs w:val="22"/>
        </w:rPr>
        <w:t xml:space="preserve">l crimen que ahoga al sector formal. En segundo lugar, para evitar el desplazamiento fiscal evidenciado por el coeficiente negativo del gasto militar, es indispensable establecer una regla fiscal de carácter rígido que garantice e indexe la transferencia c</w:t>
      </w:r>
      <w:r>
        <w:rPr>
          <w:rFonts w:ascii="Times New Roman" w:hAnsi="Times New Roman" w:eastAsia="Times New Roman" w:cs="Times New Roman"/>
          <w:sz w:val="22"/>
          <w:szCs w:val="22"/>
        </w:rPr>
        <w:t xml:space="preserve">onstitucional obligatoria del 40% del Estado al fondo de pensiones, impidiendo que prioridades coyunturales de defensa nacional o gasto corriente vulneren las reservas previsionales. En tercer lugar, sustentado en que la fuerza laboral es la variable de ma</w:t>
      </w:r>
      <w:r>
        <w:rPr>
          <w:rFonts w:ascii="Times New Roman" w:hAnsi="Times New Roman" w:eastAsia="Times New Roman" w:cs="Times New Roman"/>
          <w:sz w:val="22"/>
          <w:szCs w:val="22"/>
        </w:rPr>
        <w:t xml:space="preserve">yor tracción a largo plazo, el seguro social debe flexibilizar los aportes de las cohortes más jóvenes mediante esquemas de cotización progresiva o por horas, vinculándolos a los incentivos de formalización y primer empleo promovidos por el sector público.</w:t>
      </w:r>
      <w:bookmarkEnd w:id="71"/>
      <w:r>
        <w:rPr>
          <w:rFonts w:ascii="Times New Roman" w:hAnsi="Times New Roman" w:eastAsia="Times New Roman" w:cs="Times New Roman"/>
        </w:rPr>
      </w:r>
      <w:r>
        <w:rPr>
          <w:rFonts w:ascii="Times New Roman" w:hAnsi="Times New Roman" w:eastAsia="Times New Roman" w:cs="Times New Roman"/>
          <w:sz w:val="22"/>
          <w:szCs w:val="22"/>
        </w:rPr>
      </w:r>
    </w:p>
    <w:p>
      <w:pPr>
        <w:pStyle w:val="698"/>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2" w:name="Xe188bc939f2723c18deb9f0a6ac2b4529cc166b"/>
      <w:r>
        <w:rPr>
          <w:rFonts w:ascii="Times New Roman" w:hAnsi="Times New Roman" w:eastAsia="Times New Roman" w:cs="Times New Roman"/>
          <w:sz w:val="22"/>
          <w:szCs w:val="22"/>
        </w:rPr>
        <w:t xml:space="preserve">5.3 Limitaciones y futuras líneas de investigación</w:t>
      </w:r>
      <w:r>
        <w:rPr>
          <w:rFonts w:ascii="Times New Roman" w:hAnsi="Times New Roman" w:eastAsia="Times New Roman" w:cs="Times New Roman"/>
          <w:sz w:val="22"/>
          <w:szCs w:val="22"/>
        </w:rPr>
      </w:r>
    </w:p>
    <w:p>
      <w:pPr>
        <w:pStyle w:val="686"/>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La principal limitación formal de esta inve</w:t>
      </w:r>
      <w:r>
        <w:rPr>
          <w:rFonts w:ascii="Times New Roman" w:hAnsi="Times New Roman" w:eastAsia="Times New Roman" w:cs="Times New Roman"/>
          <w:sz w:val="22"/>
          <w:szCs w:val="22"/>
        </w:rPr>
        <w:t xml:space="preserve">stigación radica en el uso de una serie de tiempo anual que restringe el análisis a 35 observaciones históricas del periodo 1990-2024, limitando la identificación de dinámicas de ajuste de muy corto plazo. No obstante, esta restricción muestral fue corregi</w:t>
      </w:r>
      <w:r>
        <w:rPr>
          <w:rFonts w:ascii="Times New Roman" w:hAnsi="Times New Roman" w:eastAsia="Times New Roman" w:cs="Times New Roman"/>
          <w:sz w:val="22"/>
          <w:szCs w:val="22"/>
        </w:rPr>
        <w:t xml:space="preserve">da mediante el uso de la metodología de rezagos distribuidos, la cual posee propiedades de robustez óptimas en muestras pequeñas, y la regularización basada en kernel que previene sesgos de especificación al no imponer supuestos restrictivos de linealidad.</w:t>
      </w:r>
      <w:r>
        <w:rPr>
          <w:rFonts w:ascii="Times New Roman" w:hAnsi="Times New Roman" w:eastAsia="Times New Roman" w:cs="Times New Roman"/>
          <w:sz w:val="22"/>
          <w:szCs w:val="22"/>
        </w:rPr>
      </w:r>
    </w:p>
    <w:p>
      <w:pPr>
        <w:pStyle w:val="685"/>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Para profundizar en el conocimiento de la crisis de la seguridad social, se sugiere orientar futuros trabajos hacia el estudio del comportamiento microempresarial para identificar mediante encuestas de microdatos las razon</w:t>
      </w:r>
      <w:r>
        <w:rPr>
          <w:rFonts w:ascii="Times New Roman" w:hAnsi="Times New Roman" w:eastAsia="Times New Roman" w:cs="Times New Roman"/>
          <w:sz w:val="22"/>
          <w:szCs w:val="22"/>
        </w:rPr>
        <w:t xml:space="preserve">es estructurales y financieras por las cuales los empleadores no formalizan a su personal. Asimismo, es necesario investigar los factores que motivan o desincentivan a los trabajadores independientes e informales a demandar esquemas de afiliación voluntari</w:t>
      </w:r>
      <w:r>
        <w:rPr>
          <w:rFonts w:ascii="Times New Roman" w:hAnsi="Times New Roman" w:eastAsia="Times New Roman" w:cs="Times New Roman"/>
          <w:sz w:val="22"/>
          <w:szCs w:val="22"/>
        </w:rPr>
        <w:t xml:space="preserve">a. Finalmente, se requiere promover alianzas de investigación entre el seguro social y los centros de investigación universitaria para desarrollar bases de datos longitudinales que permitan el monitoreo continuo de las trayectorias laborales en el Ecuador.</w:t>
      </w:r>
      <w:bookmarkEnd w:id="72"/>
      <w:r>
        <w:rPr>
          <w:rFonts w:ascii="Times New Roman" w:hAnsi="Times New Roman" w:eastAsia="Times New Roman" w:cs="Times New Roman"/>
        </w:rPr>
      </w:r>
      <w:bookmarkEnd w:id="73"/>
      <w:r>
        <w:rPr>
          <w:rFonts w:ascii="Times New Roman" w:hAnsi="Times New Roman" w:eastAsia="Times New Roman" w:cs="Times New Roman"/>
        </w:rPr>
      </w:r>
      <w:r>
        <w:rPr>
          <w:rFonts w:ascii="Times New Roman" w:hAnsi="Times New Roman" w:eastAsia="Times New Roman" w:cs="Times New Roman"/>
          <w:sz w:val="22"/>
          <w:szCs w:val="22"/>
        </w:rPr>
      </w:r>
    </w:p>
    <w:p>
      <w:pPr>
        <w:pStyle w:val="697"/>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6" w:name="referencias"/>
      <w:r>
        <w:rPr>
          <w:rFonts w:ascii="Times New Roman" w:hAnsi="Times New Roman" w:eastAsia="Times New Roman" w:cs="Times New Roman"/>
          <w:sz w:val="22"/>
          <w:szCs w:val="22"/>
        </w:rPr>
        <w:t xml:space="preserve">Referencias</w:t>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5" w:name="refs"/>
      <w:r>
        <w:rPr>
          <w:rFonts w:ascii="Times New Roman" w:hAnsi="Times New Roman" w:eastAsia="Times New Roman" w:cs="Times New Roman"/>
          <w:sz w:val="22"/>
          <w:szCs w:val="22"/>
        </w:rPr>
      </w:r>
      <w:bookmarkStart w:id="75" w:name="ref-baculima2026"/>
      <w:r>
        <w:rPr>
          <w:rFonts w:ascii="Times New Roman" w:hAnsi="Times New Roman" w:eastAsia="Times New Roman" w:cs="Times New Roman"/>
          <w:sz w:val="22"/>
          <w:szCs w:val="22"/>
        </w:rPr>
        <w:t xml:space="preserve">Baculima-Cuesta, Francis Patricio, M. A. Luzuriaga-Atarihuana, y M. E. Sarmiento-Moscoso. 2026.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«La sostenibilidad fiscal en el Ecuador 2003-2023. Aplicaci</w:t>
      </w:r>
      <w:r>
        <w:rPr>
          <w:rFonts w:ascii="Times New Roman" w:hAnsi="Times New Roman" w:eastAsia="Times New Roman" w:cs="Times New Roman"/>
          <w:sz w:val="22"/>
          <w:szCs w:val="22"/>
        </w:rPr>
        <w:t xml:space="preserve">ó</w:t>
      </w:r>
      <w:r>
        <w:rPr>
          <w:rFonts w:ascii="Times New Roman" w:hAnsi="Times New Roman" w:eastAsia="Times New Roman" w:cs="Times New Roman"/>
          <w:sz w:val="22"/>
          <w:szCs w:val="22"/>
        </w:rPr>
        <w:t xml:space="preserve">n del modelo de Markov (MS-ARDL)»</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Innova Research Journal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11 (2): 15-35.</w:t>
      </w:r>
      <w:r>
        <w:rPr>
          <w:rFonts w:ascii="Times New Roman" w:hAnsi="Times New Roman" w:eastAsia="Times New Roman" w:cs="Times New Roman"/>
          <w:sz w:val="22"/>
          <w:szCs w:val="22"/>
        </w:rPr>
        <w:t xml:space="preserve"> </w:t>
      </w:r>
      <w:hyperlink r:id="rId18" w:tooltip="https://doi.org/10.33890/innova.v11.n2.2026.2934" w:history="1">
        <w:r>
          <w:rPr>
            <w:rStyle w:val="731"/>
            <w:rFonts w:ascii="Times New Roman" w:hAnsi="Times New Roman" w:eastAsia="Times New Roman" w:cs="Times New Roman"/>
            <w:sz w:val="22"/>
            <w:szCs w:val="22"/>
          </w:rPr>
          <w:t xml:space="preserve">https://doi.org/10.33890/innova.v11.n2.2026.2934</w:t>
        </w:r>
      </w:hyperlink>
      <w:r>
        <w:rPr>
          <w:rFonts w:ascii="Times New Roman" w:hAnsi="Times New Roman" w:eastAsia="Times New Roman" w:cs="Times New Roman"/>
          <w:sz w:val="22"/>
          <w:szCs w:val="22"/>
        </w:rPr>
        <w:t xml:space="preserve">.</w:t>
      </w:r>
      <w:bookmarkEnd w:id="7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7" w:name="ref-worldbank2024"/>
      <w:r>
        <w:rPr>
          <w:rFonts w:ascii="Times New Roman" w:hAnsi="Times New Roman" w:eastAsia="Times New Roman" w:cs="Times New Roman"/>
          <w:sz w:val="22"/>
          <w:szCs w:val="22"/>
        </w:rPr>
        <w:t xml:space="preserve">Bank, World. 2024.</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World Development Indicators: Ecuador Data Profile</w:t>
      </w:r>
      <w:r>
        <w:rPr>
          <w:rFonts w:ascii="Times New Roman" w:hAnsi="Times New Roman" w:eastAsia="Times New Roman" w:cs="Times New Roman"/>
          <w:sz w:val="22"/>
          <w:szCs w:val="22"/>
        </w:rPr>
        <w:t xml:space="preserve">. The World Bank Group.</w:t>
      </w:r>
      <w:r>
        <w:rPr>
          <w:rFonts w:ascii="Times New Roman" w:hAnsi="Times New Roman" w:eastAsia="Times New Roman" w:cs="Times New Roman"/>
          <w:sz w:val="22"/>
          <w:szCs w:val="22"/>
        </w:rPr>
        <w:t xml:space="preserve"> </w:t>
      </w:r>
      <w:hyperlink r:id="rId19" w:tooltip="https://doi.org/10.1596/28241" w:history="1">
        <w:r>
          <w:rPr>
            <w:rStyle w:val="731"/>
            <w:rFonts w:ascii="Times New Roman" w:hAnsi="Times New Roman" w:eastAsia="Times New Roman" w:cs="Times New Roman"/>
            <w:sz w:val="22"/>
            <w:szCs w:val="22"/>
          </w:rPr>
          <w:t xml:space="preserve">https://doi.org/10.1596/28241</w:t>
        </w:r>
      </w:hyperlink>
      <w:r>
        <w:rPr>
          <w:rFonts w:ascii="Times New Roman" w:hAnsi="Times New Roman" w:eastAsia="Times New Roman" w:cs="Times New Roman"/>
          <w:sz w:val="22"/>
          <w:szCs w:val="22"/>
        </w:rPr>
        <w:t xml:space="preserve">.</w:t>
      </w:r>
      <w:bookmarkEnd w:id="7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79" w:name="ref-baum2015"/>
      <w:r>
        <w:rPr>
          <w:rFonts w:ascii="Times New Roman" w:hAnsi="Times New Roman" w:eastAsia="Times New Roman" w:cs="Times New Roman"/>
          <w:sz w:val="22"/>
          <w:szCs w:val="22"/>
        </w:rPr>
        <w:t xml:space="preserve">Baum, Christopher F. 2015.</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ZANDREWS: Stata module to calculate Zivot-Andrews unit root test in presence of a single structural break</w:t>
      </w:r>
      <w:r>
        <w:rPr>
          <w:rFonts w:ascii="Times New Roman" w:hAnsi="Times New Roman" w:eastAsia="Times New Roman" w:cs="Times New Roman"/>
          <w:sz w:val="22"/>
          <w:szCs w:val="22"/>
        </w:rPr>
        <w:t xml:space="preserve">. Statistical Software Components No. 4. Vol. 17. Boston College Department of Economics.</w:t>
      </w:r>
      <w:r>
        <w:rPr>
          <w:rFonts w:ascii="Times New Roman" w:hAnsi="Times New Roman" w:eastAsia="Times New Roman" w:cs="Times New Roman"/>
          <w:sz w:val="22"/>
          <w:szCs w:val="22"/>
        </w:rPr>
        <w:t xml:space="preserve"> </w:t>
      </w:r>
      <w:hyperlink r:id="rId20" w:tooltip="https://doi.org/10.1177/1536867x1701700413" w:history="1">
        <w:r>
          <w:rPr>
            <w:rStyle w:val="731"/>
            <w:rFonts w:ascii="Times New Roman" w:hAnsi="Times New Roman" w:eastAsia="Times New Roman" w:cs="Times New Roman"/>
            <w:sz w:val="22"/>
            <w:szCs w:val="22"/>
          </w:rPr>
          <w:t xml:space="preserve">https://doi.org/10.1177/1536867x1701700413</w:t>
        </w:r>
      </w:hyperlink>
      <w:r>
        <w:rPr>
          <w:rFonts w:ascii="Times New Roman" w:hAnsi="Times New Roman" w:eastAsia="Times New Roman" w:cs="Times New Roman"/>
          <w:sz w:val="22"/>
          <w:szCs w:val="22"/>
        </w:rPr>
        <w:t xml:space="preserve">.</w:t>
      </w:r>
      <w:bookmarkEnd w:id="79"/>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81" w:name="ref-becker1968"/>
      <w:r>
        <w:rPr>
          <w:rFonts w:ascii="Times New Roman" w:hAnsi="Times New Roman" w:eastAsia="Times New Roman" w:cs="Times New Roman"/>
          <w:sz w:val="22"/>
          <w:szCs w:val="22"/>
        </w:rPr>
        <w:t xml:space="preserve">Becker, Gary S. 1968.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«Crime and Punishment: An Economic Approach»</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Political Economy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76 (2): 169-217.</w:t>
      </w:r>
      <w:r>
        <w:rPr>
          <w:rFonts w:ascii="Times New Roman" w:hAnsi="Times New Roman" w:eastAsia="Times New Roman" w:cs="Times New Roman"/>
          <w:sz w:val="22"/>
          <w:szCs w:val="22"/>
        </w:rPr>
        <w:t xml:space="preserve"> </w:t>
      </w:r>
      <w:hyperlink r:id="rId21" w:tooltip="https://doi.org/10.1007/978-1-349-62853-7_2" w:history="1">
        <w:r>
          <w:rPr>
            <w:rStyle w:val="731"/>
            <w:rFonts w:ascii="Times New Roman" w:hAnsi="Times New Roman" w:eastAsia="Times New Roman" w:cs="Times New Roman"/>
            <w:sz w:val="22"/>
            <w:szCs w:val="22"/>
          </w:rPr>
          <w:t xml:space="preserve">https://doi.org/10.1007/978-1-349-62853-7_2</w:t>
        </w:r>
      </w:hyperlink>
      <w:r>
        <w:rPr>
          <w:rFonts w:ascii="Times New Roman" w:hAnsi="Times New Roman" w:eastAsia="Times New Roman" w:cs="Times New Roman"/>
          <w:sz w:val="22"/>
          <w:szCs w:val="22"/>
        </w:rPr>
        <w:t xml:space="preserve">.</w:t>
      </w:r>
      <w:bookmarkEnd w:id="81"/>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83" w:name="ref-breitungcandelon2006"/>
      <w:r>
        <w:rPr>
          <w:rFonts w:ascii="Times New Roman" w:hAnsi="Times New Roman" w:eastAsia="Times New Roman" w:cs="Times New Roman"/>
          <w:sz w:val="22"/>
          <w:szCs w:val="22"/>
        </w:rPr>
        <w:t xml:space="preserve">Breitung, Jörg, y Bertrand Candelon. 2006.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«Testing for short- and long-run causality: A frequency-domain approach»</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Econometrics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132 (2): 363-78.</w:t>
      </w:r>
      <w:r>
        <w:rPr>
          <w:rFonts w:ascii="Times New Roman" w:hAnsi="Times New Roman" w:eastAsia="Times New Roman" w:cs="Times New Roman"/>
          <w:sz w:val="22"/>
          <w:szCs w:val="22"/>
        </w:rPr>
        <w:t xml:space="preserve"> </w:t>
      </w:r>
      <w:hyperlink r:id="rId22" w:tooltip="https://doi.org/10.1016/j.jeconom.2005.02.004" w:history="1">
        <w:r>
          <w:rPr>
            <w:rStyle w:val="731"/>
            <w:rFonts w:ascii="Times New Roman" w:hAnsi="Times New Roman" w:eastAsia="Times New Roman" w:cs="Times New Roman"/>
            <w:sz w:val="22"/>
            <w:szCs w:val="22"/>
          </w:rPr>
          <w:t xml:space="preserve">https://doi.org/10.1016/j.jeconom.2005.02.004</w:t>
        </w:r>
      </w:hyperlink>
      <w:r>
        <w:rPr>
          <w:rFonts w:ascii="Times New Roman" w:hAnsi="Times New Roman" w:eastAsia="Times New Roman" w:cs="Times New Roman"/>
          <w:sz w:val="22"/>
          <w:szCs w:val="22"/>
        </w:rPr>
        <w:t xml:space="preserve">.</w:t>
      </w:r>
      <w:bookmarkEnd w:id="83"/>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85" w:name="ref-diamond1965"/>
      <w:r>
        <w:rPr>
          <w:rFonts w:ascii="Times New Roman" w:hAnsi="Times New Roman" w:eastAsia="Times New Roman" w:cs="Times New Roman"/>
          <w:sz w:val="22"/>
          <w:szCs w:val="22"/>
        </w:rPr>
        <w:t xml:space="preserve">Diamond, Peter A. 1965.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«National Debt in a Neoclassical Growth Model»</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The American Economic Review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55 (5): 1126-50.</w:t>
      </w:r>
      <w:r>
        <w:rPr>
          <w:rFonts w:ascii="Times New Roman" w:hAnsi="Times New Roman" w:eastAsia="Times New Roman" w:cs="Times New Roman"/>
          <w:sz w:val="22"/>
          <w:szCs w:val="22"/>
        </w:rPr>
        <w:t xml:space="preserve"> </w:t>
      </w:r>
      <w:hyperlink r:id="rId23" w:tooltip="https://doi.org/10.4337/9781781002025.00015" w:history="1">
        <w:r>
          <w:rPr>
            <w:rStyle w:val="731"/>
            <w:rFonts w:ascii="Times New Roman" w:hAnsi="Times New Roman" w:eastAsia="Times New Roman" w:cs="Times New Roman"/>
            <w:sz w:val="22"/>
            <w:szCs w:val="22"/>
          </w:rPr>
          <w:t xml:space="preserve">https://doi.org/10.4337/9781781002025.00015</w:t>
        </w:r>
      </w:hyperlink>
      <w:r>
        <w:rPr>
          <w:rFonts w:ascii="Times New Roman" w:hAnsi="Times New Roman" w:eastAsia="Times New Roman" w:cs="Times New Roman"/>
          <w:sz w:val="22"/>
          <w:szCs w:val="22"/>
        </w:rPr>
        <w:t xml:space="preserve">.</w:t>
      </w:r>
      <w:bookmarkEnd w:id="8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87" w:name="ref-dickey1979"/>
      <w:r>
        <w:rPr>
          <w:rFonts w:ascii="Times New Roman" w:hAnsi="Times New Roman" w:eastAsia="Times New Roman" w:cs="Times New Roman"/>
          <w:sz w:val="22"/>
          <w:szCs w:val="22"/>
        </w:rPr>
        <w:t xml:space="preserve">Dickey, David A., y Wayne A. Fuller. 1979.</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«Distribution of the Estimators for Autoregressive Time Series with a Unit Root»</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the American Statistical Association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74 (366): 427-31.</w:t>
      </w:r>
      <w:r>
        <w:rPr>
          <w:rFonts w:ascii="Times New Roman" w:hAnsi="Times New Roman" w:eastAsia="Times New Roman" w:cs="Times New Roman"/>
          <w:sz w:val="22"/>
          <w:szCs w:val="22"/>
        </w:rPr>
        <w:t xml:space="preserve"> </w:t>
      </w:r>
      <w:hyperlink r:id="rId24" w:tooltip="https://doi.org/10.2307/2286348" w:history="1">
        <w:r>
          <w:rPr>
            <w:rStyle w:val="731"/>
            <w:rFonts w:ascii="Times New Roman" w:hAnsi="Times New Roman" w:eastAsia="Times New Roman" w:cs="Times New Roman"/>
            <w:sz w:val="22"/>
            <w:szCs w:val="22"/>
          </w:rPr>
          <w:t xml:space="preserve">https://doi.org/10.2307/2286348</w:t>
        </w:r>
      </w:hyperlink>
      <w:r>
        <w:rPr>
          <w:rFonts w:ascii="Times New Roman" w:hAnsi="Times New Roman" w:eastAsia="Times New Roman" w:cs="Times New Roman"/>
          <w:sz w:val="22"/>
          <w:szCs w:val="22"/>
        </w:rPr>
        <w:t xml:space="preserve">.</w:t>
      </w:r>
      <w:bookmarkEnd w:id="8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89" w:name="ref-doeringer1971"/>
      <w:r>
        <w:rPr>
          <w:rFonts w:ascii="Times New Roman" w:hAnsi="Times New Roman" w:eastAsia="Times New Roman" w:cs="Times New Roman"/>
          <w:sz w:val="22"/>
          <w:szCs w:val="22"/>
        </w:rPr>
        <w:t xml:space="preserve">Doeringer, Peter B., y Michael J. Piore. 1971.</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Internal Labor Markets and Manpower Analysis</w:t>
      </w:r>
      <w:r>
        <w:rPr>
          <w:rFonts w:ascii="Times New Roman" w:hAnsi="Times New Roman" w:eastAsia="Times New Roman" w:cs="Times New Roman"/>
          <w:sz w:val="22"/>
          <w:szCs w:val="22"/>
        </w:rPr>
        <w:t xml:space="preserve">. Heath Lexington Books.</w:t>
      </w:r>
      <w:r>
        <w:rPr>
          <w:rFonts w:ascii="Times New Roman" w:hAnsi="Times New Roman" w:eastAsia="Times New Roman" w:cs="Times New Roman"/>
          <w:sz w:val="22"/>
          <w:szCs w:val="22"/>
        </w:rPr>
        <w:t xml:space="preserve"> </w:t>
      </w:r>
      <w:hyperlink r:id="rId25" w:tooltip="https://doi.org/10.4324/9781003069720-9" w:history="1">
        <w:r>
          <w:rPr>
            <w:rStyle w:val="731"/>
            <w:rFonts w:ascii="Times New Roman" w:hAnsi="Times New Roman" w:eastAsia="Times New Roman" w:cs="Times New Roman"/>
            <w:sz w:val="22"/>
            <w:szCs w:val="22"/>
          </w:rPr>
          <w:t xml:space="preserve">https://doi.org/10.4324/9781003069720-9</w:t>
        </w:r>
      </w:hyperlink>
      <w:r>
        <w:rPr>
          <w:rFonts w:ascii="Times New Roman" w:hAnsi="Times New Roman" w:eastAsia="Times New Roman" w:cs="Times New Roman"/>
          <w:sz w:val="22"/>
          <w:szCs w:val="22"/>
        </w:rPr>
        <w:t xml:space="preserve">.</w:t>
      </w:r>
      <w:bookmarkEnd w:id="89"/>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1" w:name="ref-inec2022"/>
      <w:r>
        <w:rPr>
          <w:rFonts w:ascii="Times New Roman" w:hAnsi="Times New Roman" w:eastAsia="Times New Roman" w:cs="Times New Roman"/>
          <w:sz w:val="22"/>
          <w:szCs w:val="22"/>
        </w:rPr>
        <w:t xml:space="preserve">Ecuador, INEC. 2022.</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Censo de Población y Vivienda 2022</w:t>
      </w:r>
      <w:r>
        <w:rPr>
          <w:rFonts w:ascii="Times New Roman" w:hAnsi="Times New Roman" w:eastAsia="Times New Roman" w:cs="Times New Roman"/>
          <w:sz w:val="22"/>
          <w:szCs w:val="22"/>
        </w:rPr>
        <w:t xml:space="preserve">. Instituto Nacional de Estadística y Censos.</w:t>
      </w:r>
      <w:r>
        <w:rPr>
          <w:rFonts w:ascii="Times New Roman" w:hAnsi="Times New Roman" w:eastAsia="Times New Roman" w:cs="Times New Roman"/>
          <w:sz w:val="22"/>
          <w:szCs w:val="22"/>
        </w:rPr>
        <w:t xml:space="preserve"> </w:t>
      </w:r>
      <w:hyperlink r:id="rId26" w:tooltip="https://www.ecuadorencifras.gob.ec/censo-de-poblacion-y-vivienda/" w:history="1">
        <w:r>
          <w:rPr>
            <w:rStyle w:val="731"/>
            <w:rFonts w:ascii="Times New Roman" w:hAnsi="Times New Roman" w:eastAsia="Times New Roman" w:cs="Times New Roman"/>
            <w:sz w:val="22"/>
            <w:szCs w:val="22"/>
          </w:rPr>
          <w:t xml:space="preserve">https://www.ecuadorencifras.gob.ec/censo-de-poblacion-y-vivienda/</w:t>
        </w:r>
      </w:hyperlink>
      <w:r>
        <w:rPr>
          <w:rFonts w:ascii="Times New Roman" w:hAnsi="Times New Roman" w:eastAsia="Times New Roman" w:cs="Times New Roman"/>
          <w:sz w:val="22"/>
          <w:szCs w:val="22"/>
        </w:rPr>
        <w:t xml:space="preserve">.</w:t>
      </w:r>
      <w:bookmarkEnd w:id="91"/>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3" w:name="ref-ferwerda2017"/>
      <w:r>
        <w:rPr>
          <w:rFonts w:ascii="Times New Roman" w:hAnsi="Times New Roman" w:eastAsia="Times New Roman" w:cs="Times New Roman"/>
          <w:sz w:val="22"/>
          <w:szCs w:val="22"/>
        </w:rPr>
        <w:t xml:space="preserve">Ferwerda, Jeremy, Jens Hainmueller, y Chad J. Hazlett. 2017.</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«Kernel-based Regularized Least Squares in R (KRLS) and Stata (krls)»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Statistical Software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79 (3): 1-26.</w:t>
      </w:r>
      <w:r>
        <w:rPr>
          <w:rFonts w:ascii="Times New Roman" w:hAnsi="Times New Roman" w:eastAsia="Times New Roman" w:cs="Times New Roman"/>
          <w:sz w:val="22"/>
          <w:szCs w:val="22"/>
        </w:rPr>
        <w:t xml:space="preserve"> </w:t>
      </w:r>
      <w:hyperlink r:id="rId27" w:tooltip="https://doi.org/10.18637/jss.v079.i03" w:history="1">
        <w:r>
          <w:rPr>
            <w:rStyle w:val="731"/>
            <w:rFonts w:ascii="Times New Roman" w:hAnsi="Times New Roman" w:eastAsia="Times New Roman" w:cs="Times New Roman"/>
            <w:sz w:val="22"/>
            <w:szCs w:val="22"/>
          </w:rPr>
          <w:t xml:space="preserve">https://doi.org/10.18637/jss.v079.i03</w:t>
        </w:r>
      </w:hyperlink>
      <w:r>
        <w:rPr>
          <w:rFonts w:ascii="Times New Roman" w:hAnsi="Times New Roman" w:eastAsia="Times New Roman" w:cs="Times New Roman"/>
          <w:sz w:val="22"/>
          <w:szCs w:val="22"/>
        </w:rPr>
        <w:t xml:space="preserve">.</w:t>
      </w:r>
      <w:bookmarkEnd w:id="93"/>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5" w:name="ref-gao2025"/>
      <w:r>
        <w:rPr>
          <w:rFonts w:ascii="Times New Roman" w:hAnsi="Times New Roman" w:eastAsia="Times New Roman" w:cs="Times New Roman"/>
          <w:sz w:val="22"/>
          <w:szCs w:val="22"/>
        </w:rPr>
        <w:t xml:space="preserve">Gao, Han, y Bei Lu. 2025.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«Reforming China’s public pension system: Fiscal sustainability and the challenge of formality-based inequality»</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Economic Modelling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153: 107336.</w:t>
      </w:r>
      <w:r>
        <w:rPr>
          <w:rFonts w:ascii="Times New Roman" w:hAnsi="Times New Roman" w:eastAsia="Times New Roman" w:cs="Times New Roman"/>
          <w:sz w:val="22"/>
          <w:szCs w:val="22"/>
        </w:rPr>
        <w:t xml:space="preserve"> </w:t>
      </w:r>
      <w:hyperlink r:id="rId28" w:tooltip="https://doi.org/10.1016/j.econmod.2025.107336" w:history="1">
        <w:r>
          <w:rPr>
            <w:rStyle w:val="731"/>
            <w:rFonts w:ascii="Times New Roman" w:hAnsi="Times New Roman" w:eastAsia="Times New Roman" w:cs="Times New Roman"/>
            <w:sz w:val="22"/>
            <w:szCs w:val="22"/>
          </w:rPr>
          <w:t xml:space="preserve">https://doi.org/10.1016/j.econmod.2025.107336</w:t>
        </w:r>
      </w:hyperlink>
      <w:r>
        <w:rPr>
          <w:rFonts w:ascii="Times New Roman" w:hAnsi="Times New Roman" w:eastAsia="Times New Roman" w:cs="Times New Roman"/>
          <w:sz w:val="22"/>
          <w:szCs w:val="22"/>
        </w:rPr>
        <w:t xml:space="preserve">.</w:t>
      </w:r>
      <w:bookmarkEnd w:id="9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7" w:name="ref-granger1969"/>
      <w:r>
        <w:rPr>
          <w:rFonts w:ascii="Times New Roman" w:hAnsi="Times New Roman" w:eastAsia="Times New Roman" w:cs="Times New Roman"/>
          <w:sz w:val="22"/>
          <w:szCs w:val="22"/>
        </w:rPr>
        <w:t xml:space="preserve">Granger, Clive W. J. 1969.</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«Investigating Causal Relations by Econometric Models and Cross-spectral Methods»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Econometrica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37 (3): 424-38.</w:t>
      </w:r>
      <w:r>
        <w:rPr>
          <w:rFonts w:ascii="Times New Roman" w:hAnsi="Times New Roman" w:eastAsia="Times New Roman" w:cs="Times New Roman"/>
          <w:sz w:val="22"/>
          <w:szCs w:val="22"/>
        </w:rPr>
        <w:t xml:space="preserve"> </w:t>
      </w:r>
      <w:hyperlink r:id="rId29" w:tooltip="https://doi.org/10.1017/cbo9780511753978.002" w:history="1">
        <w:r>
          <w:rPr>
            <w:rStyle w:val="731"/>
            <w:rFonts w:ascii="Times New Roman" w:hAnsi="Times New Roman" w:eastAsia="Times New Roman" w:cs="Times New Roman"/>
            <w:sz w:val="22"/>
            <w:szCs w:val="22"/>
          </w:rPr>
          <w:t xml:space="preserve">https://doi.org/10.1017/cbo9780511753978.002</w:t>
        </w:r>
      </w:hyperlink>
      <w:r>
        <w:rPr>
          <w:rFonts w:ascii="Times New Roman" w:hAnsi="Times New Roman" w:eastAsia="Times New Roman" w:cs="Times New Roman"/>
          <w:sz w:val="22"/>
          <w:szCs w:val="22"/>
        </w:rPr>
        <w:t xml:space="preserve">.</w:t>
      </w:r>
      <w:bookmarkEnd w:id="9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99" w:name="ref-greene2019"/>
      <w:r>
        <w:rPr>
          <w:rFonts w:ascii="Times New Roman" w:hAnsi="Times New Roman" w:eastAsia="Times New Roman" w:cs="Times New Roman"/>
          <w:sz w:val="22"/>
          <w:szCs w:val="22"/>
        </w:rPr>
        <w:t xml:space="preserve">Greene, William H. 2019.</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Econometric Analysis</w:t>
      </w:r>
      <w:r>
        <w:rPr>
          <w:rFonts w:ascii="Times New Roman" w:hAnsi="Times New Roman" w:eastAsia="Times New Roman" w:cs="Times New Roman"/>
          <w:sz w:val="22"/>
          <w:szCs w:val="22"/>
        </w:rPr>
        <w:t xml:space="preserve">. 8th ed. Pearson.</w:t>
      </w:r>
      <w:r>
        <w:rPr>
          <w:rFonts w:ascii="Times New Roman" w:hAnsi="Times New Roman" w:eastAsia="Times New Roman" w:cs="Times New Roman"/>
          <w:sz w:val="22"/>
          <w:szCs w:val="22"/>
        </w:rPr>
        <w:t xml:space="preserve"> </w:t>
      </w:r>
      <w:hyperlink r:id="rId30" w:tooltip="https://doi.org/10.1093/acprof:oso/9780195183528.003.0002" w:history="1">
        <w:r>
          <w:rPr>
            <w:rStyle w:val="731"/>
            <w:rFonts w:ascii="Times New Roman" w:hAnsi="Times New Roman" w:eastAsia="Times New Roman" w:cs="Times New Roman"/>
            <w:sz w:val="22"/>
            <w:szCs w:val="22"/>
          </w:rPr>
          <w:t xml:space="preserve">https://doi.org/10.1093/acprof:oso/9780195183528.003.0002</w:t>
        </w:r>
      </w:hyperlink>
      <w:r>
        <w:rPr>
          <w:rFonts w:ascii="Times New Roman" w:hAnsi="Times New Roman" w:eastAsia="Times New Roman" w:cs="Times New Roman"/>
          <w:sz w:val="22"/>
          <w:szCs w:val="22"/>
        </w:rPr>
        <w:t xml:space="preserve">.</w:t>
      </w:r>
      <w:bookmarkEnd w:id="99"/>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1" w:name="ref-gregory1996"/>
      <w:r>
        <w:rPr>
          <w:rFonts w:ascii="Times New Roman" w:hAnsi="Times New Roman" w:eastAsia="Times New Roman" w:cs="Times New Roman"/>
          <w:sz w:val="22"/>
          <w:szCs w:val="22"/>
        </w:rPr>
        <w:t xml:space="preserve">Gregory, Allan W., y Bruce E. Hansen. 1996.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«Residual-based tests for cointegration in models with regime shifts»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Econometrics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70 (1): 99-126.</w:t>
      </w:r>
      <w:r>
        <w:rPr>
          <w:rFonts w:ascii="Times New Roman" w:hAnsi="Times New Roman" w:eastAsia="Times New Roman" w:cs="Times New Roman"/>
          <w:sz w:val="22"/>
          <w:szCs w:val="22"/>
        </w:rPr>
        <w:t xml:space="preserve"> </w:t>
      </w:r>
      <w:hyperlink r:id="rId31" w:tooltip="https://doi.org/10.1016/0304-4076(95)01736-7" w:history="1">
        <w:r>
          <w:rPr>
            <w:rStyle w:val="731"/>
            <w:rFonts w:ascii="Times New Roman" w:hAnsi="Times New Roman" w:eastAsia="Times New Roman" w:cs="Times New Roman"/>
            <w:sz w:val="22"/>
            <w:szCs w:val="22"/>
          </w:rPr>
          <w:t xml:space="preserve">https://doi.org/10.1016/0304-4076(95)01736-7</w:t>
        </w:r>
      </w:hyperlink>
      <w:r>
        <w:rPr>
          <w:rFonts w:ascii="Times New Roman" w:hAnsi="Times New Roman" w:eastAsia="Times New Roman" w:cs="Times New Roman"/>
          <w:sz w:val="22"/>
          <w:szCs w:val="22"/>
        </w:rPr>
        <w:t xml:space="preserve">.</w:t>
      </w:r>
      <w:bookmarkEnd w:id="101"/>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3" w:name="ref-gujarati2009"/>
      <w:r>
        <w:rPr>
          <w:rFonts w:ascii="Times New Roman" w:hAnsi="Times New Roman" w:eastAsia="Times New Roman" w:cs="Times New Roman"/>
          <w:sz w:val="22"/>
          <w:szCs w:val="22"/>
        </w:rPr>
        <w:t xml:space="preserve">Gujarati, Damodar N., y Dawn C. Porter. 2009.</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Basic Econometrics</w:t>
      </w:r>
      <w:r>
        <w:rPr>
          <w:rFonts w:ascii="Times New Roman" w:hAnsi="Times New Roman" w:eastAsia="Times New Roman" w:cs="Times New Roman"/>
          <w:sz w:val="22"/>
          <w:szCs w:val="22"/>
        </w:rPr>
        <w:t xml:space="preserve">. 5th ed. Vol. 7. McGraw-Hill.</w:t>
      </w:r>
      <w:r>
        <w:rPr>
          <w:rFonts w:ascii="Times New Roman" w:hAnsi="Times New Roman" w:eastAsia="Times New Roman" w:cs="Times New Roman"/>
          <w:sz w:val="22"/>
          <w:szCs w:val="22"/>
        </w:rPr>
        <w:t xml:space="preserve"> </w:t>
      </w:r>
      <w:hyperlink r:id="rId32" w:tooltip="https://doi.org/10.12660/bre.v7n11987.3105" w:history="1">
        <w:r>
          <w:rPr>
            <w:rStyle w:val="731"/>
            <w:rFonts w:ascii="Times New Roman" w:hAnsi="Times New Roman" w:eastAsia="Times New Roman" w:cs="Times New Roman"/>
            <w:sz w:val="22"/>
            <w:szCs w:val="22"/>
          </w:rPr>
          <w:t xml:space="preserve">https://doi.org/10.12660/bre.v7n11987.3105</w:t>
        </w:r>
      </w:hyperlink>
      <w:r>
        <w:rPr>
          <w:rFonts w:ascii="Times New Roman" w:hAnsi="Times New Roman" w:eastAsia="Times New Roman" w:cs="Times New Roman"/>
          <w:sz w:val="22"/>
          <w:szCs w:val="22"/>
        </w:rPr>
        <w:t xml:space="preserve">.</w:t>
      </w:r>
      <w:bookmarkEnd w:id="103"/>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5" w:name="ref-hainmueller2014"/>
      <w:r>
        <w:rPr>
          <w:rFonts w:ascii="Times New Roman" w:hAnsi="Times New Roman" w:eastAsia="Times New Roman" w:cs="Times New Roman"/>
          <w:sz w:val="22"/>
          <w:szCs w:val="22"/>
        </w:rPr>
        <w:t xml:space="preserve">Hainmueller, Jens, y Chad Hazlett. 2014.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«Kernel regularized least squares: Reducing misspecification bias with a flexible and interpretable machine learning approach»</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Political Analysis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22 (2): 143-68.</w:t>
      </w:r>
      <w:r>
        <w:rPr>
          <w:rFonts w:ascii="Times New Roman" w:hAnsi="Times New Roman" w:eastAsia="Times New Roman" w:cs="Times New Roman"/>
          <w:sz w:val="22"/>
          <w:szCs w:val="22"/>
        </w:rPr>
        <w:t xml:space="preserve"> </w:t>
      </w:r>
      <w:hyperlink r:id="rId33" w:tooltip="https://doi.org/10.1093/pan/mpt019" w:history="1">
        <w:r>
          <w:rPr>
            <w:rStyle w:val="731"/>
            <w:rFonts w:ascii="Times New Roman" w:hAnsi="Times New Roman" w:eastAsia="Times New Roman" w:cs="Times New Roman"/>
            <w:sz w:val="22"/>
            <w:szCs w:val="22"/>
          </w:rPr>
          <w:t xml:space="preserve">https://doi.org/10.1093/pan/mpt019</w:t>
        </w:r>
      </w:hyperlink>
      <w:r>
        <w:rPr>
          <w:rFonts w:ascii="Times New Roman" w:hAnsi="Times New Roman" w:eastAsia="Times New Roman" w:cs="Times New Roman"/>
          <w:sz w:val="22"/>
          <w:szCs w:val="22"/>
        </w:rPr>
        <w:t xml:space="preserve">.</w:t>
      </w:r>
      <w:bookmarkEnd w:id="10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7" w:name="ref-iess2024"/>
      <w:r>
        <w:rPr>
          <w:rFonts w:ascii="Times New Roman" w:hAnsi="Times New Roman" w:eastAsia="Times New Roman" w:cs="Times New Roman"/>
          <w:sz w:val="22"/>
          <w:szCs w:val="22"/>
        </w:rPr>
        <w:t xml:space="preserve">IESS - Dirección Actuarial, de Investigación y Estadística</w:t>
      </w:r>
      <w:r>
        <w:rPr>
          <w:rFonts w:ascii="Times New Roman" w:hAnsi="Times New Roman" w:eastAsia="Times New Roman" w:cs="Times New Roman"/>
          <w:sz w:val="22"/>
          <w:szCs w:val="22"/>
        </w:rPr>
        <w:t xml:space="preserve">. 2024.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«Boletín Estadístico No. 29»</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Instituto Ecuatoriano de Seguridad Social</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hyperlink r:id="rId34" w:tooltip="https://www.iess.gob.ec" w:history="1">
        <w:r>
          <w:rPr>
            <w:rStyle w:val="731"/>
            <w:rFonts w:ascii="Times New Roman" w:hAnsi="Times New Roman" w:eastAsia="Times New Roman" w:cs="Times New Roman"/>
            <w:sz w:val="22"/>
            <w:szCs w:val="22"/>
          </w:rPr>
          <w:t xml:space="preserve">https://www.iess.gob.ec</w:t>
        </w:r>
      </w:hyperlink>
      <w:r>
        <w:rPr>
          <w:rFonts w:ascii="Times New Roman" w:hAnsi="Times New Roman" w:eastAsia="Times New Roman" w:cs="Times New Roman"/>
          <w:sz w:val="22"/>
          <w:szCs w:val="22"/>
        </w:rPr>
        <w:t xml:space="preserve">.</w:t>
      </w:r>
      <w:bookmarkEnd w:id="10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09" w:name="ref-kripfganz2023"/>
      <w:r>
        <w:rPr>
          <w:rFonts w:ascii="Times New Roman" w:hAnsi="Times New Roman" w:eastAsia="Times New Roman" w:cs="Times New Roman"/>
          <w:sz w:val="22"/>
          <w:szCs w:val="22"/>
        </w:rPr>
        <w:t xml:space="preserve">Kripfganz, Sebastian, y Daniel Schneider. 2023.</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ARDL: Stata module to estimate autoregressive distributed lag models</w:t>
      </w:r>
      <w:r>
        <w:rPr>
          <w:rFonts w:ascii="Times New Roman" w:hAnsi="Times New Roman" w:eastAsia="Times New Roman" w:cs="Times New Roman"/>
          <w:sz w:val="22"/>
          <w:szCs w:val="22"/>
        </w:rPr>
        <w:t xml:space="preserve">. Statistical Software Components No. 4. Vol. 23. Boston College Department of Economics.</w:t>
      </w:r>
      <w:r>
        <w:rPr>
          <w:rFonts w:ascii="Times New Roman" w:hAnsi="Times New Roman" w:eastAsia="Times New Roman" w:cs="Times New Roman"/>
          <w:sz w:val="22"/>
          <w:szCs w:val="22"/>
        </w:rPr>
        <w:t xml:space="preserve"> </w:t>
      </w:r>
      <w:hyperlink r:id="rId35" w:tooltip="https://doi.org/10.1177/1536867x231212434" w:history="1">
        <w:r>
          <w:rPr>
            <w:rStyle w:val="731"/>
            <w:rFonts w:ascii="Times New Roman" w:hAnsi="Times New Roman" w:eastAsia="Times New Roman" w:cs="Times New Roman"/>
            <w:sz w:val="22"/>
            <w:szCs w:val="22"/>
          </w:rPr>
          <w:t xml:space="preserve">https://doi.org/10.1177/1536867x231212434</w:t>
        </w:r>
      </w:hyperlink>
      <w:r>
        <w:rPr>
          <w:rFonts w:ascii="Times New Roman" w:hAnsi="Times New Roman" w:eastAsia="Times New Roman" w:cs="Times New Roman"/>
          <w:sz w:val="22"/>
          <w:szCs w:val="22"/>
        </w:rPr>
        <w:t xml:space="preserve">.</w:t>
      </w:r>
      <w:bookmarkEnd w:id="109"/>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1" w:name="ref-maydom2023"/>
      <w:r>
        <w:rPr>
          <w:rFonts w:ascii="Times New Roman" w:hAnsi="Times New Roman" w:eastAsia="Times New Roman" w:cs="Times New Roman"/>
          <w:sz w:val="22"/>
          <w:szCs w:val="22"/>
        </w:rPr>
        <w:t xml:space="preserve">Maydom, B. 2023.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«Economic informality and security policy preferences in Mexico and Latin America»</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Routledge Studies in Latin American Politics</w:t>
      </w:r>
      <w:r>
        <w:rPr>
          <w:rFonts w:ascii="Times New Roman" w:hAnsi="Times New Roman" w:eastAsia="Times New Roman" w:cs="Times New Roman"/>
          <w:sz w:val="22"/>
          <w:szCs w:val="22"/>
        </w:rPr>
        <w:t xml:space="preserve">, 141-64.</w:t>
      </w:r>
      <w:r>
        <w:rPr>
          <w:rFonts w:ascii="Times New Roman" w:hAnsi="Times New Roman" w:eastAsia="Times New Roman" w:cs="Times New Roman"/>
          <w:sz w:val="22"/>
          <w:szCs w:val="22"/>
        </w:rPr>
        <w:t xml:space="preserve"> </w:t>
      </w:r>
      <w:hyperlink r:id="rId36" w:tooltip="https://doi.org/10.4324/9781003462132-7" w:history="1">
        <w:r>
          <w:rPr>
            <w:rStyle w:val="731"/>
            <w:rFonts w:ascii="Times New Roman" w:hAnsi="Times New Roman" w:eastAsia="Times New Roman" w:cs="Times New Roman"/>
            <w:sz w:val="22"/>
            <w:szCs w:val="22"/>
          </w:rPr>
          <w:t xml:space="preserve">https://doi.org/10.4324/9781003462132-7</w:t>
        </w:r>
      </w:hyperlink>
      <w:r>
        <w:rPr>
          <w:rFonts w:ascii="Times New Roman" w:hAnsi="Times New Roman" w:eastAsia="Times New Roman" w:cs="Times New Roman"/>
          <w:sz w:val="22"/>
          <w:szCs w:val="22"/>
        </w:rPr>
        <w:t xml:space="preserve">.</w:t>
      </w:r>
      <w:bookmarkEnd w:id="111"/>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3" w:name="ref-murillo2025factors"/>
      <w:r>
        <w:rPr>
          <w:rFonts w:ascii="Times New Roman" w:hAnsi="Times New Roman" w:eastAsia="Times New Roman" w:cs="Times New Roman"/>
          <w:sz w:val="22"/>
          <w:szCs w:val="22"/>
        </w:rPr>
        <w:t xml:space="preserve">Murillo, Angie, Wilma Guerrero, y Danilo Cuaical. 2025.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«Factors Influencing the Probability of Affiliation to the Social Security System Among Informal Sector Workers in Ecuador»</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Cuestiones Econ</w:t>
      </w:r>
      <w:r>
        <w:rPr>
          <w:rFonts w:ascii="Times New Roman" w:hAnsi="Times New Roman" w:eastAsia="Times New Roman" w:cs="Times New Roman"/>
          <w:i/>
          <w:iCs/>
          <w:sz w:val="22"/>
          <w:szCs w:val="22"/>
        </w:rPr>
        <w:t xml:space="preserve">ó</w:t>
      </w:r>
      <w:r>
        <w:rPr>
          <w:rFonts w:ascii="Times New Roman" w:hAnsi="Times New Roman" w:eastAsia="Times New Roman" w:cs="Times New Roman"/>
          <w:i/>
          <w:iCs/>
          <w:sz w:val="22"/>
          <w:szCs w:val="22"/>
        </w:rPr>
        <w:t xml:space="preserve">micas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35 (1): 107-39.</w:t>
      </w:r>
      <w:r>
        <w:rPr>
          <w:rFonts w:ascii="Times New Roman" w:hAnsi="Times New Roman" w:eastAsia="Times New Roman" w:cs="Times New Roman"/>
          <w:sz w:val="22"/>
          <w:szCs w:val="22"/>
        </w:rPr>
        <w:t xml:space="preserve"> </w:t>
      </w:r>
      <w:hyperlink r:id="rId37" w:tooltip="https://doi.org/10.47550/35.1.4" w:history="1">
        <w:r>
          <w:rPr>
            <w:rStyle w:val="731"/>
            <w:rFonts w:ascii="Times New Roman" w:hAnsi="Times New Roman" w:eastAsia="Times New Roman" w:cs="Times New Roman"/>
            <w:sz w:val="22"/>
            <w:szCs w:val="22"/>
          </w:rPr>
          <w:t xml:space="preserve">https://doi.org/10.47550/35.1.4</w:t>
        </w:r>
      </w:hyperlink>
      <w:r>
        <w:rPr>
          <w:rFonts w:ascii="Times New Roman" w:hAnsi="Times New Roman" w:eastAsia="Times New Roman" w:cs="Times New Roman"/>
          <w:sz w:val="22"/>
          <w:szCs w:val="22"/>
        </w:rPr>
        <w:t xml:space="preserve">.</w:t>
      </w:r>
      <w:bookmarkEnd w:id="113"/>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5" w:name="ref-global2025"/>
      <w:r>
        <w:rPr>
          <w:rFonts w:ascii="Times New Roman" w:hAnsi="Times New Roman" w:eastAsia="Times New Roman" w:cs="Times New Roman"/>
          <w:sz w:val="22"/>
          <w:szCs w:val="22"/>
        </w:rPr>
        <w:t xml:space="preserve">Nsair, Ruwayda, y Ahmad Bassam Alzubi. 2025.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«Globalization, Financial Risk, and Environmental Degradation in China: The Role of Human Capital and Renewable Energy Use»</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Sustainability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17 (15): 6810.</w:t>
      </w:r>
      <w:r>
        <w:rPr>
          <w:rFonts w:ascii="Times New Roman" w:hAnsi="Times New Roman" w:eastAsia="Times New Roman" w:cs="Times New Roman"/>
          <w:sz w:val="22"/>
          <w:szCs w:val="22"/>
        </w:rPr>
        <w:t xml:space="preserve"> </w:t>
      </w:r>
      <w:hyperlink r:id="rId38" w:tooltip="https://doi.org/10.3390/su17156810" w:history="1">
        <w:r>
          <w:rPr>
            <w:rStyle w:val="731"/>
            <w:rFonts w:ascii="Times New Roman" w:hAnsi="Times New Roman" w:eastAsia="Times New Roman" w:cs="Times New Roman"/>
            <w:sz w:val="22"/>
            <w:szCs w:val="22"/>
          </w:rPr>
          <w:t xml:space="preserve">https://doi.org/10.3390/su17156810</w:t>
        </w:r>
      </w:hyperlink>
      <w:r>
        <w:rPr>
          <w:rFonts w:ascii="Times New Roman" w:hAnsi="Times New Roman" w:eastAsia="Times New Roman" w:cs="Times New Roman"/>
          <w:sz w:val="22"/>
          <w:szCs w:val="22"/>
        </w:rPr>
        <w:t xml:space="preserve">.</w:t>
      </w:r>
      <w:bookmarkEnd w:id="11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7" w:name="ref-pesaran2001"/>
      <w:r>
        <w:rPr>
          <w:rFonts w:ascii="Times New Roman" w:hAnsi="Times New Roman" w:eastAsia="Times New Roman" w:cs="Times New Roman"/>
          <w:sz w:val="22"/>
          <w:szCs w:val="22"/>
        </w:rPr>
        <w:t xml:space="preserve">Pesaran, M. Hashem, Yongcheol Shin, y Richard J. Smith. 2001.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«Bounds testing approaches to the analysis of level relationships»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Applied Econometrics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16 (3): 289-326.</w:t>
      </w:r>
      <w:r>
        <w:rPr>
          <w:rFonts w:ascii="Times New Roman" w:hAnsi="Times New Roman" w:eastAsia="Times New Roman" w:cs="Times New Roman"/>
          <w:sz w:val="22"/>
          <w:szCs w:val="22"/>
        </w:rPr>
        <w:t xml:space="preserve"> </w:t>
      </w:r>
      <w:hyperlink r:id="rId39" w:tooltip="https://doi.org/10.1002/jae.616" w:history="1">
        <w:r>
          <w:rPr>
            <w:rStyle w:val="731"/>
            <w:rFonts w:ascii="Times New Roman" w:hAnsi="Times New Roman" w:eastAsia="Times New Roman" w:cs="Times New Roman"/>
            <w:sz w:val="22"/>
            <w:szCs w:val="22"/>
          </w:rPr>
          <w:t xml:space="preserve">https://doi.org/10.1002/jae.616</w:t>
        </w:r>
      </w:hyperlink>
      <w:r>
        <w:rPr>
          <w:rFonts w:ascii="Times New Roman" w:hAnsi="Times New Roman" w:eastAsia="Times New Roman" w:cs="Times New Roman"/>
          <w:sz w:val="22"/>
          <w:szCs w:val="22"/>
        </w:rPr>
        <w:t xml:space="preserve">.</w:t>
      </w:r>
      <w:bookmarkEnd w:id="11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19" w:name="ref-phillips1988"/>
      <w:r>
        <w:rPr>
          <w:rFonts w:ascii="Times New Roman" w:hAnsi="Times New Roman" w:eastAsia="Times New Roman" w:cs="Times New Roman"/>
          <w:sz w:val="22"/>
          <w:szCs w:val="22"/>
        </w:rPr>
        <w:t xml:space="preserve">Phillips, Peter C. B., y Pierre Perron. 1988.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«Testing for a unit root in time series regression»</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Biometrika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75 (2): 335-46.</w:t>
      </w:r>
      <w:r>
        <w:rPr>
          <w:rFonts w:ascii="Times New Roman" w:hAnsi="Times New Roman" w:eastAsia="Times New Roman" w:cs="Times New Roman"/>
          <w:sz w:val="22"/>
          <w:szCs w:val="22"/>
        </w:rPr>
        <w:t xml:space="preserve"> </w:t>
      </w:r>
      <w:hyperlink r:id="rId40" w:tooltip="https://doi.org/10.1093/biomet/75.2.335" w:history="1">
        <w:r>
          <w:rPr>
            <w:rStyle w:val="731"/>
            <w:rFonts w:ascii="Times New Roman" w:hAnsi="Times New Roman" w:eastAsia="Times New Roman" w:cs="Times New Roman"/>
            <w:sz w:val="22"/>
            <w:szCs w:val="22"/>
          </w:rPr>
          <w:t xml:space="preserve">https://doi.org/10.1093/biomet/75.2.335</w:t>
        </w:r>
      </w:hyperlink>
      <w:r>
        <w:rPr>
          <w:rFonts w:ascii="Times New Roman" w:hAnsi="Times New Roman" w:eastAsia="Times New Roman" w:cs="Times New Roman"/>
          <w:sz w:val="22"/>
          <w:szCs w:val="22"/>
        </w:rPr>
        <w:t xml:space="preserve">.</w:t>
      </w:r>
      <w:bookmarkEnd w:id="119"/>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1" w:name="ref-pnd2025"/>
      <w:r>
        <w:rPr>
          <w:rFonts w:ascii="Times New Roman" w:hAnsi="Times New Roman" w:eastAsia="Times New Roman" w:cs="Times New Roman"/>
          <w:sz w:val="22"/>
          <w:szCs w:val="22"/>
        </w:rPr>
        <w:t xml:space="preserve">Planificación, Secretarı́a Nacional de. 2025.</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Plan Nacional de Desarrollo "Ecuador no se detiene" 2025-2029</w:t>
      </w:r>
      <w:r>
        <w:rPr>
          <w:rFonts w:ascii="Times New Roman" w:hAnsi="Times New Roman" w:eastAsia="Times New Roman" w:cs="Times New Roman"/>
          <w:sz w:val="22"/>
          <w:szCs w:val="22"/>
        </w:rPr>
        <w:t xml:space="preserve">. Secretar</w:t>
      </w:r>
      <w:r>
        <w:rPr>
          <w:rFonts w:ascii="Times New Roman" w:hAnsi="Times New Roman" w:eastAsia="Times New Roman" w:cs="Times New Roman"/>
          <w:sz w:val="22"/>
          <w:szCs w:val="22"/>
        </w:rPr>
        <w:t xml:space="preserve">ı́</w:t>
      </w:r>
      <w:r>
        <w:rPr>
          <w:rFonts w:ascii="Times New Roman" w:hAnsi="Times New Roman" w:eastAsia="Times New Roman" w:cs="Times New Roman"/>
          <w:sz w:val="22"/>
          <w:szCs w:val="22"/>
        </w:rPr>
        <w:t xml:space="preserve">a Nacional de Planificaci</w:t>
      </w:r>
      <w:r>
        <w:rPr>
          <w:rFonts w:ascii="Times New Roman" w:hAnsi="Times New Roman" w:eastAsia="Times New Roman" w:cs="Times New Roman"/>
          <w:sz w:val="22"/>
          <w:szCs w:val="22"/>
        </w:rPr>
        <w:t xml:space="preserve">ó</w:t>
      </w:r>
      <w:r>
        <w:rPr>
          <w:rFonts w:ascii="Times New Roman" w:hAnsi="Times New Roman" w:eastAsia="Times New Roman" w:cs="Times New Roman"/>
          <w:sz w:val="22"/>
          <w:szCs w:val="22"/>
        </w:rPr>
        <w:t xml:space="preserve">n del Ecuador.</w:t>
      </w:r>
      <w:r>
        <w:rPr>
          <w:rFonts w:ascii="Times New Roman" w:hAnsi="Times New Roman" w:eastAsia="Times New Roman" w:cs="Times New Roman"/>
          <w:sz w:val="22"/>
          <w:szCs w:val="22"/>
        </w:rPr>
        <w:t xml:space="preserve"> </w:t>
      </w:r>
      <w:hyperlink r:id="rId41" w:tooltip="https://www.planificacion.gob.ec/plan-nacional-de-desarrollo-2025-2029/" w:history="1">
        <w:r>
          <w:rPr>
            <w:rStyle w:val="731"/>
            <w:rFonts w:ascii="Times New Roman" w:hAnsi="Times New Roman" w:eastAsia="Times New Roman" w:cs="Times New Roman"/>
            <w:sz w:val="22"/>
            <w:szCs w:val="22"/>
          </w:rPr>
          <w:t xml:space="preserve">https://www.planificacion.gob.ec/plan-nacional-de-desarrollo-2025-2029/</w:t>
        </w:r>
      </w:hyperlink>
      <w:r>
        <w:rPr>
          <w:rFonts w:ascii="Times New Roman" w:hAnsi="Times New Roman" w:eastAsia="Times New Roman" w:cs="Times New Roman"/>
          <w:sz w:val="22"/>
          <w:szCs w:val="22"/>
        </w:rPr>
        <w:t xml:space="preserve">.</w:t>
      </w:r>
      <w:bookmarkEnd w:id="121"/>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3" w:name="ref-ramosherrera2020"/>
      <w:r>
        <w:rPr>
          <w:rFonts w:ascii="Times New Roman" w:hAnsi="Times New Roman" w:eastAsia="Times New Roman" w:cs="Times New Roman"/>
          <w:sz w:val="22"/>
          <w:szCs w:val="22"/>
        </w:rPr>
        <w:t xml:space="preserve">Ramos-Herrera, María del Carmen, y Simón Sosvilla-Rivero. 2020.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«Fiscal Sustainability in Aging Societies: Evidence from Euro Area Countries»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Sustainability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12 (24): 10276.</w:t>
      </w:r>
      <w:r>
        <w:rPr>
          <w:rFonts w:ascii="Times New Roman" w:hAnsi="Times New Roman" w:eastAsia="Times New Roman" w:cs="Times New Roman"/>
          <w:sz w:val="22"/>
          <w:szCs w:val="22"/>
        </w:rPr>
        <w:t xml:space="preserve"> </w:t>
      </w:r>
      <w:hyperlink r:id="rId42" w:tooltip="https://doi.org/10.3390/su122410276" w:history="1">
        <w:r>
          <w:rPr>
            <w:rStyle w:val="731"/>
            <w:rFonts w:ascii="Times New Roman" w:hAnsi="Times New Roman" w:eastAsia="Times New Roman" w:cs="Times New Roman"/>
            <w:sz w:val="22"/>
            <w:szCs w:val="22"/>
          </w:rPr>
          <w:t xml:space="preserve">https://doi.org/10.3390/su122410276</w:t>
        </w:r>
      </w:hyperlink>
      <w:r>
        <w:rPr>
          <w:rFonts w:ascii="Times New Roman" w:hAnsi="Times New Roman" w:eastAsia="Times New Roman" w:cs="Times New Roman"/>
          <w:sz w:val="22"/>
          <w:szCs w:val="22"/>
        </w:rPr>
        <w:t xml:space="preserve">.</w:t>
      </w:r>
      <w:bookmarkEnd w:id="123"/>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5" w:name="ref-sarisoy2026"/>
      <w:r>
        <w:rPr>
          <w:rFonts w:ascii="Times New Roman" w:hAnsi="Times New Roman" w:eastAsia="Times New Roman" w:cs="Times New Roman"/>
          <w:sz w:val="22"/>
          <w:szCs w:val="22"/>
        </w:rPr>
        <w:t xml:space="preserve">Şarısoy, Şenol. 2026.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«Social Security Transfers and Fiscal Sustainability in Turkey: Evidence from 1984–2024»</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Econometrics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14 (1): 7.</w:t>
      </w:r>
      <w:r>
        <w:rPr>
          <w:rFonts w:ascii="Times New Roman" w:hAnsi="Times New Roman" w:eastAsia="Times New Roman" w:cs="Times New Roman"/>
          <w:sz w:val="22"/>
          <w:szCs w:val="22"/>
        </w:rPr>
        <w:t xml:space="preserve"> </w:t>
      </w:r>
      <w:hyperlink r:id="rId43" w:tooltip="https://doi.org/10.3390/econometrics14010007" w:history="1">
        <w:r>
          <w:rPr>
            <w:rStyle w:val="731"/>
            <w:rFonts w:ascii="Times New Roman" w:hAnsi="Times New Roman" w:eastAsia="Times New Roman" w:cs="Times New Roman"/>
            <w:sz w:val="22"/>
            <w:szCs w:val="22"/>
          </w:rPr>
          <w:t xml:space="preserve">https://doi.org/10.3390/econometrics14010007</w:t>
        </w:r>
      </w:hyperlink>
      <w:r>
        <w:rPr>
          <w:rFonts w:ascii="Times New Roman" w:hAnsi="Times New Roman" w:eastAsia="Times New Roman" w:cs="Times New Roman"/>
          <w:sz w:val="22"/>
          <w:szCs w:val="22"/>
        </w:rPr>
        <w:t xml:space="preserve">.</w:t>
      </w:r>
      <w:bookmarkEnd w:id="125"/>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7" w:name="ref-undp2013"/>
      <w:r>
        <w:rPr>
          <w:rFonts w:ascii="Times New Roman" w:hAnsi="Times New Roman" w:eastAsia="Times New Roman" w:cs="Times New Roman"/>
          <w:sz w:val="22"/>
          <w:szCs w:val="22"/>
        </w:rPr>
        <w:t xml:space="preserve">UNDP. 2013.</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Citizen Security with a Human Face: Evidence and Proposals for Latin America</w:t>
      </w:r>
      <w:r>
        <w:rPr>
          <w:rFonts w:ascii="Times New Roman" w:hAnsi="Times New Roman" w:eastAsia="Times New Roman" w:cs="Times New Roman"/>
          <w:sz w:val="22"/>
          <w:szCs w:val="22"/>
        </w:rPr>
        <w:t xml:space="preserve">. United Nations Development Programme.</w:t>
      </w:r>
      <w:r>
        <w:rPr>
          <w:rFonts w:ascii="Times New Roman" w:hAnsi="Times New Roman" w:eastAsia="Times New Roman" w:cs="Times New Roman"/>
          <w:sz w:val="22"/>
          <w:szCs w:val="22"/>
        </w:rPr>
        <w:t xml:space="preserve"> </w:t>
      </w:r>
      <w:hyperlink r:id="rId44" w:tooltip="https://doi.org/10.1163/2210-7975_hrd-9927-3009" w:history="1">
        <w:r>
          <w:rPr>
            <w:rStyle w:val="731"/>
            <w:rFonts w:ascii="Times New Roman" w:hAnsi="Times New Roman" w:eastAsia="Times New Roman" w:cs="Times New Roman"/>
            <w:sz w:val="22"/>
            <w:szCs w:val="22"/>
          </w:rPr>
          <w:t xml:space="preserve">https://doi.org/10.1163/2210-7975_hrd-9927-3009</w:t>
        </w:r>
      </w:hyperlink>
      <w:r>
        <w:rPr>
          <w:rFonts w:ascii="Times New Roman" w:hAnsi="Times New Roman" w:eastAsia="Times New Roman" w:cs="Times New Roman"/>
          <w:sz w:val="22"/>
          <w:szCs w:val="22"/>
        </w:rPr>
        <w:t xml:space="preserve">.</w:t>
      </w:r>
      <w:bookmarkEnd w:id="127"/>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28" w:name="ref-undp2024"/>
      <w:r>
        <w:rPr>
          <w:rFonts w:ascii="Times New Roman" w:hAnsi="Times New Roman" w:eastAsia="Times New Roman" w:cs="Times New Roman"/>
          <w:sz w:val="22"/>
          <w:szCs w:val="22"/>
        </w:rPr>
        <w:t xml:space="preserve">UNDP. 2024.</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Citizen Security and Human Development in Latin America</w:t>
      </w:r>
      <w:r>
        <w:rPr>
          <w:rFonts w:ascii="Times New Roman" w:hAnsi="Times New Roman" w:eastAsia="Times New Roman" w:cs="Times New Roman"/>
          <w:sz w:val="22"/>
          <w:szCs w:val="22"/>
        </w:rPr>
        <w:t xml:space="preserve">. United Nations Development Programme.</w:t>
      </w:r>
      <w:r>
        <w:rPr>
          <w:rFonts w:ascii="Times New Roman" w:hAnsi="Times New Roman" w:eastAsia="Times New Roman" w:cs="Times New Roman"/>
          <w:sz w:val="22"/>
          <w:szCs w:val="22"/>
        </w:rPr>
        <w:t xml:space="preserve"> </w:t>
      </w:r>
      <w:hyperlink r:id="rId45" w:tooltip="https://doi.org/10.1163/2210-7975_hrd-9927-3009" w:history="1">
        <w:r>
          <w:rPr>
            <w:rStyle w:val="731"/>
            <w:rFonts w:ascii="Times New Roman" w:hAnsi="Times New Roman" w:eastAsia="Times New Roman" w:cs="Times New Roman"/>
            <w:sz w:val="22"/>
            <w:szCs w:val="22"/>
          </w:rPr>
          <w:t xml:space="preserve">https://doi.org/10.1163/2210-7975_hrd-9927-3009</w:t>
        </w:r>
      </w:hyperlink>
      <w:r>
        <w:rPr>
          <w:rFonts w:ascii="Times New Roman" w:hAnsi="Times New Roman" w:eastAsia="Times New Roman" w:cs="Times New Roman"/>
          <w:sz w:val="22"/>
          <w:szCs w:val="22"/>
        </w:rPr>
        <w:t xml:space="preserve">.</w:t>
      </w:r>
      <w:bookmarkEnd w:id="128"/>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0" w:name="ref-vargas2026"/>
      <w:r>
        <w:rPr>
          <w:rFonts w:ascii="Times New Roman" w:hAnsi="Times New Roman" w:eastAsia="Times New Roman" w:cs="Times New Roman"/>
          <w:sz w:val="22"/>
          <w:szCs w:val="22"/>
        </w:rPr>
        <w:t xml:space="preserve">Vargas-Miño, Ander Ronaldo. 2026.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«Efecto del crecimiento económico, la complejidad económica, la informalidad y la calidad institucional sobre la afiliación a la seguridad social en Ecuador»</w:t>
      </w:r>
      <w:r>
        <w:rPr>
          <w:rFonts w:ascii="Times New Roman" w:hAnsi="Times New Roman" w:eastAsia="Times New Roman" w:cs="Times New Roman"/>
          <w:sz w:val="22"/>
          <w:szCs w:val="22"/>
        </w:rPr>
        <w:t xml:space="preserve">. Trabajo de Integración Curricular (Economista), Carrera de Economía; Universidad Nacional de Loja.</w:t>
      </w:r>
      <w:r>
        <w:rPr>
          <w:rFonts w:ascii="Times New Roman" w:hAnsi="Times New Roman" w:eastAsia="Times New Roman" w:cs="Times New Roman"/>
          <w:sz w:val="22"/>
          <w:szCs w:val="22"/>
        </w:rPr>
        <w:t xml:space="preserve"> </w:t>
      </w:r>
      <w:hyperlink r:id="rId46" w:tooltip="https://dspace.unl.edu.ec/server/api/core/bitstreams/27c0d25f-2670-46fe-87ab-fd8966af45ca/content" w:history="1">
        <w:r>
          <w:rPr>
            <w:rStyle w:val="731"/>
            <w:rFonts w:ascii="Times New Roman" w:hAnsi="Times New Roman" w:eastAsia="Times New Roman" w:cs="Times New Roman"/>
            <w:sz w:val="22"/>
            <w:szCs w:val="22"/>
          </w:rPr>
          <w:t xml:space="preserve">https://dspace.unl.edu.ec/server/api/core/bitstreams/27c0d25f-2670-46fe-87ab-fd8966af45ca/content</w:t>
        </w:r>
      </w:hyperlink>
      <w:r>
        <w:rPr>
          <w:rFonts w:ascii="Times New Roman" w:hAnsi="Times New Roman" w:eastAsia="Times New Roman" w:cs="Times New Roman"/>
          <w:sz w:val="22"/>
          <w:szCs w:val="22"/>
        </w:rPr>
        <w:t xml:space="preserve">.</w:t>
      </w:r>
      <w:bookmarkEnd w:id="130"/>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2" w:name="ref-zepeda2023"/>
      <w:r>
        <w:rPr>
          <w:rFonts w:ascii="Times New Roman" w:hAnsi="Times New Roman" w:eastAsia="Times New Roman" w:cs="Times New Roman"/>
          <w:sz w:val="22"/>
          <w:szCs w:val="22"/>
        </w:rPr>
        <w:t xml:space="preserve">Zepeda Gil, Raúl. 2023.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«Conceptualising criminal wars in Latin America»</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Third World Quarterly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44 (4): 776-94.</w:t>
      </w:r>
      <w:r>
        <w:rPr>
          <w:rFonts w:ascii="Times New Roman" w:hAnsi="Times New Roman" w:eastAsia="Times New Roman" w:cs="Times New Roman"/>
          <w:sz w:val="22"/>
          <w:szCs w:val="22"/>
        </w:rPr>
        <w:t xml:space="preserve"> </w:t>
      </w:r>
      <w:hyperlink r:id="rId47" w:tooltip="https://doi.org/10.1080/01436597.2022.2153665" w:history="1">
        <w:r>
          <w:rPr>
            <w:rStyle w:val="731"/>
            <w:rFonts w:ascii="Times New Roman" w:hAnsi="Times New Roman" w:eastAsia="Times New Roman" w:cs="Times New Roman"/>
            <w:sz w:val="22"/>
            <w:szCs w:val="22"/>
          </w:rPr>
          <w:t xml:space="preserve">https://doi.org/10.1080/01436597.2022.2153665</w:t>
        </w:r>
      </w:hyperlink>
      <w:r>
        <w:rPr>
          <w:rFonts w:ascii="Times New Roman" w:hAnsi="Times New Roman" w:eastAsia="Times New Roman" w:cs="Times New Roman"/>
          <w:sz w:val="22"/>
          <w:szCs w:val="22"/>
        </w:rPr>
        <w:t xml:space="preserve">.</w:t>
      </w:r>
      <w:bookmarkEnd w:id="132"/>
      <w:r>
        <w:rPr>
          <w:rFonts w:ascii="Times New Roman" w:hAnsi="Times New Roman" w:eastAsia="Times New Roman" w:cs="Times New Roman"/>
        </w:rPr>
      </w:r>
      <w:r>
        <w:rPr>
          <w:rFonts w:ascii="Times New Roman" w:hAnsi="Times New Roman" w:eastAsia="Times New Roman" w:cs="Times New Roman"/>
          <w:sz w:val="22"/>
          <w:szCs w:val="22"/>
        </w:rPr>
      </w:r>
    </w:p>
    <w:p>
      <w:pPr>
        <w:pStyle w:val="696"/>
        <w:pBdr/>
        <w:spacing/>
        <w:ind/>
        <w:rPr>
          <w:rFonts w:ascii="Times New Roman" w:hAnsi="Times New Roman" w:cs="Times New Roman"/>
          <w:sz w:val="22"/>
          <w:szCs w:val="22"/>
        </w:rPr>
      </w:pPr>
      <w:r>
        <w:rPr>
          <w:rFonts w:ascii="Times New Roman" w:hAnsi="Times New Roman" w:eastAsia="Times New Roman" w:cs="Times New Roman"/>
          <w:sz w:val="22"/>
          <w:szCs w:val="22"/>
        </w:rPr>
      </w:r>
      <w:bookmarkStart w:id="134" w:name="ref-zivot1992"/>
      <w:r>
        <w:rPr>
          <w:rFonts w:ascii="Times New Roman" w:hAnsi="Times New Roman" w:eastAsia="Times New Roman" w:cs="Times New Roman"/>
          <w:sz w:val="22"/>
          <w:szCs w:val="22"/>
        </w:rPr>
        <w:t xml:space="preserve">Zivot, Eric, y Donald W. K. Andrews. 1992.</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«Further Evidence on the Great Crash, the Oil-Price Shock, and the Unit-Root Hypothesis»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 xml:space="preserve">Journal of Business &amp; Economic Statistics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10 (3): 251-70.</w:t>
      </w:r>
      <w:r>
        <w:rPr>
          <w:rFonts w:ascii="Times New Roman" w:hAnsi="Times New Roman" w:eastAsia="Times New Roman" w:cs="Times New Roman"/>
          <w:sz w:val="22"/>
          <w:szCs w:val="22"/>
        </w:rPr>
        <w:t xml:space="preserve"> </w:t>
      </w:r>
      <w:hyperlink r:id="rId48" w:tooltip="https://doi.org/10.1080/07350015.1992.10509904" w:history="1">
        <w:r>
          <w:rPr>
            <w:rStyle w:val="731"/>
            <w:rFonts w:ascii="Times New Roman" w:hAnsi="Times New Roman" w:eastAsia="Times New Roman" w:cs="Times New Roman"/>
            <w:sz w:val="22"/>
            <w:szCs w:val="22"/>
          </w:rPr>
          <w:t xml:space="preserve">https://doi.org/10.1080/07350015.1992.10509904</w:t>
        </w:r>
      </w:hyperlink>
      <w:r>
        <w:rPr>
          <w:rFonts w:ascii="Times New Roman" w:hAnsi="Times New Roman" w:eastAsia="Times New Roman" w:cs="Times New Roman"/>
          <w:sz w:val="22"/>
          <w:szCs w:val="22"/>
        </w:rPr>
        <w:t xml:space="preserve">.</w:t>
      </w:r>
      <w:bookmarkEnd w:id="134"/>
      <w:r>
        <w:rPr>
          <w:rFonts w:ascii="Times New Roman" w:hAnsi="Times New Roman" w:eastAsia="Times New Roman" w:cs="Times New Roman"/>
        </w:rPr>
      </w:r>
      <w:bookmarkEnd w:id="135"/>
      <w:r>
        <w:rPr>
          <w:rFonts w:ascii="Times New Roman" w:hAnsi="Times New Roman" w:eastAsia="Times New Roman" w:cs="Times New Roman"/>
        </w:rPr>
      </w:r>
      <w:bookmarkEnd w:id="136"/>
      <w:r>
        <w:rPr>
          <w:rFonts w:ascii="Times New Roman" w:hAnsi="Times New Roman" w:eastAsia="Times New Roman" w:cs="Times New Roman"/>
        </w:rPr>
      </w:r>
      <w:r>
        <w:rPr>
          <w:rFonts w:ascii="Times New Roman" w:hAnsi="Times New Roman" w:eastAsia="Times New Roman" w:cs="Times New Roman"/>
          <w:sz w:val="22"/>
          <w:szCs w:val="22"/>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right="0" w:firstLine="0" w:left="0"/>
      <w:jc w:val="both"/>
    </w:pPr>
    <w:rPr>
      <w:rFonts w:ascii="Times New Roman" w:hAnsi="Times New Roman" w:eastAsia="Times New Roman" w:cs="Times New Roman"/>
      <w:color w:val="000000"/>
      <w:sz w:val="24"/>
    </w:rPr>
  </w:style>
  <w:style w:type="paragraph" w:styleId="685">
    <w:name w:val="Body Text"/>
    <w:basedOn w:val="684"/>
    <w:link w:val="727"/>
    <w:qFormat/>
    <w:pPr>
      <w:pBdr/>
      <w:spacing w:after="180" w:before="180"/>
      <w:ind w:right="0" w:firstLine="0" w:left="0"/>
      <w:jc w:val="both"/>
    </w:pPr>
    <w:rPr>
      <w:rFonts w:ascii="Times New Roman" w:hAnsi="Times New Roman" w:eastAsia="Times New Roman" w:cs="Times New Roman"/>
      <w:color w:val="000000"/>
      <w:sz w:val="24"/>
    </w:rPr>
  </w:style>
  <w:style w:type="paragraph" w:styleId="686" w:customStyle="1">
    <w:name w:val="First Paragraph"/>
    <w:basedOn w:val="685"/>
    <w:next w:val="685"/>
    <w:qFormat/>
    <w:pPr>
      <w:pBdr/>
      <w:spacing/>
      <w:ind w:right="0" w:firstLine="0" w:left="0"/>
      <w:jc w:val="both"/>
    </w:pPr>
    <w:rPr>
      <w:rFonts w:ascii="Times New Roman" w:hAnsi="Times New Roman" w:eastAsia="Times New Roman" w:cs="Times New Roman"/>
      <w:color w:val="000000"/>
      <w:sz w:val="24"/>
    </w:rPr>
  </w:style>
  <w:style w:type="paragraph" w:styleId="687" w:customStyle="1">
    <w:name w:val="Compact"/>
    <w:basedOn w:val="685"/>
    <w:qFormat/>
    <w:pPr>
      <w:pBdr/>
      <w:spacing w:after="36" w:before="36"/>
      <w:ind w:right="0" w:firstLine="0" w:left="0"/>
    </w:pPr>
    <w:rPr>
      <w:rFonts w:ascii="Times New Roman" w:hAnsi="Times New Roman" w:eastAsia="Times New Roman" w:cs="Times New Roman"/>
      <w:color w:val="000000"/>
    </w:rPr>
  </w:style>
  <w:style w:type="paragraph" w:styleId="688">
    <w:name w:val="Title"/>
    <w:basedOn w:val="684"/>
    <w:next w:val="685"/>
    <w:link w:val="689"/>
    <w:uiPriority w:val="10"/>
    <w:qFormat/>
    <w:pPr>
      <w:pBdr/>
      <w:spacing w:after="80" w:line="240" w:lineRule="auto"/>
      <w:ind/>
      <w:contextualSpacing w:val="true"/>
      <w:jc w:val="center"/>
    </w:pPr>
    <w:rPr>
      <w:rFonts w:ascii="Times New Roman" w:hAnsi="Times New Roman" w:eastAsia="Times New Roman" w:cs="Times New Roman" w:asciiTheme="majorHAnsi" w:hAnsiTheme="majorHAnsi" w:eastAsiaTheme="majorEastAsia" w:cstheme="majorBidi"/>
      <w:b/>
      <w:color w:val="000000"/>
      <w:sz w:val="40"/>
      <w:szCs w:val="56"/>
    </w:rPr>
  </w:style>
  <w:style w:type="character" w:styleId="689" w:customStyle="1">
    <w:name w:val="Title Char"/>
    <w:basedOn w:val="718"/>
    <w:link w:val="688"/>
    <w:uiPriority w:val="10"/>
    <w:pPr>
      <w:pBdr/>
      <w:spacing/>
      <w:ind/>
    </w:pPr>
    <w:rPr>
      <w:rFonts w:ascii="Times New Roman" w:hAnsi="Times New Roman" w:eastAsia="Times New Roman" w:cs="Times New Roman" w:asciiTheme="majorHAnsi" w:hAnsiTheme="majorHAnsi" w:eastAsiaTheme="majorEastAsia" w:cstheme="majorBidi"/>
      <w:b/>
      <w:color w:val="000000"/>
      <w:sz w:val="40"/>
      <w:szCs w:val="56"/>
    </w:rPr>
  </w:style>
  <w:style w:type="paragraph" w:styleId="690">
    <w:name w:val="Subtitle"/>
    <w:basedOn w:val="688"/>
    <w:next w:val="685"/>
    <w:link w:val="691"/>
    <w:uiPriority w:val="11"/>
    <w:qFormat/>
    <w:pPr>
      <w:numPr>
        <w:ilvl w:val="1"/>
      </w:numPr>
      <w:pBdr/>
      <w:spacing/>
      <w:ind/>
    </w:pPr>
    <w:rPr>
      <w:rFonts w:ascii="Times New Roman" w:hAnsi="Times New Roman" w:eastAsia="Times New Roman" w:cs="Times New Roman" w:eastAsiaTheme="majorEastAsia" w:cstheme="majorBidi"/>
      <w:color w:val="000000"/>
      <w:spacing w:val="15"/>
      <w:sz w:val="28"/>
      <w:szCs w:val="28"/>
    </w:rPr>
  </w:style>
  <w:style w:type="character" w:styleId="691" w:customStyle="1">
    <w:name w:val="Subtitle Char"/>
    <w:basedOn w:val="718"/>
    <w:link w:val="690"/>
    <w:uiPriority w:val="11"/>
    <w:pPr>
      <w:pBdr/>
      <w:spacing/>
      <w:ind/>
    </w:pPr>
    <w:rPr>
      <w:rFonts w:ascii="Times New Roman" w:hAnsi="Times New Roman" w:eastAsia="Times New Roman" w:cs="Times New Roman" w:eastAsiaTheme="majorEastAsia" w:cstheme="majorBidi"/>
      <w:color w:val="000000"/>
      <w:spacing w:val="15"/>
      <w:sz w:val="28"/>
      <w:szCs w:val="28"/>
    </w:rPr>
  </w:style>
  <w:style w:type="paragraph" w:styleId="692" w:customStyle="1">
    <w:name w:val="Author"/>
    <w:basedOn w:val="688"/>
    <w:next w:val="685"/>
    <w:qFormat/>
    <w:pPr>
      <w:keepNext w:val="true"/>
      <w:keepLines w:val="true"/>
      <w:pBdr/>
      <w:spacing/>
      <w:ind/>
    </w:pPr>
    <w:rPr>
      <w:rFonts w:ascii="Times New Roman" w:hAnsi="Times New Roman" w:eastAsia="Times New Roman" w:cs="Times New Roman"/>
      <w:color w:val="000000"/>
      <w:sz w:val="24"/>
      <w:szCs w:val="24"/>
    </w:rPr>
  </w:style>
  <w:style w:type="paragraph" w:styleId="693">
    <w:name w:val="Date"/>
    <w:basedOn w:val="688"/>
    <w:next w:val="685"/>
    <w:qFormat/>
    <w:pPr>
      <w:keepNext w:val="true"/>
      <w:keepLines w:val="true"/>
      <w:pBdr/>
      <w:spacing/>
      <w:ind/>
    </w:pPr>
    <w:rPr>
      <w:rFonts w:ascii="Times New Roman" w:hAnsi="Times New Roman" w:eastAsia="Times New Roman" w:cs="Times New Roman"/>
      <w:color w:val="000000"/>
      <w:sz w:val="24"/>
      <w:szCs w:val="24"/>
    </w:rPr>
  </w:style>
  <w:style w:type="paragraph" w:styleId="694" w:customStyle="1">
    <w:name w:val="Abstract Title"/>
    <w:basedOn w:val="684"/>
    <w:next w:val="695"/>
    <w:qFormat/>
    <w:pPr>
      <w:keepNext w:val="true"/>
      <w:keepLines w:val="true"/>
      <w:pBdr/>
      <w:spacing w:after="0" w:before="300"/>
      <w:ind/>
      <w:jc w:val="center"/>
    </w:pPr>
    <w:rPr>
      <w:rFonts w:ascii="Times New Roman" w:hAnsi="Times New Roman" w:eastAsia="Times New Roman" w:cs="Times New Roman"/>
      <w:b/>
      <w:color w:val="000000"/>
      <w:sz w:val="40"/>
      <w:szCs w:val="20"/>
    </w:rPr>
  </w:style>
  <w:style w:type="paragraph" w:styleId="695" w:customStyle="1">
    <w:name w:val="Abstract"/>
    <w:basedOn w:val="684"/>
    <w:next w:val="685"/>
    <w:qFormat/>
    <w:pPr>
      <w:keepNext w:val="true"/>
      <w:keepLines w:val="true"/>
      <w:pBdr/>
      <w:spacing w:after="300" w:before="100"/>
      <w:ind/>
    </w:pPr>
    <w:rPr>
      <w:rFonts w:ascii="Times New Roman" w:hAnsi="Times New Roman" w:eastAsia="Times New Roman" w:cs="Times New Roman"/>
      <w:color w:val="000000"/>
      <w:sz w:val="20"/>
      <w:szCs w:val="20"/>
    </w:rPr>
  </w:style>
  <w:style w:type="paragraph" w:styleId="696">
    <w:name w:val="Bibliography"/>
    <w:basedOn w:val="684"/>
    <w:next w:val="696"/>
    <w:qFormat/>
    <w:pPr>
      <w:pBdr/>
      <w:spacing/>
      <w:ind w:hanging="720" w:left="720"/>
      <w:jc w:val="both"/>
    </w:pPr>
    <w:rPr>
      <w:rFonts w:ascii="Times New Roman" w:hAnsi="Times New Roman" w:eastAsia="Times New Roman" w:cs="Times New Roman"/>
      <w:color w:val="000000"/>
      <w:sz w:val="24"/>
    </w:rPr>
  </w:style>
  <w:style w:type="paragraph" w:styleId="697">
    <w:name w:val="Heading 1"/>
    <w:basedOn w:val="684"/>
    <w:next w:val="685"/>
    <w:link w:val="706"/>
    <w:uiPriority w:val="9"/>
    <w:qFormat/>
    <w:pPr>
      <w:keepNext w:val="true"/>
      <w:keepLines w:val="true"/>
      <w:pBdr/>
      <w:spacing w:after="80" w:before="360"/>
      <w:ind/>
      <w:outlineLvl w:val="0"/>
    </w:pPr>
    <w:rPr>
      <w:rFonts w:ascii="Times New Roman" w:hAnsi="Times New Roman" w:eastAsia="Times New Roman" w:cs="Times New Roman" w:asciiTheme="majorHAnsi" w:hAnsiTheme="majorHAnsi" w:eastAsiaTheme="majorEastAsia" w:cstheme="majorBidi"/>
      <w:b/>
      <w:color w:val="000000"/>
      <w:sz w:val="32"/>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imes New Roman" w:hAnsi="Times New Roman" w:eastAsia="Times New Roman" w:cs="Times New Roman" w:asciiTheme="majorHAnsi" w:hAnsiTheme="majorHAnsi" w:eastAsiaTheme="majorEastAsia" w:cstheme="majorBidi"/>
      <w:b/>
      <w:color w:val="000000"/>
      <w:sz w:val="28"/>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ascii="Times New Roman" w:hAnsi="Times New Roman" w:eastAsia="Times New Roman" w:cs="Times New Roman" w:eastAsiaTheme="majorEastAsia" w:cstheme="majorBidi"/>
      <w:b/>
      <w:color w:val="000000"/>
      <w:sz w:val="24"/>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ascii="Times New Roman" w:hAnsi="Times New Roman" w:eastAsia="Times New Roman" w:cs="Times New Roman" w:eastAsiaTheme="majorEastAsia" w:cstheme="majorBidi"/>
      <w:i/>
      <w:iCs/>
      <w:color w:val="000000"/>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ascii="Times New Roman" w:hAnsi="Times New Roman" w:eastAsia="Times New Roman" w:cs="Times New Roman" w:eastAsiaTheme="majorEastAsia" w:cstheme="majorBidi"/>
      <w:color w:val="000000"/>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ascii="Times New Roman" w:hAnsi="Times New Roman" w:eastAsia="Times New Roman" w:cs="Times New Roman" w:eastAsiaTheme="majorEastAsia" w:cstheme="majorBidi"/>
      <w:i/>
      <w:iCs/>
      <w:color w:val="000000"/>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ascii="Times New Roman" w:hAnsi="Times New Roman" w:eastAsia="Times New Roman" w:cs="Times New Roman" w:eastAsiaTheme="majorEastAsia" w:cstheme="majorBidi"/>
      <w:color w:val="000000"/>
    </w:rPr>
  </w:style>
  <w:style w:type="paragraph" w:styleId="704">
    <w:name w:val="Heading 8"/>
    <w:basedOn w:val="684"/>
    <w:next w:val="685"/>
    <w:link w:val="713"/>
    <w:uiPriority w:val="9"/>
    <w:semiHidden/>
    <w:unhideWhenUsed/>
    <w:qFormat/>
    <w:pPr>
      <w:keepNext w:val="true"/>
      <w:keepLines w:val="true"/>
      <w:pBdr/>
      <w:spacing w:after="0"/>
      <w:ind/>
      <w:outlineLvl w:val="7"/>
    </w:pPr>
    <w:rPr>
      <w:rFonts w:ascii="Times New Roman" w:hAnsi="Times New Roman" w:eastAsia="Times New Roman" w:cs="Times New Roman" w:eastAsiaTheme="majorEastAsia" w:cstheme="majorBidi"/>
      <w:i/>
      <w:iCs/>
      <w:color w:val="000000"/>
    </w:rPr>
  </w:style>
  <w:style w:type="paragraph" w:styleId="705">
    <w:name w:val="Heading 9"/>
    <w:basedOn w:val="684"/>
    <w:next w:val="685"/>
    <w:link w:val="714"/>
    <w:uiPriority w:val="9"/>
    <w:semiHidden/>
    <w:unhideWhenUsed/>
    <w:qFormat/>
    <w:pPr>
      <w:keepNext w:val="true"/>
      <w:keepLines w:val="true"/>
      <w:pBdr/>
      <w:spacing w:after="0"/>
      <w:ind/>
      <w:outlineLvl w:val="8"/>
    </w:pPr>
    <w:rPr>
      <w:rFonts w:ascii="Times New Roman" w:hAnsi="Times New Roman" w:eastAsia="Times New Roman" w:cs="Times New Roman" w:eastAsiaTheme="majorEastAsia" w:cstheme="majorBidi"/>
      <w:color w:val="000000"/>
    </w:rPr>
  </w:style>
  <w:style w:type="character" w:styleId="706" w:customStyle="1">
    <w:name w:val="Heading 1 Char"/>
    <w:basedOn w:val="718"/>
    <w:link w:val="697"/>
    <w:uiPriority w:val="9"/>
    <w:pPr>
      <w:pBdr/>
      <w:spacing/>
      <w:ind/>
    </w:pPr>
    <w:rPr>
      <w:rFonts w:ascii="Times New Roman" w:hAnsi="Times New Roman" w:eastAsia="Times New Roman" w:cs="Times New Roman" w:asciiTheme="majorHAnsi" w:hAnsiTheme="majorHAnsi" w:eastAsiaTheme="majorEastAsia" w:cstheme="majorBidi"/>
      <w:b/>
      <w:color w:val="000000"/>
      <w:sz w:val="32"/>
      <w:szCs w:val="40"/>
    </w:rPr>
  </w:style>
  <w:style w:type="character" w:styleId="707" w:customStyle="1">
    <w:name w:val="Heading 2 Char"/>
    <w:basedOn w:val="718"/>
    <w:link w:val="698"/>
    <w:uiPriority w:val="9"/>
    <w:semiHidden/>
    <w:pPr>
      <w:pBdr/>
      <w:spacing/>
      <w:ind/>
    </w:pPr>
    <w:rPr>
      <w:rFonts w:ascii="Times New Roman" w:hAnsi="Times New Roman" w:eastAsia="Times New Roman" w:cs="Times New Roman" w:asciiTheme="majorHAnsi" w:hAnsiTheme="majorHAnsi" w:eastAsiaTheme="majorEastAsia" w:cstheme="majorBidi"/>
      <w:b/>
      <w:color w:val="000000"/>
      <w:sz w:val="28"/>
      <w:szCs w:val="32"/>
    </w:rPr>
  </w:style>
  <w:style w:type="character" w:styleId="708" w:customStyle="1">
    <w:name w:val="Heading 3 Char"/>
    <w:basedOn w:val="718"/>
    <w:link w:val="699"/>
    <w:uiPriority w:val="9"/>
    <w:semiHidden/>
    <w:pPr>
      <w:pBdr/>
      <w:spacing/>
      <w:ind/>
    </w:pPr>
    <w:rPr>
      <w:rFonts w:ascii="Times New Roman" w:hAnsi="Times New Roman" w:eastAsia="Times New Roman" w:cs="Times New Roman" w:eastAsiaTheme="majorEastAsia" w:cstheme="majorBidi"/>
      <w:b/>
      <w:color w:val="000000"/>
      <w:sz w:val="24"/>
      <w:szCs w:val="28"/>
    </w:rPr>
  </w:style>
  <w:style w:type="character" w:styleId="709" w:customStyle="1">
    <w:name w:val="Heading 4 Char"/>
    <w:basedOn w:val="718"/>
    <w:link w:val="700"/>
    <w:uiPriority w:val="9"/>
    <w:semiHidden/>
    <w:pPr>
      <w:pBdr/>
      <w:spacing/>
      <w:ind/>
    </w:pPr>
    <w:rPr>
      <w:rFonts w:ascii="Times New Roman" w:hAnsi="Times New Roman" w:eastAsia="Times New Roman" w:cs="Times New Roman" w:eastAsiaTheme="majorEastAsia" w:cstheme="majorBidi"/>
      <w:i/>
      <w:iCs/>
      <w:color w:val="000000"/>
    </w:rPr>
  </w:style>
  <w:style w:type="character" w:styleId="710" w:customStyle="1">
    <w:name w:val="Heading 5 Char"/>
    <w:basedOn w:val="718"/>
    <w:link w:val="701"/>
    <w:uiPriority w:val="9"/>
    <w:semiHidden/>
    <w:pPr>
      <w:pBdr/>
      <w:spacing/>
      <w:ind/>
    </w:pPr>
    <w:rPr>
      <w:rFonts w:ascii="Times New Roman" w:hAnsi="Times New Roman" w:eastAsia="Times New Roman" w:cs="Times New Roman" w:eastAsiaTheme="majorEastAsia" w:cstheme="majorBidi"/>
      <w:color w:val="000000"/>
    </w:rPr>
  </w:style>
  <w:style w:type="character" w:styleId="711" w:customStyle="1">
    <w:name w:val="Heading 6 Char"/>
    <w:basedOn w:val="718"/>
    <w:link w:val="702"/>
    <w:uiPriority w:val="9"/>
    <w:semiHidden/>
    <w:pPr>
      <w:pBdr/>
      <w:spacing/>
      <w:ind/>
    </w:pPr>
    <w:rPr>
      <w:rFonts w:ascii="Times New Roman" w:hAnsi="Times New Roman" w:eastAsia="Times New Roman" w:cs="Times New Roman" w:eastAsiaTheme="majorEastAsia" w:cstheme="majorBidi"/>
      <w:i/>
      <w:iCs/>
      <w:color w:val="000000"/>
    </w:rPr>
  </w:style>
  <w:style w:type="character" w:styleId="712" w:customStyle="1">
    <w:name w:val="Heading 7 Char"/>
    <w:basedOn w:val="718"/>
    <w:link w:val="703"/>
    <w:uiPriority w:val="9"/>
    <w:semiHidden/>
    <w:pPr>
      <w:pBdr/>
      <w:spacing/>
      <w:ind/>
    </w:pPr>
    <w:rPr>
      <w:rFonts w:ascii="Times New Roman" w:hAnsi="Times New Roman" w:eastAsia="Times New Roman" w:cs="Times New Roman" w:eastAsiaTheme="majorEastAsia" w:cstheme="majorBidi"/>
      <w:color w:val="000000"/>
    </w:rPr>
  </w:style>
  <w:style w:type="character" w:styleId="713" w:customStyle="1">
    <w:name w:val="Heading 8 Char"/>
    <w:basedOn w:val="718"/>
    <w:link w:val="704"/>
    <w:uiPriority w:val="9"/>
    <w:semiHidden/>
    <w:pPr>
      <w:pBdr/>
      <w:spacing/>
      <w:ind/>
    </w:pPr>
    <w:rPr>
      <w:rFonts w:ascii="Times New Roman" w:hAnsi="Times New Roman" w:eastAsia="Times New Roman" w:cs="Times New Roman" w:eastAsiaTheme="majorEastAsia" w:cstheme="majorBidi"/>
      <w:i/>
      <w:iCs/>
      <w:color w:val="000000"/>
    </w:rPr>
  </w:style>
  <w:style w:type="character" w:styleId="714" w:customStyle="1">
    <w:name w:val="Heading 9 Char"/>
    <w:basedOn w:val="718"/>
    <w:link w:val="705"/>
    <w:uiPriority w:val="9"/>
    <w:semiHidden/>
    <w:pPr>
      <w:pBdr/>
      <w:spacing/>
      <w:ind/>
    </w:pPr>
    <w:rPr>
      <w:rFonts w:ascii="Times New Roman" w:hAnsi="Times New Roman" w:eastAsia="Times New Roman" w:cs="Times New Roman" w:eastAsiaTheme="majorEastAsia" w:cstheme="majorBidi"/>
      <w:color w:val="000000"/>
    </w:rPr>
  </w:style>
  <w:style w:type="paragraph" w:styleId="715">
    <w:name w:val="Block Text"/>
    <w:basedOn w:val="685"/>
    <w:next w:val="685"/>
    <w:uiPriority w:val="9"/>
    <w:unhideWhenUsed/>
    <w:qFormat/>
    <w:pPr>
      <w:pBdr/>
      <w:spacing w:after="100" w:before="100"/>
      <w:ind w:right="480" w:firstLine="0" w:left="480"/>
    </w:pPr>
    <w:rPr>
      <w:rFonts w:ascii="Times New Roman" w:hAnsi="Times New Roman" w:eastAsia="Times New Roman" w:cs="Times New Roman"/>
      <w:color w:val="000000"/>
    </w:rPr>
  </w:style>
  <w:style w:type="paragraph" w:styleId="716">
    <w:name w:val="footnote text"/>
    <w:basedOn w:val="684"/>
    <w:next w:val="716"/>
    <w:uiPriority w:val="9"/>
    <w:unhideWhenUsed/>
    <w:qFormat/>
    <w:pPr>
      <w:pBdr/>
      <w:spacing/>
      <w:ind/>
    </w:pPr>
    <w:rPr>
      <w:rFonts w:ascii="Times New Roman" w:hAnsi="Times New Roman" w:eastAsia="Times New Roman" w:cs="Times New Roman"/>
      <w:color w:val="000000"/>
    </w:rPr>
  </w:style>
  <w:style w:type="paragraph" w:styleId="717">
    <w:name w:val="Footnote Block Text"/>
    <w:basedOn w:val="716"/>
    <w:next w:val="716"/>
    <w:uiPriority w:val="9"/>
    <w:unhideWhenUsed/>
    <w:qFormat/>
    <w:pPr>
      <w:pBdr/>
      <w:spacing w:after="100" w:before="100"/>
      <w:ind w:right="480" w:firstLine="0" w:left="480"/>
    </w:pPr>
    <w:rPr>
      <w:rFonts w:ascii="Times New Roman" w:hAnsi="Times New Roman" w:eastAsia="Times New Roman" w:cs="Times New Roman"/>
      <w:color w:val="000000"/>
    </w:rPr>
  </w:style>
  <w:style w:type="character" w:styleId="718" w:default="1">
    <w:name w:val="Default Paragraph Font"/>
    <w:semiHidden/>
    <w:unhideWhenUsed/>
    <w:pPr>
      <w:pBdr/>
      <w:spacing/>
      <w:ind/>
    </w:pPr>
    <w:rPr>
      <w:rFonts w:ascii="Times New Roman" w:hAnsi="Times New Roman" w:eastAsia="Times New Roman" w:cs="Times New Roman"/>
      <w:color w:val="000000"/>
    </w:rPr>
  </w:style>
  <w:style w:type="table" w:styleId="719">
    <w:name w:val="Table"/>
    <w:semiHidden/>
    <w:unhideWhenUsed/>
    <w:qFormat/>
    <w:pPr>
      <w:pBdr/>
      <w:spacing/>
      <w:ind/>
    </w:pPr>
    <w:rPr>
      <w:rFonts w:ascii="Times New Roman" w:hAnsi="Times New Roman" w:eastAsia="Times New Roman" w:cs="Times New Roman"/>
      <w:color w:val="000000"/>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rFonts w:ascii="Times New Roman" w:hAnsi="Times New Roman" w:eastAsia="Times New Roman" w:cs="Times New Roman"/>
      <w:b/>
      <w:color w:val="000000"/>
    </w:rPr>
  </w:style>
  <w:style w:type="paragraph" w:styleId="721" w:customStyle="1">
    <w:name w:val="Definition"/>
    <w:basedOn w:val="684"/>
    <w:pPr>
      <w:pBdr/>
      <w:spacing/>
      <w:ind/>
    </w:pPr>
    <w:rPr>
      <w:rFonts w:ascii="Times New Roman" w:hAnsi="Times New Roman" w:eastAsia="Times New Roman" w:cs="Times New Roman"/>
      <w:color w:val="000000"/>
    </w:rPr>
  </w:style>
  <w:style w:type="paragraph" w:styleId="722">
    <w:name w:val="Caption"/>
    <w:basedOn w:val="684"/>
    <w:link w:val="727"/>
    <w:pPr>
      <w:pBdr/>
      <w:spacing w:after="120" w:before="0"/>
      <w:ind/>
    </w:pPr>
    <w:rPr>
      <w:rFonts w:ascii="Times New Roman" w:hAnsi="Times New Roman" w:eastAsia="Times New Roman" w:cs="Times New Roman"/>
      <w:i/>
      <w:color w:val="000000"/>
    </w:rPr>
  </w:style>
  <w:style w:type="paragraph" w:styleId="723" w:customStyle="1">
    <w:name w:val="Table Caption"/>
    <w:basedOn w:val="722"/>
    <w:pPr>
      <w:keepNext w:val="true"/>
      <w:pBdr/>
      <w:spacing/>
      <w:ind/>
    </w:pPr>
    <w:rPr>
      <w:rFonts w:ascii="Times New Roman" w:hAnsi="Times New Roman" w:eastAsia="Times New Roman" w:cs="Times New Roman"/>
      <w:color w:val="000000"/>
    </w:rPr>
  </w:style>
  <w:style w:type="paragraph" w:styleId="724" w:customStyle="1">
    <w:name w:val="Image Caption"/>
    <w:basedOn w:val="722"/>
    <w:pPr>
      <w:pBdr/>
      <w:spacing/>
      <w:ind/>
    </w:pPr>
    <w:rPr>
      <w:rFonts w:ascii="Times New Roman" w:hAnsi="Times New Roman" w:eastAsia="Times New Roman" w:cs="Times New Roman"/>
      <w:color w:val="000000"/>
    </w:rPr>
  </w:style>
  <w:style w:type="paragraph" w:styleId="725" w:customStyle="1">
    <w:name w:val="Figure"/>
    <w:basedOn w:val="684"/>
    <w:pPr>
      <w:pBdr/>
      <w:spacing/>
      <w:ind/>
    </w:pPr>
    <w:rPr>
      <w:rFonts w:ascii="Times New Roman" w:hAnsi="Times New Roman" w:eastAsia="Times New Roman" w:cs="Times New Roman"/>
      <w:color w:val="000000"/>
    </w:rPr>
  </w:style>
  <w:style w:type="paragraph" w:styleId="726" w:customStyle="1">
    <w:name w:val="Captioned Figure"/>
    <w:basedOn w:val="725"/>
    <w:pPr>
      <w:keepNext w:val="true"/>
      <w:pBdr/>
      <w:spacing/>
      <w:ind/>
    </w:pPr>
    <w:rPr>
      <w:rFonts w:ascii="Times New Roman" w:hAnsi="Times New Roman" w:eastAsia="Times New Roman" w:cs="Times New Roman"/>
      <w:color w:val="000000"/>
    </w:rPr>
  </w:style>
  <w:style w:type="character" w:styleId="727" w:customStyle="1">
    <w:name w:val="Body Text Char"/>
    <w:basedOn w:val="718"/>
    <w:link w:val="685"/>
    <w:pPr>
      <w:pBdr/>
      <w:spacing/>
      <w:ind/>
    </w:pPr>
    <w:rPr>
      <w:rFonts w:ascii="Times New Roman" w:hAnsi="Times New Roman" w:eastAsia="Times New Roman" w:cs="Times New Roman"/>
      <w:color w:val="000000"/>
      <w:sz w:val="24"/>
    </w:rPr>
  </w:style>
  <w:style w:type="character" w:styleId="728" w:customStyle="1">
    <w:name w:val="Verbatim Char"/>
    <w:basedOn w:val="727"/>
    <w:pPr>
      <w:pBdr/>
      <w:spacing/>
      <w:ind/>
    </w:pPr>
    <w:rPr>
      <w:rFonts w:ascii="Times New Roman" w:hAnsi="Times New Roman" w:eastAsia="Times New Roman" w:cs="Times New Roman"/>
      <w:color w:val="000000"/>
      <w:sz w:val="22"/>
    </w:rPr>
  </w:style>
  <w:style w:type="character" w:styleId="729" w:customStyle="1">
    <w:name w:val="Section Number"/>
    <w:basedOn w:val="727"/>
    <w:pPr>
      <w:pBdr/>
      <w:spacing/>
      <w:ind/>
    </w:pPr>
    <w:rPr>
      <w:rFonts w:ascii="Times New Roman" w:hAnsi="Times New Roman" w:eastAsia="Times New Roman" w:cs="Times New Roman"/>
      <w:color w:val="000000"/>
    </w:rPr>
  </w:style>
  <w:style w:type="character" w:styleId="730">
    <w:name w:val="footnote reference"/>
    <w:basedOn w:val="727"/>
    <w:pPr>
      <w:pBdr/>
      <w:spacing/>
      <w:ind/>
    </w:pPr>
    <w:rPr>
      <w:rFonts w:ascii="Times New Roman" w:hAnsi="Times New Roman" w:eastAsia="Times New Roman" w:cs="Times New Roman"/>
      <w:color w:val="000000"/>
      <w:vertAlign w:val="superscript"/>
    </w:rPr>
  </w:style>
  <w:style w:type="character" w:styleId="731">
    <w:name w:val="Hyperlink"/>
    <w:basedOn w:val="727"/>
    <w:pPr>
      <w:pBdr/>
      <w:spacing/>
      <w:ind/>
    </w:pPr>
    <w:rPr>
      <w:rFonts w:ascii="Times New Roman" w:hAnsi="Times New Roman" w:eastAsia="Times New Roman" w:cs="Times New Roman"/>
      <w:color w:val="000000"/>
    </w:rPr>
  </w:style>
  <w:style w:type="paragraph" w:styleId="732">
    <w:name w:val="TOC Heading"/>
    <w:basedOn w:val="697"/>
    <w:next w:val="685"/>
    <w:uiPriority w:val="39"/>
    <w:unhideWhenUsed/>
    <w:qFormat/>
    <w:pPr>
      <w:pBdr/>
      <w:spacing w:before="240" w:line="259" w:lineRule="auto"/>
      <w:ind/>
      <w:outlineLvl w:val="9"/>
    </w:pPr>
    <w:rPr>
      <w:rFonts w:ascii="Times New Roman" w:hAnsi="Times New Roman" w:eastAsia="Times New Roman" w:cs="Times New Roman" w:asciiTheme="majorHAnsi" w:hAnsiTheme="majorHAnsi" w:eastAsiaTheme="majorEastAsia" w:cstheme="majorBidi"/>
      <w:b w:val="0"/>
      <w:bCs w:val="0"/>
      <w:color w:val="000000"/>
    </w:rPr>
  </w:style>
  <w:style w:type="paragraph" w:styleId="733" w:customStyle="1">
    <w:name w:val="Source Code"/>
    <w:basedOn w:val="684"/>
    <w:link w:val="728"/>
    <w:pPr>
      <w:pBdr/>
      <w:spacing/>
      <w:ind/>
    </w:pPr>
  </w:style>
  <w:style w:type="character" w:styleId="734" w:customStyle="1">
    <w:name w:val="KeywordTok"/>
    <w:basedOn w:val="728"/>
    <w:pPr>
      <w:pBdr/>
      <w:spacing/>
      <w:ind/>
    </w:pPr>
    <w:rPr>
      <w:color w:val="d73a49"/>
    </w:rPr>
  </w:style>
  <w:style w:type="character" w:styleId="735" w:customStyle="1">
    <w:name w:val="DataTypeTok"/>
    <w:basedOn w:val="728"/>
    <w:pPr>
      <w:pBdr/>
      <w:spacing/>
      <w:ind/>
    </w:pPr>
    <w:rPr>
      <w:color w:val="d73a49"/>
    </w:rPr>
  </w:style>
  <w:style w:type="character" w:styleId="736" w:customStyle="1">
    <w:name w:val="DecValTok"/>
    <w:basedOn w:val="728"/>
    <w:pPr>
      <w:pBdr/>
      <w:spacing/>
      <w:ind/>
    </w:pPr>
    <w:rPr>
      <w:color w:val="005cc5"/>
    </w:rPr>
  </w:style>
  <w:style w:type="character" w:styleId="737" w:customStyle="1">
    <w:name w:val="BaseNTok"/>
    <w:basedOn w:val="728"/>
    <w:pPr>
      <w:pBdr/>
      <w:spacing/>
      <w:ind/>
    </w:pPr>
    <w:rPr>
      <w:color w:val="005cc5"/>
    </w:rPr>
  </w:style>
  <w:style w:type="character" w:styleId="738" w:customStyle="1">
    <w:name w:val="FloatTok"/>
    <w:basedOn w:val="728"/>
    <w:pPr>
      <w:pBdr/>
      <w:spacing/>
      <w:ind/>
    </w:pPr>
    <w:rPr>
      <w:color w:val="005cc5"/>
    </w:rPr>
  </w:style>
  <w:style w:type="character" w:styleId="739" w:customStyle="1">
    <w:name w:val="ConstantTok"/>
    <w:basedOn w:val="728"/>
    <w:pPr>
      <w:pBdr/>
      <w:spacing/>
      <w:ind/>
    </w:pPr>
    <w:rPr>
      <w:color w:val="005cc5"/>
    </w:rPr>
  </w:style>
  <w:style w:type="character" w:styleId="740" w:customStyle="1">
    <w:name w:val="CharTok"/>
    <w:basedOn w:val="728"/>
    <w:pPr>
      <w:pBdr/>
      <w:spacing/>
      <w:ind/>
    </w:pPr>
    <w:rPr>
      <w:color w:val="032f62"/>
    </w:rPr>
  </w:style>
  <w:style w:type="character" w:styleId="741" w:customStyle="1">
    <w:name w:val="SpecialCharTok"/>
    <w:basedOn w:val="728"/>
    <w:pPr>
      <w:pBdr/>
      <w:spacing/>
      <w:ind/>
    </w:pPr>
    <w:rPr>
      <w:color w:val="005cc5"/>
    </w:rPr>
  </w:style>
  <w:style w:type="character" w:styleId="742" w:customStyle="1">
    <w:name w:val="StringTok"/>
    <w:basedOn w:val="728"/>
    <w:pPr>
      <w:pBdr/>
      <w:spacing/>
      <w:ind/>
    </w:pPr>
    <w:rPr>
      <w:color w:val="032f62"/>
    </w:rPr>
  </w:style>
  <w:style w:type="character" w:styleId="743" w:customStyle="1">
    <w:name w:val="VerbatimStringTok"/>
    <w:basedOn w:val="728"/>
    <w:pPr>
      <w:pBdr/>
      <w:spacing/>
      <w:ind/>
    </w:pPr>
    <w:rPr>
      <w:color w:val="032f62"/>
    </w:rPr>
  </w:style>
  <w:style w:type="character" w:styleId="744" w:customStyle="1">
    <w:name w:val="SpecialStringTok"/>
    <w:basedOn w:val="728"/>
    <w:pPr>
      <w:pBdr/>
      <w:spacing/>
      <w:ind/>
    </w:pPr>
    <w:rPr>
      <w:color w:val="032f62"/>
    </w:rPr>
  </w:style>
  <w:style w:type="character" w:styleId="745" w:customStyle="1">
    <w:name w:val="ImportTok"/>
    <w:basedOn w:val="728"/>
    <w:pPr>
      <w:pBdr/>
      <w:spacing/>
      <w:ind/>
    </w:pPr>
    <w:rPr>
      <w:color w:val="032f62"/>
    </w:rPr>
  </w:style>
  <w:style w:type="character" w:styleId="746" w:customStyle="1">
    <w:name w:val="CommentTok"/>
    <w:basedOn w:val="728"/>
    <w:pPr>
      <w:pBdr/>
      <w:spacing/>
      <w:ind/>
    </w:pPr>
    <w:rPr>
      <w:color w:val="6a737d"/>
    </w:rPr>
  </w:style>
  <w:style w:type="character" w:styleId="747" w:customStyle="1">
    <w:name w:val="DocumentationTok"/>
    <w:basedOn w:val="728"/>
    <w:pPr>
      <w:pBdr/>
      <w:spacing/>
      <w:ind/>
    </w:pPr>
    <w:rPr>
      <w:color w:val="6a737d"/>
    </w:rPr>
  </w:style>
  <w:style w:type="character" w:styleId="748" w:customStyle="1">
    <w:name w:val="AnnotationTok"/>
    <w:basedOn w:val="728"/>
    <w:pPr>
      <w:pBdr/>
      <w:spacing/>
      <w:ind/>
    </w:pPr>
    <w:rPr>
      <w:color w:val="6a737d"/>
    </w:rPr>
  </w:style>
  <w:style w:type="character" w:styleId="749" w:customStyle="1">
    <w:name w:val="CommentVarTok"/>
    <w:basedOn w:val="728"/>
    <w:pPr>
      <w:pBdr/>
      <w:spacing/>
      <w:ind/>
    </w:pPr>
    <w:rPr>
      <w:color w:val="6a737d"/>
    </w:rPr>
  </w:style>
  <w:style w:type="character" w:styleId="750" w:customStyle="1">
    <w:name w:val="OtherTok"/>
    <w:basedOn w:val="728"/>
    <w:pPr>
      <w:pBdr/>
      <w:spacing/>
      <w:ind/>
    </w:pPr>
    <w:rPr>
      <w:color w:val="6f42c1"/>
    </w:rPr>
  </w:style>
  <w:style w:type="character" w:styleId="751" w:customStyle="1">
    <w:name w:val="FunctionTok"/>
    <w:basedOn w:val="728"/>
    <w:pPr>
      <w:pBdr/>
      <w:spacing/>
      <w:ind/>
    </w:pPr>
    <w:rPr>
      <w:color w:val="6f42c1"/>
    </w:rPr>
  </w:style>
  <w:style w:type="character" w:styleId="752" w:customStyle="1">
    <w:name w:val="VariableTok"/>
    <w:basedOn w:val="728"/>
    <w:pPr>
      <w:pBdr/>
      <w:spacing/>
      <w:ind/>
    </w:pPr>
    <w:rPr>
      <w:color w:val="e36209"/>
    </w:rPr>
  </w:style>
  <w:style w:type="character" w:styleId="753" w:customStyle="1">
    <w:name w:val="ControlFlowTok"/>
    <w:basedOn w:val="728"/>
    <w:pPr>
      <w:pBdr/>
      <w:spacing/>
      <w:ind/>
    </w:pPr>
    <w:rPr>
      <w:color w:val="d73a49"/>
    </w:rPr>
  </w:style>
  <w:style w:type="character" w:styleId="754" w:customStyle="1">
    <w:name w:val="OperatorTok"/>
    <w:basedOn w:val="728"/>
    <w:pPr>
      <w:pBdr/>
      <w:spacing/>
      <w:ind/>
    </w:pPr>
    <w:rPr>
      <w:color w:val="24292e"/>
    </w:rPr>
  </w:style>
  <w:style w:type="character" w:styleId="755" w:customStyle="1">
    <w:name w:val="BuiltInTok"/>
    <w:basedOn w:val="728"/>
    <w:pPr>
      <w:pBdr/>
      <w:spacing/>
      <w:ind/>
    </w:pPr>
    <w:rPr>
      <w:color w:val="d73a49"/>
    </w:rPr>
  </w:style>
  <w:style w:type="character" w:styleId="756" w:customStyle="1">
    <w:name w:val="ExtensionTok"/>
    <w:basedOn w:val="728"/>
    <w:pPr>
      <w:pBdr/>
      <w:spacing/>
      <w:ind/>
    </w:pPr>
    <w:rPr>
      <w:b/>
      <w:color w:val="d73a49"/>
    </w:rPr>
  </w:style>
  <w:style w:type="character" w:styleId="757" w:customStyle="1">
    <w:name w:val="PreprocessorTok"/>
    <w:basedOn w:val="728"/>
    <w:pPr>
      <w:pBdr/>
      <w:spacing/>
      <w:ind/>
    </w:pPr>
    <w:rPr>
      <w:color w:val="d73a49"/>
    </w:rPr>
  </w:style>
  <w:style w:type="character" w:styleId="758" w:customStyle="1">
    <w:name w:val="AttributeTok"/>
    <w:basedOn w:val="728"/>
    <w:pPr>
      <w:pBdr/>
      <w:spacing/>
      <w:ind/>
    </w:pPr>
    <w:rPr>
      <w:color w:val="d73a49"/>
    </w:rPr>
  </w:style>
  <w:style w:type="character" w:styleId="759" w:customStyle="1">
    <w:name w:val="RegionMarkerTok"/>
    <w:basedOn w:val="728"/>
    <w:pPr>
      <w:pBdr/>
      <w:spacing/>
      <w:ind/>
    </w:pPr>
    <w:rPr>
      <w:color w:val="6a737d"/>
    </w:rPr>
  </w:style>
  <w:style w:type="character" w:styleId="760" w:customStyle="1">
    <w:name w:val="InformationTok"/>
    <w:basedOn w:val="728"/>
    <w:pPr>
      <w:pBdr/>
      <w:spacing/>
      <w:ind/>
    </w:pPr>
    <w:rPr>
      <w:color w:val="6a737d"/>
    </w:rPr>
  </w:style>
  <w:style w:type="character" w:styleId="761" w:customStyle="1">
    <w:name w:val="WarningTok"/>
    <w:basedOn w:val="728"/>
    <w:pPr>
      <w:pBdr/>
      <w:spacing/>
      <w:ind/>
    </w:pPr>
    <w:rPr>
      <w:color w:val="ff5555"/>
    </w:rPr>
  </w:style>
  <w:style w:type="character" w:styleId="762" w:customStyle="1">
    <w:name w:val="AlertTok"/>
    <w:basedOn w:val="728"/>
    <w:pPr>
      <w:pBdr/>
      <w:spacing/>
      <w:ind/>
    </w:pPr>
    <w:rPr>
      <w:b/>
      <w:color w:val="ff5555"/>
    </w:rPr>
  </w:style>
  <w:style w:type="character" w:styleId="763" w:customStyle="1">
    <w:name w:val="ErrorTok"/>
    <w:basedOn w:val="728"/>
    <w:pPr>
      <w:pBdr/>
      <w:spacing/>
      <w:ind/>
    </w:pPr>
    <w:rPr>
      <w:color w:val="ff5555"/>
    </w:rPr>
  </w:style>
  <w:style w:type="character" w:styleId="764" w:customStyle="1">
    <w:name w:val="NormalTok"/>
    <w:basedOn w:val="728"/>
    <w:pPr>
      <w:pBdr/>
      <w:spacing/>
      <w:ind/>
    </w:pPr>
    <w:rPr>
      <w:color w:val="24292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bce.fin.ec/index.php/informacion-estadistica-mensual" TargetMode="External"/><Relationship Id="rId10" Type="http://schemas.openxmlformats.org/officeDocument/2006/relationships/hyperlink" Target="https://www.iess.gob.ec/es/estadisticas/-/document_library_display/zIm8/view/8421754/171705?_110_INSTANCE_zIm8_redirect=https%3A%2F%2Fwww.iess.gob.ec%2Fes%2Festadisticas%3Fp_p_id%3D110_INSTANCE_zIm8%26p_p_lifecycle%3D0%26p_p_state%3Dnormal%26p_p_mode%3Dview%26p_p_col_id%3Dcolumn-1%26p_p_col_pos%3D1%26p_p_col_count%3D3" TargetMode="External"/><Relationship Id="rId11" Type="http://schemas.openxmlformats.org/officeDocument/2006/relationships/hyperlink" Target="https://data.worldbank.org/indicator/MS.MIL.XPND.GD.ZS" TargetMode="External"/><Relationship Id="rId12" Type="http://schemas.openxmlformats.org/officeDocument/2006/relationships/hyperlink" Target="https://data.worldbank.org/indicator/SM.POP.NETM" TargetMode="External"/><Relationship Id="rId13" Type="http://schemas.openxmlformats.org/officeDocument/2006/relationships/hyperlink" Target="https://data.worldbank.org/indicator/VC.IHR.PSRC.P5" TargetMode="External"/><Relationship Id="rId14" Type="http://schemas.openxmlformats.org/officeDocument/2006/relationships/hyperlink" Target="https://dataunodc.un.org/" TargetMode="External"/><Relationship Id="rId15" Type="http://schemas.openxmlformats.org/officeDocument/2006/relationships/hyperlink" Target="https://data.worldbank.org/indicator/SL.TLF.TOTL.IN"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doi.org/10.33890/innova.v11.n2.2026.2934" TargetMode="External"/><Relationship Id="rId19" Type="http://schemas.openxmlformats.org/officeDocument/2006/relationships/hyperlink" Target="https://doi.org/10.1596/28241" TargetMode="External"/><Relationship Id="rId20" Type="http://schemas.openxmlformats.org/officeDocument/2006/relationships/hyperlink" Target="https://doi.org/10.1177/1536867x1701700413" TargetMode="External"/><Relationship Id="rId21" Type="http://schemas.openxmlformats.org/officeDocument/2006/relationships/hyperlink" Target="https://doi.org/10.1007/978-1-349-62853-7_2" TargetMode="External"/><Relationship Id="rId22" Type="http://schemas.openxmlformats.org/officeDocument/2006/relationships/hyperlink" Target="https://doi.org/10.1016/j.jeconom.2005.02.004" TargetMode="External"/><Relationship Id="rId23" Type="http://schemas.openxmlformats.org/officeDocument/2006/relationships/hyperlink" Target="https://doi.org/10.4337/9781781002025.00015" TargetMode="External"/><Relationship Id="rId24" Type="http://schemas.openxmlformats.org/officeDocument/2006/relationships/hyperlink" Target="https://doi.org/10.2307/2286348" TargetMode="External"/><Relationship Id="rId25" Type="http://schemas.openxmlformats.org/officeDocument/2006/relationships/hyperlink" Target="https://doi.org/10.4324/9781003069720-9" TargetMode="External"/><Relationship Id="rId26" Type="http://schemas.openxmlformats.org/officeDocument/2006/relationships/hyperlink" Target="https://www.ecuadorencifras.gob.ec/censo-de-poblacion-y-vivienda/" TargetMode="External"/><Relationship Id="rId27" Type="http://schemas.openxmlformats.org/officeDocument/2006/relationships/hyperlink" Target="https://doi.org/10.18637/jss.v079.i03" TargetMode="External"/><Relationship Id="rId28" Type="http://schemas.openxmlformats.org/officeDocument/2006/relationships/hyperlink" Target="https://doi.org/10.1016/j.econmod.2025.107336" TargetMode="External"/><Relationship Id="rId29" Type="http://schemas.openxmlformats.org/officeDocument/2006/relationships/hyperlink" Target="https://doi.org/10.1017/cbo9780511753978.002" TargetMode="External"/><Relationship Id="rId30" Type="http://schemas.openxmlformats.org/officeDocument/2006/relationships/hyperlink" Target="https://doi.org/10.1093/acprof:oso/9780195183528.003.0002" TargetMode="External"/><Relationship Id="rId31" Type="http://schemas.openxmlformats.org/officeDocument/2006/relationships/hyperlink" Target="https://doi.org/10.1016/0304-4076(95)01736-7" TargetMode="External"/><Relationship Id="rId32" Type="http://schemas.openxmlformats.org/officeDocument/2006/relationships/hyperlink" Target="https://doi.org/10.12660/bre.v7n11987.3105" TargetMode="External"/><Relationship Id="rId33" Type="http://schemas.openxmlformats.org/officeDocument/2006/relationships/hyperlink" Target="https://doi.org/10.1093/pan/mpt019" TargetMode="External"/><Relationship Id="rId34" Type="http://schemas.openxmlformats.org/officeDocument/2006/relationships/hyperlink" Target="https://www.iess.gob.ec" TargetMode="External"/><Relationship Id="rId35" Type="http://schemas.openxmlformats.org/officeDocument/2006/relationships/hyperlink" Target="https://doi.org/10.1177/1536867x231212434" TargetMode="External"/><Relationship Id="rId36" Type="http://schemas.openxmlformats.org/officeDocument/2006/relationships/hyperlink" Target="https://doi.org/10.4324/9781003462132-7" TargetMode="External"/><Relationship Id="rId37" Type="http://schemas.openxmlformats.org/officeDocument/2006/relationships/hyperlink" Target="https://doi.org/10.47550/35.1.4" TargetMode="External"/><Relationship Id="rId38" Type="http://schemas.openxmlformats.org/officeDocument/2006/relationships/hyperlink" Target="https://doi.org/10.3390/su17156810" TargetMode="External"/><Relationship Id="rId39" Type="http://schemas.openxmlformats.org/officeDocument/2006/relationships/hyperlink" Target="https://doi.org/10.1002/jae.616" TargetMode="External"/><Relationship Id="rId40" Type="http://schemas.openxmlformats.org/officeDocument/2006/relationships/hyperlink" Target="https://doi.org/10.1093/biomet/75.2.335" TargetMode="External"/><Relationship Id="rId41" Type="http://schemas.openxmlformats.org/officeDocument/2006/relationships/hyperlink" Target="https://www.planificacion.gob.ec/plan-nacional-de-desarrollo-2025-2029/" TargetMode="External"/><Relationship Id="rId42" Type="http://schemas.openxmlformats.org/officeDocument/2006/relationships/hyperlink" Target="https://doi.org/10.3390/su122410276" TargetMode="External"/><Relationship Id="rId43" Type="http://schemas.openxmlformats.org/officeDocument/2006/relationships/hyperlink" Target="https://doi.org/10.3390/econometrics14010007" TargetMode="External"/><Relationship Id="rId44" Type="http://schemas.openxmlformats.org/officeDocument/2006/relationships/hyperlink" Target="https://doi.org/10.1163/2210-7975_hrd-9927-3009" TargetMode="External"/><Relationship Id="rId45" Type="http://schemas.openxmlformats.org/officeDocument/2006/relationships/hyperlink" Target="https://doi.org/10.1163/2210-7975_hrd-9927-3009" TargetMode="External"/><Relationship Id="rId46" Type="http://schemas.openxmlformats.org/officeDocument/2006/relationships/hyperlink" Target="https://dspace.unl.edu.ec/server/api/core/bitstreams/27c0d25f-2670-46fe-87ab-fd8966af45ca/content" TargetMode="External"/><Relationship Id="rId47" Type="http://schemas.openxmlformats.org/officeDocument/2006/relationships/hyperlink" Target="https://doi.org/10.1080/01436597.2022.2153665" TargetMode="External"/><Relationship Id="rId48" Type="http://schemas.openxmlformats.org/officeDocument/2006/relationships/hyperlink" Target="https://doi.org/10.1080/07350015.1992.10509904"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de la sostenibilidad del IESS y el impacto de la inestabilidad social en el Ecuador durante el periodo 1990-2024</dc:title>
  <dc:creator>Erick Fabricio Condoy Seraquive</dc:creator>
  <cp:keywords/>
  <dc:language>es</dc:language>
  <cp:revision>1</cp:revision>
  <dcterms:created xsi:type="dcterms:W3CDTF">2026-07-24T04:55:21Z</dcterms:created>
  <dcterms:modified xsi:type="dcterms:W3CDTF">2026-07-24T04:56:59Z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2026-05-07</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dent">
    <vt:lpwstr>False</vt:lpwstr>
  </property>
  <property fmtid="{D5CDD505-2E9C-101B-9397-08002B2CF9AE}" pid="15" name="labels">
    <vt:lpwstr/>
  </property>
  <property fmtid="{D5CDD505-2E9C-101B-9397-08002B2CF9AE}" pid="16" name="professor">
    <vt:lpwstr>Econ. Jose Rafael Alvarado Lopez</vt:lpwstr>
  </property>
  <property fmtid="{D5CDD505-2E9C-101B-9397-08002B2CF9AE}" pid="17" name="school">
    <vt:lpwstr>CARRERA DE ECONOMÍA</vt:lpwstr>
  </property>
  <property fmtid="{D5CDD505-2E9C-101B-9397-08002B2CF9AE}" pid="18" name="tbl-cap-location">
    <vt:lpwstr>top</vt:lpwstr>
  </property>
  <property fmtid="{D5CDD505-2E9C-101B-9397-08002B2CF9AE}" pid="19" name="title-block-render">
    <vt:lpwstr>False</vt:lpwstr>
  </property>
  <property fmtid="{D5CDD505-2E9C-101B-9397-08002B2CF9AE}" pid="20" name="toc-title">
    <vt:lpwstr>Tabla de contenidos</vt:lpwstr>
  </property>
  <property fmtid="{D5CDD505-2E9C-101B-9397-08002B2CF9AE}" pid="21" name="university">
    <vt:lpwstr>UNIVERSIDAD NACIONAL DE LOJA</vt:lpwstr>
  </property>
  <property fmtid="{D5CDD505-2E9C-101B-9397-08002B2CF9AE}" pid="22" name="year">
    <vt:lpwstr>2026</vt:lpwstr>
  </property>
</Properties>
</file>