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88"/>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ACD1: Modelos de Datos de Panel en América Latina</w:t>
      </w:r>
      <w:r>
        <w:rPr>
          <w:rFonts w:ascii="Times New Roman" w:hAnsi="Times New Roman" w:eastAsia="Times New Roman" w:cs="Times New Roman"/>
          <w:sz w:val="22"/>
          <w:szCs w:val="22"/>
        </w:rPr>
      </w:r>
    </w:p>
    <w:p>
      <w:pPr>
        <w:pStyle w:val="690"/>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Unidad 3 - Econometría Aplicada</w:t>
      </w:r>
      <w:r>
        <w:rPr>
          <w:rFonts w:ascii="Times New Roman" w:hAnsi="Times New Roman" w:eastAsia="Times New Roman" w:cs="Times New Roman"/>
          <w:sz w:val="22"/>
          <w:szCs w:val="22"/>
        </w:rPr>
      </w:r>
    </w:p>
    <w:p>
      <w:pPr>
        <w:pStyle w:val="692"/>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Erick Fabricio Condoy Seraquive</w:t>
      </w:r>
      <w:r>
        <w:rPr>
          <w:rFonts w:ascii="Times New Roman" w:hAnsi="Times New Roman" w:eastAsia="Times New Roman" w:cs="Times New Roman"/>
          <w:sz w:val="22"/>
          <w:szCs w:val="22"/>
        </w:rPr>
      </w:r>
    </w:p>
    <w:p>
      <w:pPr>
        <w:pStyle w:val="693"/>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2026-06-25</w:t>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9" w:name="resumen"/>
      <w:r>
        <w:rPr>
          <w:rFonts w:ascii="Times New Roman" w:hAnsi="Times New Roman" w:eastAsia="Times New Roman" w:cs="Times New Roman"/>
          <w:sz w:val="22"/>
          <w:szCs w:val="22"/>
        </w:rPr>
        <w:t xml:space="preserve">Resumen</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dependencia de rentas extractivas en diez países de América del Sur (2001-2023) responde a factores fiscales y financieros. Un panel balanceado estimado mediante efectos fijos y mínimos cuadrados generalizados factibles (FGLS) evalúa el</w:t>
      </w:r>
      <w:r>
        <w:rPr>
          <w:rFonts w:ascii="Times New Roman" w:hAnsi="Times New Roman" w:eastAsia="Times New Roman" w:cs="Times New Roman"/>
          <w:sz w:val="22"/>
          <w:szCs w:val="22"/>
        </w:rPr>
        <w:t xml:space="preserve"> impacto de los ingresos impositivos, el crédito privado, la inversión extranjera directa y las reservas internacionales. Los ingresos impositivos muestran una elasticidad de transmisión positiva y significativa. Esto evidencia el carácter rentista de las </w:t>
      </w:r>
      <w:r>
        <w:rPr>
          <w:rFonts w:ascii="Times New Roman" w:hAnsi="Times New Roman" w:eastAsia="Times New Roman" w:cs="Times New Roman"/>
          <w:sz w:val="22"/>
          <w:szCs w:val="22"/>
        </w:rPr>
        <w:t xml:space="preserve">finanzas públicas en la región. En contraste, el crédito doméstico privado mitiga la dependencia extractiva. Su efectividad depende del patrón de especialización productiva. El impacto es significativo únicamente en economías exportadoras de hidrocarburos.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Palabras clave: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Dependencia de Rentas Extractivas, Ingresos Impositivos, América del Sur, Datos de Panel, Efectos Fijos, Mínimos Cuadrados Generalizados Factibles.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Clasificación JEL: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C23, H21, Q32, Q38, O54.</w:t>
      </w:r>
      <w:bookmarkEnd w:id="9"/>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0" w:name="introducción"/>
      <w:r>
        <w:rPr>
          <w:rFonts w:ascii="Times New Roman" w:hAnsi="Times New Roman" w:eastAsia="Times New Roman" w:cs="Times New Roman"/>
          <w:sz w:val="22"/>
          <w:szCs w:val="22"/>
        </w:rPr>
        <w:t xml:space="preserve">1. Introducción</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Las economías de América del Sur dependen estructuralmente de la exportación de materias primas. Esta especialización expone las balanzas de pagos y presupue</w:t>
      </w:r>
      <w:r>
        <w:rPr>
          <w:rFonts w:ascii="Times New Roman" w:hAnsi="Times New Roman" w:eastAsia="Times New Roman" w:cs="Times New Roman"/>
          <w:sz w:val="22"/>
          <w:szCs w:val="22"/>
        </w:rPr>
        <w:t xml:space="preserve">stos fiscales a la volatilidad de los mercados globales. La estimación con datos de panel controla la heterogeneidad no observada por país. Así, supera las limitaciones metodológicas de los análisis agregados de sección cruzada o series de tiempo aisladas.</w:t>
      </w:r>
      <w:bookmarkEnd w:id="10"/>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1" w:name="planteamiento-del-problema"/>
      <w:r>
        <w:rPr>
          <w:rFonts w:ascii="Times New Roman" w:hAnsi="Times New Roman" w:eastAsia="Times New Roman" w:cs="Times New Roman"/>
          <w:sz w:val="22"/>
          <w:szCs w:val="22"/>
        </w:rPr>
        <w:t xml:space="preserve">2. Planteamiento del Problema</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depende</w:t>
      </w:r>
      <w:r>
        <w:rPr>
          <w:rFonts w:ascii="Times New Roman" w:hAnsi="Times New Roman" w:eastAsia="Times New Roman" w:cs="Times New Roman"/>
          <w:sz w:val="22"/>
          <w:szCs w:val="22"/>
        </w:rPr>
        <w:t xml:space="preserve">ncia estructural de recursos naturales en América del Sur genera una primarización económica que compromete la estabilidad regional. Los presupuestos fiscales y la liquidez doméstica fluctúan según el ciclo internacional de los commodities. Durante los aug</w:t>
      </w:r>
      <w:r>
        <w:rPr>
          <w:rFonts w:ascii="Times New Roman" w:hAnsi="Times New Roman" w:eastAsia="Times New Roman" w:cs="Times New Roman"/>
          <w:sz w:val="22"/>
          <w:szCs w:val="22"/>
        </w:rPr>
        <w:t xml:space="preserve">es de precios, los ingresos tributarios aumentan de forma acelerada y alientan un gasto público procíclico. En las fases de caída, los presupuestos colapsan. El canal de transmisión fiscal interactúa con sistemas financieros locales poco profundos, incapac</w:t>
      </w:r>
      <w:r>
        <w:rPr>
          <w:rFonts w:ascii="Times New Roman" w:hAnsi="Times New Roman" w:eastAsia="Times New Roman" w:cs="Times New Roman"/>
          <w:sz w:val="22"/>
          <w:szCs w:val="22"/>
        </w:rPr>
        <w:t xml:space="preserve">es de aislar al sector productivo interno mediante el crédito. El problema central consiste en cuantificar en qué medida el canal fiscal y el desarrollo financiero determinan la dependencia de las rentas extractivas bajo distintas estructuras exportadoras.</w:t>
      </w:r>
      <w:bookmarkEnd w:id="11"/>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2" w:name="justificación"/>
      <w:r>
        <w:rPr>
          <w:rFonts w:ascii="Times New Roman" w:hAnsi="Times New Roman" w:eastAsia="Times New Roman" w:cs="Times New Roman"/>
          <w:sz w:val="22"/>
          <w:szCs w:val="22"/>
        </w:rPr>
        <w:t xml:space="preserve">3. Justificación</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América del Sur no es un bloque homogéneo. E</w:t>
      </w:r>
      <w:r>
        <w:rPr>
          <w:rFonts w:ascii="Times New Roman" w:hAnsi="Times New Roman" w:eastAsia="Times New Roman" w:cs="Times New Roman"/>
          <w:sz w:val="22"/>
          <w:szCs w:val="22"/>
        </w:rPr>
        <w:t xml:space="preserve">sta realidad exige evidencia empírica diferenciada. Evaluar el impacto de shocks fiscales y financieros según la especialización del país (distinguiendo entre exportadores de hidrocarburos y economías minero-agropecuarias) es crucial para la política macro</w:t>
      </w:r>
      <w:r>
        <w:rPr>
          <w:rFonts w:ascii="Times New Roman" w:hAnsi="Times New Roman" w:eastAsia="Times New Roman" w:cs="Times New Roman"/>
          <w:sz w:val="22"/>
          <w:szCs w:val="22"/>
        </w:rPr>
        <w:t xml:space="preserve">económica. La estimación de elasticidades de transmisión para diez países (2001-2023) determina si el crédito privado local amortigua la primarización económica o si el ajuste frente a perturbaciones externas recae exclusivamente en el presupuesto estatal.</w:t>
      </w:r>
      <w:bookmarkEnd w:id="12"/>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5" w:name="revisión-de-la-literatura"/>
      <w:r>
        <w:rPr>
          <w:rFonts w:ascii="Times New Roman" w:hAnsi="Times New Roman" w:eastAsia="Times New Roman" w:cs="Times New Roman"/>
          <w:sz w:val="22"/>
          <w:szCs w:val="22"/>
        </w:rPr>
        <w:t xml:space="preserve">4. Revisión de la Literatura</w:t>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3" w:name="marco-teórico"/>
      <w:r>
        <w:rPr>
          <w:rFonts w:ascii="Times New Roman" w:hAnsi="Times New Roman" w:eastAsia="Times New Roman" w:cs="Times New Roman"/>
          <w:sz w:val="22"/>
          <w:szCs w:val="22"/>
        </w:rPr>
        <w:t xml:space="preserve">4.1 Marco Teórico</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El análisis se fundamenta en la teoría del efecto voracidad de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Tornell y Lane (</w:t>
      </w:r>
      <w:hyperlink w:tooltip="#ref-tornell1999voracity" w:anchor="ref-tornell1999voracity" w:history="1">
        <w:r>
          <w:rPr>
            <w:rStyle w:val="731"/>
            <w:rFonts w:ascii="Times New Roman" w:hAnsi="Times New Roman" w:eastAsia="Times New Roman" w:cs="Times New Roman"/>
            <w:sz w:val="22"/>
            <w:szCs w:val="22"/>
          </w:rPr>
          <w:t xml:space="preserve">1999</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En economías con instituciones débiles y grupos de interés fragmentados, un aumento temporal en los precios de exportación genera una expansión más que proporcional del gasto público corri</w:t>
      </w:r>
      <w:r>
        <w:rPr>
          <w:rFonts w:ascii="Times New Roman" w:hAnsi="Times New Roman" w:eastAsia="Times New Roman" w:cs="Times New Roman"/>
          <w:sz w:val="22"/>
          <w:szCs w:val="22"/>
        </w:rPr>
        <w:t xml:space="preserve">ente. Este fenómeno opera mediante un problema de común acceso al fondo fiscal. Cada grupo de interés presiona por transferencias estatales e internaliza solo una fracción del costo marginal de su gasto, beneficiándose de la apropiación total. Este comport</w:t>
      </w:r>
      <w:r>
        <w:rPr>
          <w:rFonts w:ascii="Times New Roman" w:hAnsi="Times New Roman" w:eastAsia="Times New Roman" w:cs="Times New Roman"/>
          <w:sz w:val="22"/>
          <w:szCs w:val="22"/>
        </w:rPr>
        <w:t xml:space="preserve">amiento induce un presupuesto público procíclico. La consecuencia es una mayor dependencia fiscal de las rentas extractivas, lo cual desincentiva la acumulación de capital productivo y eleva la vulnerabilidad macroeconómica ante shocks externos de precios.</w:t>
      </w:r>
      <w:bookmarkEnd w:id="13"/>
      <w:r>
        <w:rPr>
          <w:sz w:val="22"/>
          <w:szCs w:val="22"/>
        </w:rPr>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4" w:name="evidencia-empírica"/>
      <w:r>
        <w:rPr>
          <w:rFonts w:ascii="Times New Roman" w:hAnsi="Times New Roman" w:eastAsia="Times New Roman" w:cs="Times New Roman"/>
          <w:sz w:val="22"/>
          <w:szCs w:val="22"/>
        </w:rPr>
        <w:t xml:space="preserve">4.2 Evidencia Empírica</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evidencia empírica valida el predominio del canal fiscal en países exportadores de recursos naturales. Para América Latina,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Frankel et al. (</w:t>
      </w:r>
      <w:hyperlink w:tooltip="#ref-frankel2013graduation" w:anchor="ref-frankel2013graduation" w:history="1">
        <w:r>
          <w:rPr>
            <w:rStyle w:val="731"/>
            <w:rFonts w:ascii="Times New Roman" w:hAnsi="Times New Roman" w:eastAsia="Times New Roman" w:cs="Times New Roman"/>
            <w:sz w:val="22"/>
            <w:szCs w:val="22"/>
          </w:rPr>
          <w:t xml:space="preserve">2013</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corroboran que las reformas estructurales e institucionales buscan atenuar la prociclicidad del gasto durante los ciclos expansivos. En Ecuador,</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Baculima-Cuesta et al. (</w:t>
      </w:r>
      <w:hyperlink w:tooltip="#ref-baculima2026" w:anchor="ref-baculima2026" w:history="1">
        <w:r>
          <w:rPr>
            <w:rStyle w:val="731"/>
            <w:rFonts w:ascii="Times New Roman" w:hAnsi="Times New Roman" w:eastAsia="Times New Roman" w:cs="Times New Roman"/>
            <w:sz w:val="22"/>
            <w:szCs w:val="22"/>
          </w:rPr>
          <w:t xml:space="preserve">2026</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aplican un modelo de cambio de régimen de Markov para evaluar la sostenibilidad fiscal. Sus resultados confirman la alternancia entre periodos de disciplina fiscal y fases de alta vulnerabilidad en la gestión de las finanzas públicas.</w:t>
      </w:r>
      <w:bookmarkEnd w:id="14"/>
      <w:r>
        <w:rPr>
          <w:sz w:val="22"/>
          <w:szCs w:val="22"/>
        </w:rPr>
      </w:r>
      <w:bookmarkEnd w:id="15"/>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26" w:name="metodología"/>
      <w:r>
        <w:rPr>
          <w:rFonts w:ascii="Times New Roman" w:hAnsi="Times New Roman" w:eastAsia="Times New Roman" w:cs="Times New Roman"/>
          <w:sz w:val="22"/>
          <w:szCs w:val="22"/>
        </w:rPr>
        <w:t xml:space="preserve">5. Metodología</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estimación emplea un modelo macroeconómico de transmisión fiscal y financiera en forma reducida. Esta especificación calcula las elasticidades sin imponer restricciones sobre las funciones de utilidad del sector público.</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El diseño metodológico se basa en la teoría del efecto voracidad de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Tornell y Lane (</w:t>
      </w:r>
      <w:hyperlink w:tooltip="#ref-tornell1999voracity" w:anchor="ref-tornell1999voracity" w:history="1">
        <w:r>
          <w:rPr>
            <w:rStyle w:val="731"/>
            <w:rFonts w:ascii="Times New Roman" w:hAnsi="Times New Roman" w:eastAsia="Times New Roman" w:cs="Times New Roman"/>
            <w:sz w:val="22"/>
            <w:szCs w:val="22"/>
          </w:rPr>
          <w:t xml:space="preserve">1999</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y el problema de común acceso al fondo fiscal. Bajo este marco, el canal impositivo y el desarrollo financiero determinan la dependencia de rentas extractivas mediante tres mecanismos.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Primero, la voracidad fiscal predice que la recaudación originada en recursos naturales incrementa el gasto público corriente y profundiza la dependencia fiscal.</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Segundo, la profundidad del crédito privado local proporciona liquidez a los sectores no extractivos, reduciendo la vulnerabilidad productiva interna.</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Tercero, las reservas internacionales operan como autoseguro macroeconómico frente a perturbaciones de la cuenta externa.</w:t>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7" w:name="especificación-del-modelo"/>
      <w:r>
        <w:rPr>
          <w:rFonts w:ascii="Times New Roman" w:hAnsi="Times New Roman" w:eastAsia="Times New Roman" w:cs="Times New Roman"/>
          <w:sz w:val="22"/>
          <w:szCs w:val="22"/>
        </w:rPr>
        <w:t xml:space="preserve">5.1 Especificación del Modelo</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relación doble logarítmica estima las elasticidades de transmisión:</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16" w:name="eq-modelo"/>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ln</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VE</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β</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β</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rPr>
            <m:rPr>
              <m:sty m:val="p"/>
            </m:rPr>
            <m:t>ln</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PF</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β</m:t>
              </m:r>
            </m:e>
            <m:sub>
              <m:r>
                <w:rPr>
                  <w:rFonts w:hint="default" w:ascii="Cambria Math" w:hAnsi="Cambria Math" w:eastAsia="Cambria Math" w:cs="Cambria Math"/>
                  <w:sz w:val="22"/>
                  <w:szCs w:val="22"/>
                </w:rPr>
                <m:rPr/>
                <m:t>2</m:t>
              </m:r>
            </m:sub>
          </m:sSub>
          <m:r>
            <w:rPr>
              <w:rFonts w:hint="default" w:ascii="Cambria Math" w:hAnsi="Cambria Math" w:eastAsia="Cambria Math" w:cs="Cambria Math"/>
              <w:sz w:val="22"/>
              <w:szCs w:val="22"/>
            </w:rPr>
            <m:rPr>
              <m:sty m:val="p"/>
            </m:rPr>
            <m:t>ln</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IE</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β</m:t>
              </m:r>
            </m:e>
            <m:sub>
              <m:r>
                <w:rPr>
                  <w:rFonts w:hint="default" w:ascii="Cambria Math" w:hAnsi="Cambria Math" w:eastAsia="Cambria Math" w:cs="Cambria Math"/>
                  <w:sz w:val="22"/>
                  <w:szCs w:val="22"/>
                </w:rPr>
                <m:rPr/>
                <m:t>3</m:t>
              </m:r>
            </m:sub>
          </m:sSub>
          <m:r>
            <w:rPr>
              <w:rFonts w:hint="default" w:ascii="Cambria Math" w:hAnsi="Cambria Math" w:eastAsia="Cambria Math" w:cs="Cambria Math"/>
              <w:sz w:val="22"/>
              <w:szCs w:val="22"/>
            </w:rPr>
            <m:rPr>
              <m:sty m:val="p"/>
            </m:rPr>
            <m:t>ln</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AN</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β</m:t>
              </m:r>
            </m:e>
            <m:sub>
              <m:r>
                <w:rPr>
                  <w:rFonts w:hint="default" w:ascii="Cambria Math" w:hAnsi="Cambria Math" w:eastAsia="Cambria Math" w:cs="Cambria Math"/>
                  <w:sz w:val="22"/>
                  <w:szCs w:val="22"/>
                </w:rPr>
                <m:rPr/>
                <m:t>4</m:t>
              </m:r>
            </m:sub>
          </m:sSub>
          <m:r>
            <w:rPr>
              <w:rFonts w:hint="default" w:ascii="Cambria Math" w:hAnsi="Cambria Math" w:eastAsia="Cambria Math" w:cs="Cambria Math"/>
              <w:sz w:val="22"/>
              <w:szCs w:val="22"/>
            </w:rPr>
            <m:rPr>
              <m:sty m:val="p"/>
            </m:rPr>
            <m:t>ln</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RI</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rPr>
            <m:rPr>
              <m:sty m:val="p"/>
            </m:rPr>
            <m:t>+</m:t>
          </m:r>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u</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bookmarkEnd w:id="16"/>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Donde</w:t>
      </w:r>
      <w:r>
        <w:rPr>
          <w:rFonts w:ascii="Times New Roman" w:hAnsi="Times New Roman" w:eastAsia="Times New Roman" w:cs="Times New Roman"/>
          <w:sz w:val="22"/>
          <w:szCs w:val="22"/>
        </w:rPr>
        <w:t xml:space="preserve"> </w:t>
      </w:r>
      <m:oMath>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VE</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representa la Dependencia de Rentas Extractivas medida a través de las rentas totales de recursos naturales (% del PIB);</w:t>
      </w:r>
      <w:r>
        <w:rPr>
          <w:rFonts w:ascii="Times New Roman" w:hAnsi="Times New Roman" w:eastAsia="Times New Roman" w:cs="Times New Roman"/>
          <w:sz w:val="22"/>
          <w:szCs w:val="22"/>
        </w:rPr>
        <w:t xml:space="preserve"> </w:t>
      </w:r>
      <m:oMath>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PF</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son los ingresos impositivos del gobierno central (% del PIB);</w:t>
      </w:r>
      <w:r>
        <w:rPr>
          <w:rFonts w:ascii="Times New Roman" w:hAnsi="Times New Roman" w:eastAsia="Times New Roman" w:cs="Times New Roman"/>
          <w:sz w:val="22"/>
          <w:szCs w:val="22"/>
        </w:rPr>
        <w:t xml:space="preserve"> </w:t>
      </w:r>
      <m:oMath>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IE</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son los flujos netos de inversión extranjera directa (% del PIB);</w:t>
      </w:r>
      <w:r>
        <w:rPr>
          <w:rFonts w:ascii="Times New Roman" w:hAnsi="Times New Roman" w:eastAsia="Times New Roman" w:cs="Times New Roman"/>
          <w:sz w:val="22"/>
          <w:szCs w:val="22"/>
        </w:rPr>
        <w:t xml:space="preserve"> </w:t>
      </w:r>
      <m:oMath>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AN</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es el crédito privado de la banca comercial (% del PIB);</w:t>
      </w:r>
      <w:r>
        <w:rPr>
          <w:rFonts w:ascii="Times New Roman" w:hAnsi="Times New Roman" w:eastAsia="Times New Roman" w:cs="Times New Roman"/>
          <w:sz w:val="22"/>
          <w:szCs w:val="22"/>
        </w:rPr>
        <w:t xml:space="preserve"> </w:t>
      </w:r>
      <m:oMath>
        <m:sSub>
          <m:sSubPr>
            <m:ctrlPr>
              <w:rPr>
                <w:rFonts w:hint="default" w:ascii="Cambria Math" w:hAnsi="Cambria Math" w:eastAsia="Cambria Math" w:cs="Cambria Math"/>
                <w:sz w:val="22"/>
              </w:rPr>
            </m:ctrlPr>
          </m:sSubPr>
          <m:e>
            <m:r>
              <w:rPr>
                <w:rFonts w:ascii="Times New Roman" w:hAnsi="Times New Roman" w:eastAsia="Times New Roman" w:cs="Times New Roman"/>
                <w:sz w:val="22"/>
                <w:szCs w:val="22"/>
              </w:rPr>
              <m:rPr>
                <m:nor m:val="on"/>
                <m:sty m:val="p"/>
              </m:rPr>
              <m:t>RI</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representa las reservas internacionales (% del PIB);</w:t>
      </w:r>
      <w:r>
        <w:rPr>
          <w:rFonts w:ascii="Times New Roman" w:hAnsi="Times New Roman" w:eastAsia="Times New Roman" w:cs="Times New Roman"/>
          <w:sz w:val="22"/>
          <w:szCs w:val="22"/>
        </w:rPr>
        <w:t xml:space="preserve">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i</m:t>
            </m:r>
          </m:sub>
        </m:sSub>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captura la heterogeneidad no observada e invariable por país; y</w:t>
      </w:r>
      <w:r>
        <w:rPr>
          <w:rFonts w:ascii="Times New Roman" w:hAnsi="Times New Roman" w:eastAsia="Times New Roman" w:cs="Times New Roman"/>
          <w:sz w:val="22"/>
          <w:szCs w:val="22"/>
        </w:rPr>
        <w:t xml:space="preserve">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u</m:t>
            </m:r>
          </m:e>
          <m:sub>
            <m:r>
              <w:rPr>
                <w:rFonts w:hint="default" w:ascii="Cambria Math" w:hAnsi="Cambria Math" w:eastAsia="Cambria Math" w:cs="Cambria Math"/>
                <w:sz w:val="22"/>
                <w:szCs w:val="22"/>
              </w:rPr>
              <m:rPr/>
              <m:t>i</m:t>
            </m:r>
            <m:r>
              <w:rPr>
                <w:rFonts w:hint="default" w:ascii="Cambria Math" w:hAnsi="Cambria Math" w:eastAsia="Cambria Math" w:cs="Cambria Math"/>
                <w:sz w:val="22"/>
                <w:szCs w:val="22"/>
              </w:rPr>
              <m:rPr/>
              <m:t>t</m:t>
            </m:r>
          </m:sub>
        </m:sSub>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es el error estocástico idiosincrático.</w:t>
      </w:r>
      <w:bookmarkEnd w:id="17"/>
      <w:r>
        <w:rPr>
          <w:sz w:val="22"/>
          <w:szCs w:val="22"/>
        </w:rPr>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24" w:name="variables"/>
      <w:r>
        <w:rPr>
          <w:rFonts w:ascii="Times New Roman" w:hAnsi="Times New Roman" w:eastAsia="Times New Roman" w:cs="Times New Roman"/>
          <w:sz w:val="22"/>
          <w:szCs w:val="22"/>
        </w:rPr>
        <w:t xml:space="preserve">5.2 Variables</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w:t>
      </w:r>
      <w:r>
        <w:rPr>
          <w:rFonts w:ascii="Times New Roman" w:hAnsi="Times New Roman" w:eastAsia="Times New Roman" w:cs="Times New Roman"/>
          <w:sz w:val="22"/>
          <w:szCs w:val="22"/>
        </w:rPr>
        <w:t xml:space="preserve"> </w:t>
      </w:r>
      <w:hyperlink w:tooltip="#tbl-variables" w:anchor="tbl-variables" w:history="1">
        <w:r>
          <w:rPr>
            <w:rStyle w:val="731"/>
            <w:rFonts w:ascii="Times New Roman" w:hAnsi="Times New Roman" w:eastAsia="Times New Roman" w:cs="Times New Roman"/>
            <w:sz w:val="22"/>
            <w:szCs w:val="22"/>
          </w:rPr>
          <w:t xml:space="preserve">Tabla 1</w:t>
        </w:r>
      </w:hyperlink>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define las variables del modelo y sus fuentes:</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23" w:name="tbl-variables"/>
            <w:r>
              <w:rPr>
                <w:rFonts w:ascii="Times New Roman" w:hAnsi="Times New Roman" w:eastAsia="Times New Roman" w:cs="Times New Roman"/>
                <w:sz w:val="22"/>
                <w:szCs w:val="22"/>
              </w:rPr>
              <w:t xml:space="preserve">Tabla 1: Definición de Variables y Fuentes de Información</w:t>
            </w:r>
            <w:r>
              <w:rPr>
                <w:rFonts w:ascii="Times New Roman" w:hAnsi="Times New Roman" w:eastAsia="Times New Roman" w:cs="Times New Roman"/>
                <w:sz w:val="22"/>
                <w:szCs w:val="22"/>
              </w:rPr>
            </w:r>
          </w:p>
          <w:tbl>
            <w:tblPr>
              <w:tblStyle w:val="719"/>
              <w:tblW w:w="5000" w:type="pct"/>
              <w:tblBorders/>
              <w:tblLayout w:type="fixed"/>
              <w:tblLook w:val="0020" w:firstRow="1" w:lastRow="0" w:firstColumn="0" w:lastColumn="0" w:noHBand="0" w:noVBand="0"/>
            </w:tblPr>
            <w:tblGrid>
              <w:gridCol w:w="792"/>
              <w:gridCol w:w="1584"/>
              <w:gridCol w:w="2772"/>
              <w:gridCol w:w="1188"/>
              <w:gridCol w:w="1584"/>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Código</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Variable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Definición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Unidad</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Fuente y Enlace</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Dependencia de Rentas Extractivas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Total natural resources rents (% of GDP)</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Logaritmo del % del PIB</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hyperlink r:id="rId9" w:tooltip="https://data.worldbank.org/indicator/NY.GDP.TOTL.RT.ZS" w:history="1">
                    <w:r>
                      <w:rPr>
                        <w:rStyle w:val="731"/>
                        <w:rFonts w:ascii="Times New Roman" w:hAnsi="Times New Roman" w:eastAsia="Times New Roman" w:cs="Times New Roman"/>
                        <w:sz w:val="22"/>
                        <w:szCs w:val="22"/>
                      </w:rPr>
                      <w:t xml:space="preserve">Banco Mundial (WDI)</w:t>
                    </w:r>
                  </w:hyperlink>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Ingresos impositivos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Tax revenue (% of GDP)</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Logaritmo del % del PIB</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hyperlink r:id="rId10" w:tooltip="https://data.worldbank.org/indicator/GC.TAX.TOTL.GD.ZS" w:history="1">
                    <w:r>
                      <w:rPr>
                        <w:rStyle w:val="731"/>
                        <w:rFonts w:ascii="Times New Roman" w:hAnsi="Times New Roman" w:eastAsia="Times New Roman" w:cs="Times New Roman"/>
                        <w:sz w:val="22"/>
                        <w:szCs w:val="22"/>
                      </w:rPr>
                      <w:t xml:space="preserve">Banco Mundial (WDI)</w:t>
                    </w:r>
                  </w:hyperlink>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(IMF GFS)</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Inversión extranjera directa</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Foreign direct investment, net inflows (% of GDP)</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Logaritmo del % del PIB</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hyperlink r:id="rId11" w:tooltip="https://data.worldbank.org/indicator/BX.KLT.DINV.WD.GD.ZS" w:history="1">
                    <w:r>
                      <w:rPr>
                        <w:rStyle w:val="731"/>
                        <w:rFonts w:ascii="Times New Roman" w:hAnsi="Times New Roman" w:eastAsia="Times New Roman" w:cs="Times New Roman"/>
                        <w:sz w:val="22"/>
                        <w:szCs w:val="22"/>
                      </w:rPr>
                      <w:t xml:space="preserve">Banco Mundial (WDI)</w:t>
                    </w:r>
                  </w:hyperlink>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Crédito doméstico</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Domestic credit to private sector (% of GDP)</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Logaritmo del % del PIB</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hyperlink r:id="rId12" w:tooltip="https://data.worldbank.org/indicator/FS.AST.PRVT.GD.ZS" w:history="1">
                    <w:r>
                      <w:rPr>
                        <w:rStyle w:val="731"/>
                        <w:rFonts w:ascii="Times New Roman" w:hAnsi="Times New Roman" w:eastAsia="Times New Roman" w:cs="Times New Roman"/>
                        <w:sz w:val="22"/>
                        <w:szCs w:val="22"/>
                      </w:rPr>
                      <w:t xml:space="preserve">Banco Mundial (WDI)</w:t>
                    </w:r>
                  </w:hyperlink>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Reservas internacionales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Total reserves includes gold (% of GDP)</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Logaritmo del % del PIB</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hyperlink r:id="rId13" w:tooltip="https://databank.worldbank.org/metadataglossary/africa-development-indicators/series/FI.RES.TOTL.CD.ZS" w:history="1">
                    <w:r>
                      <w:rPr>
                        <w:rStyle w:val="731"/>
                        <w:rFonts w:ascii="Times New Roman" w:hAnsi="Times New Roman" w:eastAsia="Times New Roman" w:cs="Times New Roman"/>
                        <w:sz w:val="22"/>
                        <w:szCs w:val="22"/>
                      </w:rPr>
                      <w:t xml:space="preserve">Banco Mundial (WDI)</w:t>
                    </w:r>
                  </w:hyperlink>
                  <w:r>
                    <w:rPr>
                      <w:rFonts w:ascii="Times New Roman" w:hAnsi="Times New Roman" w:eastAsia="Times New Roman" w:cs="Times New Roman"/>
                      <w:sz w:val="22"/>
                      <w:szCs w:val="22"/>
                    </w:rPr>
                  </w:r>
                  <w:bookmarkEnd w:id="23"/>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End w:id="24"/>
            <w:r>
              <w:rPr>
                <w:rFonts w:ascii="Times New Roman" w:hAnsi="Times New Roman" w:eastAsia="Times New Roman" w:cs="Times New Roman"/>
                <w:sz w:val="22"/>
                <w:szCs w:val="22"/>
              </w:rPr>
            </w:r>
          </w:p>
        </w:tc>
      </w:tr>
    </w:tbl>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25" w:name="modelos-y-diagnósticos"/>
      <w:r>
        <w:rPr>
          <w:rFonts w:ascii="Times New Roman" w:hAnsi="Times New Roman" w:eastAsia="Times New Roman" w:cs="Times New Roman"/>
          <w:sz w:val="22"/>
          <w:szCs w:val="22"/>
        </w:rPr>
        <w:t xml:space="preserve">5.3 Modelos y Diagnósticos</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comparación de consistencia entre los estimadores de Efectos Fijos (FE) y Efectos Aleatorios (RE) se realiza mediante la prueba de Hausman robusta (</w:t>
      </w:r>
      <w:r>
        <w:rPr>
          <w:rFonts w:ascii="Times New Roman" w:hAnsi="Times New Roman" w:eastAsia="Times New Roman" w:cs="Times New Roman"/>
          <w:sz w:val="22"/>
          <w:szCs w:val="22"/>
        </w:rPr>
        <w:t xml:space="preserve">Hausman (</w:t>
      </w:r>
      <w:hyperlink w:tooltip="#ref-hausman1978specification" w:anchor="ref-hausman1978specification" w:history="1">
        <w:r>
          <w:rPr>
            <w:rStyle w:val="731"/>
            <w:rFonts w:ascii="Times New Roman" w:hAnsi="Times New Roman" w:eastAsia="Times New Roman" w:cs="Times New Roman"/>
            <w:sz w:val="22"/>
            <w:szCs w:val="22"/>
          </w:rPr>
          <w:t xml:space="preserve">1978</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con base teórica en</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Wooldridge (</w:t>
      </w:r>
      <w:hyperlink w:tooltip="#ref-wooldridge2010econometric" w:anchor="ref-wooldridge2010econometric" w:history="1">
        <w:r>
          <w:rPr>
            <w:rStyle w:val="731"/>
            <w:rFonts w:ascii="Times New Roman" w:hAnsi="Times New Roman" w:eastAsia="Times New Roman" w:cs="Times New Roman"/>
            <w:sz w:val="22"/>
            <w:szCs w:val="22"/>
          </w:rPr>
          <w:t xml:space="preserve">2010</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Baltagi (</w:t>
      </w:r>
      <w:hyperlink w:tooltip="#ref-baltagi2021econometric" w:anchor="ref-baltagi2021econometric" w:history="1">
        <w:r>
          <w:rPr>
            <w:rStyle w:val="731"/>
            <w:rFonts w:ascii="Times New Roman" w:hAnsi="Times New Roman" w:eastAsia="Times New Roman" w:cs="Times New Roman"/>
            <w:sz w:val="22"/>
            <w:szCs w:val="22"/>
          </w:rPr>
          <w:t xml:space="preserve">2021</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y</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Hsiao (</w:t>
      </w:r>
      <w:hyperlink w:tooltip="#ref-hsiao2014analysis" w:anchor="ref-hsiao2014analysis" w:history="1">
        <w:r>
          <w:rPr>
            <w:rStyle w:val="731"/>
            <w:rFonts w:ascii="Times New Roman" w:hAnsi="Times New Roman" w:eastAsia="Times New Roman" w:cs="Times New Roman"/>
            <w:sz w:val="22"/>
            <w:szCs w:val="22"/>
          </w:rPr>
          <w:t xml:space="preserve">2014</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El análisis de los residuos comprende tres pruebas de diagnóstico:</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 Multicolinealidad: Factor de Inflación de la Varianza (VIF).</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 Autocorrelación Serial: Test de Wooldridge bajo las directrices de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Arellano y Bond (</w:t>
      </w:r>
      <w:hyperlink w:tooltip="#ref-arellano1991some" w:anchor="ref-arellano1991some" w:history="1">
        <w:r>
          <w:rPr>
            <w:rStyle w:val="731"/>
            <w:rFonts w:ascii="Times New Roman" w:hAnsi="Times New Roman" w:eastAsia="Times New Roman" w:cs="Times New Roman"/>
            <w:sz w:val="22"/>
            <w:szCs w:val="22"/>
          </w:rPr>
          <w:t xml:space="preserve">1991</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3. Heterocedasticidad: Prueba de Wald modificada para efectos fijos.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presencia simultánea de autocorrelación y heterocedasticidad grupal requiere la estimación por Mínimos Cuadrados Generalizados Factibles (FGLS) para corregir las perturbaciones residuales.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prueba de homogeneidad de pendientes evalúa si las elasticidades son consta</w:t>
      </w:r>
      <w:r>
        <w:rPr>
          <w:rFonts w:ascii="Times New Roman" w:hAnsi="Times New Roman" w:eastAsia="Times New Roman" w:cs="Times New Roman"/>
          <w:sz w:val="22"/>
          <w:szCs w:val="22"/>
        </w:rPr>
        <w:t xml:space="preserve">ntes entre secciones transversales. Si se rechaza la homogeneidad, la muestra se divide en subgrupos según el patrón de especialización productiva dominante. La segmentación adapta la clasificación de la Comisión Económica para América Latina y el Caribe (</w:t>
      </w:r>
      <w:r>
        <w:rPr>
          <w:rFonts w:ascii="Times New Roman" w:hAnsi="Times New Roman" w:eastAsia="Times New Roman" w:cs="Times New Roman"/>
          <w:sz w:val="22"/>
          <w:szCs w:val="22"/>
        </w:rPr>
        <w:t xml:space="preserve">Paiva y Bacha (</w:t>
      </w:r>
      <w:hyperlink w:tooltip="#ref-paiva2019participacion" w:anchor="ref-paiva2019participacion" w:history="1">
        <w:r>
          <w:rPr>
            <w:rStyle w:val="731"/>
            <w:rFonts w:ascii="Times New Roman" w:hAnsi="Times New Roman" w:eastAsia="Times New Roman" w:cs="Times New Roman"/>
            <w:sz w:val="22"/>
            <w:szCs w:val="22"/>
          </w:rPr>
          <w:t xml:space="preserve">2019</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El primer subgrupo asocia a los países con orienta</w:t>
      </w:r>
      <w:r>
        <w:rPr>
          <w:rFonts w:ascii="Times New Roman" w:hAnsi="Times New Roman" w:eastAsia="Times New Roman" w:cs="Times New Roman"/>
          <w:sz w:val="22"/>
          <w:szCs w:val="22"/>
        </w:rPr>
        <w:t xml:space="preserve">ción minera e hidrocarburífera: Bolivia, Colombia, Ecuador y Venezuela. El segundo subgrupo reúne a las economías con perfil agropecuario y agroindustrial: Argentina, Brasil, Chile, Paraguay, Perú y Uruguay. Esta partición previene el sesgo por agregación.</w:t>
      </w:r>
      <w:bookmarkEnd w:id="25"/>
      <w:r>
        <w:rPr>
          <w:sz w:val="22"/>
          <w:szCs w:val="22"/>
        </w:rPr>
      </w:r>
      <w:bookmarkEnd w:id="26"/>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42" w:name="resultados-y-discusión"/>
      <w:r>
        <w:rPr>
          <w:rFonts w:ascii="Times New Roman" w:hAnsi="Times New Roman" w:eastAsia="Times New Roman" w:cs="Times New Roman"/>
          <w:sz w:val="22"/>
          <w:szCs w:val="22"/>
        </w:rPr>
        <w:t xml:space="preserve">6. Resultados y Discusión</w:t>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4" w:name="resultados-preliminares"/>
      <w:r>
        <w:rPr>
          <w:rFonts w:ascii="Times New Roman" w:hAnsi="Times New Roman" w:eastAsia="Times New Roman" w:cs="Times New Roman"/>
          <w:sz w:val="22"/>
          <w:szCs w:val="22"/>
        </w:rPr>
        <w:t xml:space="preserve">6.1 Resultados Preliminares</w:t>
      </w:r>
      <w:r>
        <w:rPr>
          <w:rFonts w:ascii="Times New Roman" w:hAnsi="Times New Roman" w:eastAsia="Times New Roman" w:cs="Times New Roman"/>
          <w:sz w:val="22"/>
          <w:szCs w:val="22"/>
        </w:rPr>
      </w:r>
    </w:p>
    <w:p>
      <w:pPr>
        <w:pStyle w:val="699"/>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29" w:name="estadísticos-descriptivos"/>
      <w:r>
        <w:rPr>
          <w:rFonts w:ascii="Times New Roman" w:hAnsi="Times New Roman" w:eastAsia="Times New Roman" w:cs="Times New Roman"/>
          <w:sz w:val="22"/>
          <w:szCs w:val="22"/>
        </w:rPr>
        <w:t xml:space="preserve">6.1.1 Estadísticos Descriptivos</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Los estadísticos descriptivos del panel balanceado (2001-2023) constan en la</w:t>
      </w:r>
      <w:r>
        <w:rPr>
          <w:rFonts w:ascii="Times New Roman" w:hAnsi="Times New Roman" w:eastAsia="Times New Roman" w:cs="Times New Roman"/>
          <w:sz w:val="22"/>
          <w:szCs w:val="22"/>
        </w:rPr>
        <w:t xml:space="preserve"> </w:t>
      </w:r>
      <w:hyperlink w:tooltip="#tbl-descriptives" w:anchor="tbl-descriptives" w:history="1">
        <w:r>
          <w:rPr>
            <w:rStyle w:val="731"/>
            <w:rFonts w:ascii="Times New Roman" w:hAnsi="Times New Roman" w:eastAsia="Times New Roman" w:cs="Times New Roman"/>
            <w:sz w:val="22"/>
            <w:szCs w:val="22"/>
          </w:rPr>
          <w:t xml:space="preserve">Tabla 2</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27" w:name="tbl-descriptives"/>
            <w:r>
              <w:rPr>
                <w:rFonts w:ascii="Times New Roman" w:hAnsi="Times New Roman" w:eastAsia="Times New Roman" w:cs="Times New Roman"/>
                <w:sz w:val="22"/>
                <w:szCs w:val="22"/>
              </w:rPr>
              <w:t xml:space="preserve">Tabla 2: Estadísticos Descriptivos del Panel de América del Sur (2001-2023)</w:t>
            </w:r>
            <w:r>
              <w:rPr>
                <w:rFonts w:ascii="Times New Roman" w:hAnsi="Times New Roman" w:eastAsia="Times New Roman" w:cs="Times New Roman"/>
                <w:sz w:val="22"/>
                <w:szCs w:val="22"/>
              </w:rPr>
            </w:r>
          </w:p>
          <w:tbl>
            <w:tblPr>
              <w:tblStyle w:val="719"/>
              <w:tblW w:w="5000" w:type="pct"/>
              <w:tblBorders/>
              <w:tblLayout w:type="fixed"/>
              <w:tblLook w:val="0020" w:firstRow="1" w:lastRow="0" w:firstColumn="0" w:lastColumn="0" w:noHBand="0" w:noVBand="0"/>
            </w:tblPr>
            <w:tblGrid>
              <w:gridCol w:w="4350"/>
              <w:gridCol w:w="669"/>
              <w:gridCol w:w="780"/>
              <w:gridCol w:w="892"/>
              <w:gridCol w:w="1227"/>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Variable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Min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Media</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Max</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Desv. Est.</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VE (Dependencia de Rentas Extractivas)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0.217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6.852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29.223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5.706</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PF (Ingresos Impositivos)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7.838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14.386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21.732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2.789</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IE (Inversión Extranjera Directa)</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7.700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31.343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69.800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17.055</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AN (Crédito Privado)</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8.906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39.744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123.562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25.286</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RI (Reservas Internacionales)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2.008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16.130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51.411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9.664</w:t>
                  </w:r>
                  <w:bookmarkEnd w:id="27"/>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bl>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varianza temporal e interindividual del panel consta en la</w:t>
      </w:r>
      <w:r>
        <w:rPr>
          <w:rFonts w:ascii="Times New Roman" w:hAnsi="Times New Roman" w:eastAsia="Times New Roman" w:cs="Times New Roman"/>
          <w:sz w:val="22"/>
          <w:szCs w:val="22"/>
        </w:rPr>
        <w:t xml:space="preserve"> </w:t>
      </w:r>
      <w:hyperlink w:tooltip="#tbl-xtsum" w:anchor="tbl-xtsum" w:history="1">
        <w:r>
          <w:rPr>
            <w:rStyle w:val="731"/>
            <w:rFonts w:ascii="Times New Roman" w:hAnsi="Times New Roman" w:eastAsia="Times New Roman" w:cs="Times New Roman"/>
            <w:sz w:val="22"/>
            <w:szCs w:val="22"/>
          </w:rPr>
          <w:t xml:space="preserve">Tabla 3</w:t>
        </w:r>
      </w:hyperlink>
      <w:r>
        <w:rPr>
          <w:rFonts w:ascii="Times New Roman" w:hAnsi="Times New Roman" w:eastAsia="Times New Roman" w:cs="Times New Roman"/>
          <w:sz w:val="22"/>
          <w:szCs w:val="22"/>
        </w:rPr>
        <w:t xml:space="preserve">. La dependencia de rentas extractivas (</w:t>
      </w:r>
      <w:r>
        <w:rPr>
          <w:rStyle w:val="728"/>
          <w:rFonts w:ascii="Times New Roman" w:hAnsi="Times New Roman" w:eastAsia="Times New Roman" w:cs="Times New Roman"/>
          <w:sz w:val="22"/>
          <w:szCs w:val="22"/>
        </w:rPr>
        <w:t xml:space="preserve">log_VE</w:t>
      </w:r>
      <w:r>
        <w:rPr>
          <w:rFonts w:ascii="Times New Roman" w:hAnsi="Times New Roman" w:eastAsia="Times New Roman" w:cs="Times New Roman"/>
          <w:sz w:val="22"/>
          <w:szCs w:val="22"/>
        </w:rPr>
        <w:t xml:space="preserve">) y los ingresos impositivos (</w:t>
      </w:r>
      <w:r>
        <w:rPr>
          <w:rStyle w:val="728"/>
          <w:rFonts w:ascii="Times New Roman" w:hAnsi="Times New Roman" w:eastAsia="Times New Roman" w:cs="Times New Roman"/>
          <w:sz w:val="22"/>
          <w:szCs w:val="22"/>
        </w:rPr>
        <w:t xml:space="preserve">log_PF</w:t>
      </w:r>
      <w:r>
        <w:rPr>
          <w:rFonts w:ascii="Times New Roman" w:hAnsi="Times New Roman" w:eastAsia="Times New Roman" w:cs="Times New Roman"/>
          <w:sz w:val="22"/>
          <w:szCs w:val="22"/>
        </w:rPr>
        <w:t xml:space="preserve">) varían sobre todo entre países. La variación longitudinal es menor. Esta estructura espacial justifica el uso de efectos individuales.</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28" w:name="tbl-xtsum"/>
            <w:r>
              <w:rPr>
                <w:rFonts w:ascii="Times New Roman" w:hAnsi="Times New Roman" w:eastAsia="Times New Roman" w:cs="Times New Roman"/>
                <w:sz w:val="22"/>
                <w:szCs w:val="22"/>
              </w:rPr>
              <w:t xml:space="preserve">Tabla 3: Descomposición de Varianza de las Variables</w:t>
            </w:r>
            <w:r>
              <w:rPr>
                <w:rFonts w:ascii="Times New Roman" w:hAnsi="Times New Roman" w:eastAsia="Times New Roman" w:cs="Times New Roman"/>
                <w:sz w:val="22"/>
                <w:szCs w:val="22"/>
              </w:rPr>
            </w:r>
          </w:p>
          <w:tbl>
            <w:tblPr>
              <w:tblStyle w:val="719"/>
              <w:tblW w:w="5000" w:type="pct"/>
              <w:tblBorders/>
              <w:tblLayout w:type="fixed"/>
              <w:tblLook w:val="0020" w:firstRow="1" w:lastRow="0" w:firstColumn="0" w:lastColumn="0" w:noHBand="0" w:noVBand="0"/>
            </w:tblPr>
            <w:tblGrid>
              <w:gridCol w:w="960"/>
              <w:gridCol w:w="960"/>
              <w:gridCol w:w="1200"/>
              <w:gridCol w:w="1200"/>
              <w:gridCol w:w="1200"/>
              <w:gridCol w:w="1200"/>
              <w:gridCol w:w="1200"/>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Variable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Variación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Media</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Desv. Est.</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Mínimo</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Máximo</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Observaciones</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General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1.569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0.889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-1.528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3.375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Entre 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0.791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0.242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2.764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Temporal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0.473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-0.201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2.360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General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2.646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0.209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2.059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3.079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Entre 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0.201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2.204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2.886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Temporal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0.084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2.327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2.906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General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3.282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0.594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2.041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4.246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Entre 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0.599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2.247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4.150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Temporal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0.167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2.933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3.977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General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3.504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0.597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2.187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4.817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Entre 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2.618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4.585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Temporal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0.319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2.627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4.455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General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2.601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0.629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0.697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3.940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Entre 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0.523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1.444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3.277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Temporal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0.385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0.742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3.446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m:t>
                      </m:r>
                    </m:oMath>
                  </m:oMathPara>
                  <w:r>
                    <w:rPr>
                      <w:rFonts w:ascii="Times New Roman" w:hAnsi="Times New Roman" w:eastAsia="Times New Roman" w:cs="Times New Roman"/>
                      <w:sz w:val="22"/>
                      <w:szCs w:val="22"/>
                    </w:rPr>
                  </w:r>
                  <w:bookmarkEnd w:id="28"/>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End w:id="29"/>
            <w:r>
              <w:rPr>
                <w:rFonts w:ascii="Times New Roman" w:hAnsi="Times New Roman" w:eastAsia="Times New Roman" w:cs="Times New Roman"/>
                <w:sz w:val="22"/>
                <w:szCs w:val="22"/>
              </w:rPr>
            </w:r>
          </w:p>
        </w:tc>
      </w:tr>
    </w:tbl>
    <w:p>
      <w:pPr>
        <w:pStyle w:val="699"/>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3" w:name="pruebas-de-diagnóstico"/>
      <w:r>
        <w:rPr>
          <w:rFonts w:ascii="Times New Roman" w:hAnsi="Times New Roman" w:eastAsia="Times New Roman" w:cs="Times New Roman"/>
          <w:sz w:val="22"/>
          <w:szCs w:val="22"/>
        </w:rPr>
        <w:t xml:space="preserve">6.1.2 Pruebas de Diagnóstico</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Las matrices de correlación de Pearson para la muestra global y los subgrupos constan en la</w:t>
      </w:r>
      <w:r>
        <w:rPr>
          <w:rFonts w:ascii="Times New Roman" w:hAnsi="Times New Roman" w:eastAsia="Times New Roman" w:cs="Times New Roman"/>
          <w:sz w:val="22"/>
          <w:szCs w:val="22"/>
        </w:rPr>
        <w:t xml:space="preserve"> </w:t>
      </w:r>
      <w:hyperlink w:tooltip="#tbl-correlation" w:anchor="tbl-correlation" w:history="1">
        <w:r>
          <w:rPr>
            <w:rStyle w:val="731"/>
            <w:rFonts w:ascii="Times New Roman" w:hAnsi="Times New Roman" w:eastAsia="Times New Roman" w:cs="Times New Roman"/>
            <w:sz w:val="22"/>
            <w:szCs w:val="22"/>
          </w:rPr>
          <w:t xml:space="preserve">Tabla 4</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0" w:name="tbl-correlation"/>
            <w:r>
              <w:rPr>
                <w:rFonts w:ascii="Times New Roman" w:hAnsi="Times New Roman" w:eastAsia="Times New Roman" w:cs="Times New Roman"/>
                <w:sz w:val="22"/>
                <w:szCs w:val="22"/>
              </w:rPr>
              <w:t xml:space="preserve">Tabla 4: Matrices de Correlación de Pearson con Niveles de Significancia (2001-2023)</w:t>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Global</w:t>
            </w:r>
            <w:r>
              <w:rPr>
                <w:rFonts w:ascii="Times New Roman" w:hAnsi="Times New Roman" w:eastAsia="Times New Roman" w:cs="Times New Roman"/>
                <w:sz w:val="22"/>
                <w:szCs w:val="22"/>
              </w:rPr>
            </w:r>
          </w:p>
          <w:tbl>
            <w:tblPr>
              <w:tblStyle w:val="719"/>
              <w:tblW w:w="0" w:type="auto"/>
              <w:tblBorders/>
              <w:tblLook w:val="0020" w:firstRow="1" w:lastRow="0" w:firstColumn="0" w:lastColumn="0" w:noHBand="0" w:noVBand="0"/>
            </w:tblPr>
            <w:tblGrid>
              <w:gridCol w:w="1320"/>
              <w:gridCol w:w="1320"/>
              <w:gridCol w:w="1320"/>
              <w:gridCol w:w="1320"/>
              <w:gridCol w:w="1320"/>
              <w:gridCol w:w="1320"/>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RI</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0.267***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-0.479***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0.011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-0.003</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0.267***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-0.174***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0.311***</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-0.479***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-0.174***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0.057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0.202***</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0.011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0.057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0.099</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-0.003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0.311***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0.202***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0.099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r>
          </w:tbl>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Hidrocarburos</w:t>
            </w:r>
            <w:r>
              <w:rPr>
                <w:rFonts w:ascii="Times New Roman" w:hAnsi="Times New Roman" w:eastAsia="Times New Roman" w:cs="Times New Roman"/>
                <w:sz w:val="22"/>
                <w:szCs w:val="22"/>
              </w:rPr>
            </w:r>
          </w:p>
          <w:tbl>
            <w:tblPr>
              <w:tblStyle w:val="719"/>
              <w:tblW w:w="0" w:type="auto"/>
              <w:tblBorders/>
              <w:tblLook w:val="0020" w:firstRow="1" w:lastRow="0" w:firstColumn="0" w:lastColumn="0" w:noHBand="0" w:noVBand="0"/>
            </w:tblPr>
            <w:tblGrid>
              <w:gridCol w:w="1320"/>
              <w:gridCol w:w="1320"/>
              <w:gridCol w:w="1320"/>
              <w:gridCol w:w="1320"/>
              <w:gridCol w:w="1320"/>
              <w:gridCol w:w="1320"/>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RI</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0.045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-0.448***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-0.630***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0.046</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0.045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-0.292***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0.416***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0.538***</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-0.448***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-0.292***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0.166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0.019</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-0.630***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0.416***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0.166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0.167</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0.046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0.538***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0.019</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0.167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r>
          </w:tbl>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Minero-Agropecuario</w:t>
            </w:r>
            <w:r>
              <w:rPr>
                <w:rFonts w:ascii="Times New Roman" w:hAnsi="Times New Roman" w:eastAsia="Times New Roman" w:cs="Times New Roman"/>
                <w:sz w:val="22"/>
                <w:szCs w:val="22"/>
              </w:rPr>
            </w:r>
          </w:p>
          <w:tbl>
            <w:tblPr>
              <w:tblStyle w:val="719"/>
              <w:tblW w:w="0" w:type="auto"/>
              <w:tblBorders/>
              <w:tblLook w:val="0020" w:firstRow="1" w:lastRow="0" w:firstColumn="0" w:lastColumn="0" w:noHBand="0" w:noVBand="0"/>
            </w:tblPr>
            <w:tblGrid>
              <w:gridCol w:w="1320"/>
              <w:gridCol w:w="1320"/>
              <w:gridCol w:w="1320"/>
              <w:gridCol w:w="1320"/>
              <w:gridCol w:w="1320"/>
              <w:gridCol w:w="1320"/>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RI</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0.441***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-0.320***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0.464***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0.156*</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0.441***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-0.155*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0.453***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0.303***</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-0.320***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-0.155*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-0.067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0.244***</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0.464***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0.453***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-0.067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0.048</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0.156*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0.303***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0.244***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0.048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1.000</w:t>
                  </w:r>
                  <w:bookmarkEnd w:id="30"/>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bl>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El factor de inflación de la varianza (</w:t>
      </w:r>
      <w:hyperlink w:tooltip="#tbl-vif" w:anchor="tbl-vif" w:history="1">
        <w:r>
          <w:rPr>
            <w:rStyle w:val="731"/>
            <w:rFonts w:ascii="Times New Roman" w:hAnsi="Times New Roman" w:eastAsia="Times New Roman" w:cs="Times New Roman"/>
            <w:sz w:val="22"/>
            <w:szCs w:val="22"/>
          </w:rPr>
          <w:t xml:space="preserve">Tabla 5</w:t>
        </w:r>
      </w:hyperlink>
      <w:r>
        <w:rPr>
          <w:rFonts w:ascii="Times New Roman" w:hAnsi="Times New Roman" w:eastAsia="Times New Roman" w:cs="Times New Roman"/>
          <w:sz w:val="22"/>
          <w:szCs w:val="22"/>
        </w:rPr>
        <w:t xml:space="preserve">) descarta problemas de multicolinealidad severa en el modelo global:</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1" w:name="tbl-vif"/>
            <w:r>
              <w:rPr>
                <w:rFonts w:ascii="Times New Roman" w:hAnsi="Times New Roman" w:eastAsia="Times New Roman" w:cs="Times New Roman"/>
                <w:sz w:val="22"/>
                <w:szCs w:val="22"/>
              </w:rPr>
              <w:t xml:space="preserve">Tabla 5: Diagnóstico de Multicolinealidad (VIF)</w:t>
            </w:r>
            <w:r>
              <w:rPr>
                <w:rFonts w:ascii="Times New Roman" w:hAnsi="Times New Roman" w:eastAsia="Times New Roman" w:cs="Times New Roman"/>
                <w:sz w:val="22"/>
                <w:szCs w:val="22"/>
              </w:rPr>
            </w:r>
          </w:p>
          <w:tbl>
            <w:tblPr>
              <w:tblStyle w:val="719"/>
              <w:tblW w:w="0" w:type="auto"/>
              <w:tblBorders/>
              <w:tblLook w:val="0020" w:firstRow="1" w:lastRow="0" w:firstColumn="0" w:lastColumn="0" w:noHBand="0" w:noVBand="0"/>
            </w:tblPr>
            <w:tblGrid>
              <w:gridCol w:w="2640"/>
              <w:gridCol w:w="2640"/>
              <w:gridCol w:w="2640"/>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Variable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VIF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Tolerancia</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1.43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0.701</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1.42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0.703</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1.42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0.702</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1.31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0.764</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Media VIF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1.40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End w:id="31"/>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bl>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prueba CD de Pesaran (</w:t>
      </w:r>
      <w:hyperlink w:tooltip="#tbl-cd-pesaran" w:anchor="tbl-cd-pesaran" w:history="1">
        <w:r>
          <w:rPr>
            <w:rStyle w:val="731"/>
            <w:rFonts w:ascii="Times New Roman" w:hAnsi="Times New Roman" w:eastAsia="Times New Roman" w:cs="Times New Roman"/>
            <w:sz w:val="22"/>
            <w:szCs w:val="22"/>
          </w:rPr>
          <w:t xml:space="preserve">Tabla 6</w:t>
        </w:r>
      </w:hyperlink>
      <w:r>
        <w:rPr>
          <w:rFonts w:ascii="Times New Roman" w:hAnsi="Times New Roman" w:eastAsia="Times New Roman" w:cs="Times New Roman"/>
          <w:sz w:val="22"/>
          <w:szCs w:val="22"/>
        </w:rPr>
        <w:t xml:space="preserve">) evalúa la dependencia transversal. La dependencia de rentas extractivas (</w:t>
      </w:r>
      <w:r>
        <w:rPr>
          <w:rStyle w:val="728"/>
          <w:rFonts w:ascii="Times New Roman" w:hAnsi="Times New Roman" w:eastAsia="Times New Roman" w:cs="Times New Roman"/>
          <w:sz w:val="22"/>
          <w:szCs w:val="22"/>
        </w:rPr>
        <w:t xml:space="preserve">log_VE</w:t>
      </w:r>
      <w:r>
        <w:rPr>
          <w:rFonts w:ascii="Times New Roman" w:hAnsi="Times New Roman" w:eastAsia="Times New Roman" w:cs="Times New Roman"/>
          <w:sz w:val="22"/>
          <w:szCs w:val="22"/>
        </w:rPr>
        <w:t xml:space="preserve">), los ingresos impositivos (</w:t>
      </w:r>
      <w:r>
        <w:rPr>
          <w:rStyle w:val="728"/>
          <w:rFonts w:ascii="Times New Roman" w:hAnsi="Times New Roman" w:eastAsia="Times New Roman" w:cs="Times New Roman"/>
          <w:sz w:val="22"/>
          <w:szCs w:val="22"/>
        </w:rPr>
        <w:t xml:space="preserve">log_PF</w:t>
      </w:r>
      <w:r>
        <w:rPr>
          <w:rFonts w:ascii="Times New Roman" w:hAnsi="Times New Roman" w:eastAsia="Times New Roman" w:cs="Times New Roman"/>
          <w:sz w:val="22"/>
          <w:szCs w:val="22"/>
        </w:rPr>
        <w:t xml:space="preserve">) y el crédito privado (</w:t>
      </w:r>
      <w:r>
        <w:rPr>
          <w:rStyle w:val="728"/>
          <w:rFonts w:ascii="Times New Roman" w:hAnsi="Times New Roman" w:eastAsia="Times New Roman" w:cs="Times New Roman"/>
          <w:sz w:val="22"/>
          <w:szCs w:val="22"/>
        </w:rPr>
        <w:t xml:space="preserve">log_AN</w:t>
      </w:r>
      <w:r>
        <w:rPr>
          <w:rFonts w:ascii="Times New Roman" w:hAnsi="Times New Roman" w:eastAsia="Times New Roman" w:cs="Times New Roman"/>
          <w:sz w:val="22"/>
          <w:szCs w:val="22"/>
        </w:rPr>
        <w:t xml:space="preserve">) rechazan la hipótesis nula de independencia de sección cruzada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&lt;</m:t>
        </m:r>
        <m:r>
          <w:rPr>
            <w:rFonts w:hint="default" w:ascii="Cambria Math" w:hAnsi="Cambria Math" w:eastAsia="Cambria Math" w:cs="Cambria Math"/>
            <w:sz w:val="22"/>
            <w:szCs w:val="22"/>
          </w:rPr>
          <m:rPr/>
          <m:t>0.01</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2" w:name="tbl-cd-pesaran"/>
            <w:r>
              <w:rPr>
                <w:rFonts w:ascii="Times New Roman" w:hAnsi="Times New Roman" w:eastAsia="Times New Roman" w:cs="Times New Roman"/>
                <w:sz w:val="22"/>
                <w:szCs w:val="22"/>
              </w:rPr>
              <w:t xml:space="preserve">Tabla 6: Resultados del Test de Dependencia Transversal (CD de Pesaran)</w:t>
            </w:r>
            <w:r>
              <w:rPr>
                <w:rFonts w:ascii="Times New Roman" w:hAnsi="Times New Roman" w:eastAsia="Times New Roman" w:cs="Times New Roman"/>
                <w:sz w:val="22"/>
                <w:szCs w:val="22"/>
              </w:rPr>
            </w:r>
          </w:p>
          <w:tbl>
            <w:tblPr>
              <w:tblStyle w:val="719"/>
              <w:tblW w:w="0" w:type="auto"/>
              <w:tblBorders/>
              <w:tblLook w:val="0020" w:firstRow="1" w:lastRow="0" w:firstColumn="0" w:lastColumn="0" w:noHBand="0" w:noVBand="0"/>
            </w:tblPr>
            <w:tblGrid>
              <w:gridCol w:w="1980"/>
              <w:gridCol w:w="1980"/>
              <w:gridCol w:w="1980"/>
              <w:gridCol w:w="1980"/>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Variable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CD-test</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p-valor</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promedio</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ρ</m:t>
                    </m:r>
                  </m:oMath>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log_VE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11.361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0.35</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8.446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0.26</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-0.168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0.867</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-0.01</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16.581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0.000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0.52</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1.098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0.272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0.03</w:t>
                  </w:r>
                  <w:bookmarkEnd w:id="32"/>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bl>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prueba de Pesaran y Yamagata descarta coeficientes homogéneos. El estadístico Delta (</w:t>
      </w:r>
      <m:oMath>
        <m:r>
          <w:rPr>
            <w:rFonts w:hint="default" w:ascii="Cambria Math" w:hAnsi="Cambria Math" w:eastAsia="Cambria Math" w:cs="Cambria Math"/>
            <w:sz w:val="22"/>
            <w:szCs w:val="22"/>
          </w:rPr>
          <m:rPr>
            <m:sty m:val="p"/>
          </m:rPr>
          <m:t>Δ</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7.088</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&lt;</m:t>
        </m:r>
        <m:r>
          <w:rPr>
            <w:rFonts w:hint="default" w:ascii="Cambria Math" w:hAnsi="Cambria Math" w:eastAsia="Cambria Math" w:cs="Cambria Math"/>
            <w:sz w:val="22"/>
            <w:szCs w:val="22"/>
          </w:rPr>
          <m:rPr/>
          <m:t>0.001</m:t>
        </m:r>
      </m:oMath>
      <w:r>
        <w:rPr>
          <w:rFonts w:ascii="Times New Roman" w:hAnsi="Times New Roman" w:eastAsia="Times New Roman" w:cs="Times New Roman"/>
          <w:sz w:val="22"/>
          <w:szCs w:val="22"/>
        </w:rPr>
        <w:t xml:space="preserve">) y el Delta ajustado (</w:t>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sty m:val="p"/>
              </m:rPr>
              <m:t>Δ</m:t>
            </m:r>
          </m:e>
          <m:sub>
            <m:r>
              <w:rPr>
                <w:rFonts w:hint="default" w:ascii="Cambria Math" w:hAnsi="Cambria Math" w:eastAsia="Cambria Math" w:cs="Cambria Math"/>
                <w:sz w:val="22"/>
                <w:szCs w:val="22"/>
              </w:rPr>
              <m:rPr/>
              <m:t>a</m:t>
            </m:r>
            <m:r>
              <w:rPr>
                <w:rFonts w:hint="default" w:ascii="Cambria Math" w:hAnsi="Cambria Math" w:eastAsia="Cambria Math" w:cs="Cambria Math"/>
                <w:sz w:val="22"/>
                <w:szCs w:val="22"/>
              </w:rPr>
              <m:rPr/>
              <m:t>d</m:t>
            </m:r>
            <m:r>
              <w:rPr>
                <w:rFonts w:hint="default" w:ascii="Cambria Math" w:hAnsi="Cambria Math" w:eastAsia="Cambria Math" w:cs="Cambria Math"/>
                <w:sz w:val="22"/>
                <w:szCs w:val="22"/>
              </w:rPr>
              <m:rPr/>
              <m:t>j</m:t>
            </m:r>
          </m:sub>
        </m:sSub>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8.245</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&lt;</m:t>
        </m:r>
        <m:r>
          <w:rPr>
            <w:rFonts w:hint="default" w:ascii="Cambria Math" w:hAnsi="Cambria Math" w:eastAsia="Cambria Math" w:cs="Cambria Math"/>
            <w:sz w:val="22"/>
            <w:szCs w:val="22"/>
          </w:rPr>
          <m:rPr/>
          <m:t>0.001</m:t>
        </m:r>
      </m:oMath>
      <w:r>
        <w:rPr>
          <w:rFonts w:ascii="Times New Roman" w:hAnsi="Times New Roman" w:eastAsia="Times New Roman" w:cs="Times New Roman"/>
          <w:sz w:val="22"/>
          <w:szCs w:val="22"/>
        </w:rPr>
        <w:t xml:space="preserve">) confirman la heterogeneidad de pendientes. Este resultado fundamenta la partición de la muestra por especialización productiva.</w:t>
      </w:r>
      <w:bookmarkEnd w:id="33"/>
      <w:r>
        <w:rPr>
          <w:sz w:val="22"/>
          <w:szCs w:val="22"/>
        </w:rPr>
      </w:r>
      <w:bookmarkEnd w:id="34"/>
      <w:r>
        <w:rPr>
          <w:sz w:val="22"/>
          <w:szCs w:val="22"/>
        </w:rPr>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41" w:name="estimaciones-y-discusión"/>
      <w:r>
        <w:rPr>
          <w:rFonts w:ascii="Times New Roman" w:hAnsi="Times New Roman" w:eastAsia="Times New Roman" w:cs="Times New Roman"/>
          <w:sz w:val="22"/>
          <w:szCs w:val="22"/>
        </w:rPr>
        <w:t xml:space="preserve">6.2 Estimaciones y Discusión</w:t>
      </w:r>
      <w:r>
        <w:rPr>
          <w:rFonts w:ascii="Times New Roman" w:hAnsi="Times New Roman" w:eastAsia="Times New Roman" w:cs="Times New Roman"/>
          <w:sz w:val="22"/>
          <w:szCs w:val="22"/>
        </w:rPr>
      </w:r>
    </w:p>
    <w:p>
      <w:pPr>
        <w:pStyle w:val="699"/>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6" w:name="modelos-globales"/>
      <w:r>
        <w:rPr>
          <w:rFonts w:ascii="Times New Roman" w:hAnsi="Times New Roman" w:eastAsia="Times New Roman" w:cs="Times New Roman"/>
          <w:sz w:val="22"/>
          <w:szCs w:val="22"/>
        </w:rPr>
        <w:t xml:space="preserve">6.2.1 Modelos Globales</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Los estimadores globales de Efectos Fijos (FE), Efectos Aleatorios (RE) y Mínimos Cuadrados Generalizados Factibles (FGLS) constan en la</w:t>
      </w:r>
      <w:r>
        <w:rPr>
          <w:rFonts w:ascii="Times New Roman" w:hAnsi="Times New Roman" w:eastAsia="Times New Roman" w:cs="Times New Roman"/>
          <w:sz w:val="22"/>
          <w:szCs w:val="22"/>
        </w:rPr>
        <w:t xml:space="preserve"> </w:t>
      </w:r>
      <w:hyperlink w:tooltip="#tbl-regression-output" w:anchor="tbl-regression-output" w:history="1">
        <w:r>
          <w:rPr>
            <w:rStyle w:val="731"/>
            <w:rFonts w:ascii="Times New Roman" w:hAnsi="Times New Roman" w:eastAsia="Times New Roman" w:cs="Times New Roman"/>
            <w:sz w:val="22"/>
            <w:szCs w:val="22"/>
          </w:rPr>
          <w:t xml:space="preserve">Tabla 7</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5" w:name="tbl-regression-output"/>
            <w:r>
              <w:rPr>
                <w:rFonts w:ascii="Times New Roman" w:hAnsi="Times New Roman" w:eastAsia="Times New Roman" w:cs="Times New Roman"/>
                <w:sz w:val="22"/>
                <w:szCs w:val="22"/>
              </w:rPr>
              <w:t xml:space="preserve">Tabla 7: Resultados Comparativos de Estimación de Datos de Panel Global</w:t>
            </w:r>
            <w:r>
              <w:rPr>
                <w:rFonts w:ascii="Times New Roman" w:hAnsi="Times New Roman" w:eastAsia="Times New Roman" w:cs="Times New Roman"/>
                <w:sz w:val="22"/>
                <w:szCs w:val="22"/>
              </w:rPr>
            </w:r>
          </w:p>
          <w:tbl>
            <w:tblPr>
              <w:tblStyle w:val="719"/>
              <w:tblW w:w="5000" w:type="pct"/>
              <w:tblBorders/>
              <w:tblLayout w:type="fixed"/>
              <w:tblLook w:val="0020" w:firstRow="1" w:lastRow="0" w:firstColumn="0" w:lastColumn="0" w:noHBand="0" w:noVBand="0"/>
            </w:tblPr>
            <w:tblGrid>
              <w:gridCol w:w="1667"/>
              <w:gridCol w:w="2084"/>
              <w:gridCol w:w="2084"/>
              <w:gridCol w:w="2084"/>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Regresor</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Efectos Fijos (FE)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Efectos Aleatorios (RE)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FGLS Robusto (AR1)</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2.202</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2.129</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1.406</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0.354</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0.345</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0.298</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0.158</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0.050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0.504</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0.170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0.159</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0.160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0.534</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0.520</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0.245</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0.089</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0.088</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0.123</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0.197</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0.184</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0.054</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0.073</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0.073</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0.090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Constante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3.418</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2.883</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0.539</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1.172</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1.136</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1.084</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Observaciones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230</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R² (within)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0.266</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0.265</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Estadístico</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F</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216</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19.58</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75.00</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61.49</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bookmarkEnd w:id="35"/>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End w:id="36"/>
            <w:r>
              <w:rPr>
                <w:rFonts w:ascii="Times New Roman" w:hAnsi="Times New Roman" w:eastAsia="Times New Roman" w:cs="Times New Roman"/>
                <w:sz w:val="22"/>
                <w:szCs w:val="22"/>
              </w:rPr>
            </w:r>
          </w:p>
        </w:tc>
      </w:tr>
    </w:tbl>
    <w:p>
      <w:pPr>
        <w:pStyle w:val="699"/>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9" w:name="estimaciones-por-subgrupos"/>
      <w:r>
        <w:rPr>
          <w:rFonts w:ascii="Times New Roman" w:hAnsi="Times New Roman" w:eastAsia="Times New Roman" w:cs="Times New Roman"/>
          <w:sz w:val="22"/>
          <w:szCs w:val="22"/>
        </w:rPr>
        <w:t xml:space="preserve">6.2.2 Estimaciones por Subgrupos</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presencia de autocorrelación residual exige una corrección autorregresiva. La</w:t>
      </w:r>
      <w:r>
        <w:rPr>
          <w:rFonts w:ascii="Times New Roman" w:hAnsi="Times New Roman" w:eastAsia="Times New Roman" w:cs="Times New Roman"/>
          <w:sz w:val="22"/>
          <w:szCs w:val="22"/>
        </w:rPr>
        <w:t xml:space="preserve"> </w:t>
      </w:r>
      <w:hyperlink w:tooltip="#tbl-xtregar" w:anchor="tbl-xtregar" w:history="1">
        <w:r>
          <w:rPr>
            <w:rStyle w:val="731"/>
            <w:rFonts w:ascii="Times New Roman" w:hAnsi="Times New Roman" w:eastAsia="Times New Roman" w:cs="Times New Roman"/>
            <w:sz w:val="22"/>
            <w:szCs w:val="22"/>
          </w:rPr>
          <w:t xml:space="preserve">Tabla 8</w:t>
        </w:r>
      </w:hyperlink>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expone la estimación de efectos fijos con perturbaciones AR(1) (estimador</w:t>
      </w:r>
      <w:r>
        <w:rPr>
          <w:rFonts w:ascii="Times New Roman" w:hAnsi="Times New Roman" w:eastAsia="Times New Roman" w:cs="Times New Roman"/>
          <w:sz w:val="22"/>
          <w:szCs w:val="22"/>
        </w:rPr>
        <w:t xml:space="preserve"> </w:t>
      </w:r>
      <w:r>
        <w:rPr>
          <w:rStyle w:val="728"/>
          <w:rFonts w:ascii="Times New Roman" w:hAnsi="Times New Roman" w:eastAsia="Times New Roman" w:cs="Times New Roman"/>
          <w:sz w:val="22"/>
          <w:szCs w:val="22"/>
        </w:rPr>
        <w:t xml:space="preserve">xtregar</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7" w:name="tbl-xtregar"/>
            <w:r>
              <w:rPr>
                <w:rFonts w:ascii="Times New Roman" w:hAnsi="Times New Roman" w:eastAsia="Times New Roman" w:cs="Times New Roman"/>
                <w:sz w:val="22"/>
                <w:szCs w:val="22"/>
              </w:rPr>
              <w:t xml:space="preserve">Tabla 8: Estimaciones de Efectos Fijos con Perturbaciones AR(1) (xtregar)</w:t>
            </w:r>
            <w:r>
              <w:rPr>
                <w:rFonts w:ascii="Times New Roman" w:hAnsi="Times New Roman" w:eastAsia="Times New Roman" w:cs="Times New Roman"/>
                <w:sz w:val="22"/>
                <w:szCs w:val="22"/>
              </w:rPr>
            </w:r>
          </w:p>
          <w:tbl>
            <w:tblPr>
              <w:tblStyle w:val="719"/>
              <w:tblW w:w="5000" w:type="pct"/>
              <w:tblBorders/>
              <w:tblLayout w:type="fixed"/>
              <w:tblLook w:val="0020" w:firstRow="1" w:lastRow="0" w:firstColumn="0" w:lastColumn="0" w:noHBand="0" w:noVBand="0"/>
            </w:tblPr>
            <w:tblGrid>
              <w:gridCol w:w="1667"/>
              <w:gridCol w:w="2084"/>
              <w:gridCol w:w="2084"/>
              <w:gridCol w:w="2084"/>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Regresor</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xtregar Global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xtregar Hidrocarburos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xtregar Minero-Agropecuario</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1.145</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0.828</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1.521</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0.382</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0.710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0.442</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0.006</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0.087</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0.874</m:t>
                          </m:r>
                        </m:e>
                        <m:sup>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0.252</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0.263</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0.512</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0.524</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1.035</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0.199</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0.161</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0.239</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0.194</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0.066</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0.105</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0.033</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0.089</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0.112</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0.130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Constante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0.629</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4.084</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4.931</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0.469</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0.910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0.769</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Observaciones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220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88</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132</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6</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rho AR(1)</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0.693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0.583</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0.699</w:t>
                  </w:r>
                  <w:bookmarkEnd w:id="37"/>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bl>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prueba de Hausman robusta (</w:t>
      </w:r>
      <w:r>
        <w:rPr>
          <w:rFonts w:ascii="Times New Roman" w:hAnsi="Times New Roman" w:eastAsia="Times New Roman" w:cs="Times New Roman"/>
          <w:sz w:val="22"/>
          <w:szCs w:val="22"/>
        </w:rPr>
        <w:t xml:space="preserve">Hausman (</w:t>
      </w:r>
      <w:hyperlink w:tooltip="#ref-hausman1978specification" w:anchor="ref-hausman1978specification" w:history="1">
        <w:r>
          <w:rPr>
            <w:rStyle w:val="731"/>
            <w:rFonts w:ascii="Times New Roman" w:hAnsi="Times New Roman" w:eastAsia="Times New Roman" w:cs="Times New Roman"/>
            <w:sz w:val="22"/>
            <w:szCs w:val="22"/>
          </w:rPr>
          <w:t xml:space="preserve">1978</w:t>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identifica el estimador consistente en cada caso. El modelo global no rechaza la hipótesis nula (</w:t>
      </w: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7.38</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0.1172</m:t>
        </m:r>
      </m:oMath>
      <w:r>
        <w:rPr>
          <w:rFonts w:ascii="Times New Roman" w:hAnsi="Times New Roman" w:eastAsia="Times New Roman" w:cs="Times New Roman"/>
          <w:sz w:val="22"/>
          <w:szCs w:val="22"/>
        </w:rPr>
        <w:t xml:space="preserve">). Este resultado valida el estimador de efectos aleatorios (RE). Los subgrupos de Hidrocarburos (</w:t>
      </w: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3</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12.27</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0.0065</m:t>
        </m:r>
      </m:oMath>
      <w:r>
        <w:rPr>
          <w:rFonts w:ascii="Times New Roman" w:hAnsi="Times New Roman" w:eastAsia="Times New Roman" w:cs="Times New Roman"/>
          <w:sz w:val="22"/>
          <w:szCs w:val="22"/>
        </w:rPr>
        <w:t xml:space="preserve">) y Minero-Agropecuario (</w:t>
      </w: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23.84</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0.0001</m:t>
        </m:r>
      </m:oMath>
      <w:r>
        <w:rPr>
          <w:rFonts w:ascii="Times New Roman" w:hAnsi="Times New Roman" w:eastAsia="Times New Roman" w:cs="Times New Roman"/>
          <w:sz w:val="22"/>
          <w:szCs w:val="22"/>
        </w:rPr>
        <w:t xml:space="preserve">) rechazan la hipótesis nula al 1%. Los efectos fijos (FE) son el estimador consistente para estas particiones.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presencia de autocorrelación serial (prueba de Wooldridge: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F</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9</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137.88</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&lt;</m:t>
        </m:r>
        <m:r>
          <w:rPr>
            <w:rFonts w:hint="default" w:ascii="Cambria Math" w:hAnsi="Cambria Math" w:eastAsia="Cambria Math" w:cs="Cambria Math"/>
            <w:sz w:val="22"/>
            <w:szCs w:val="22"/>
          </w:rPr>
          <m:rPr/>
          <m:t>0.0001</m:t>
        </m:r>
      </m:oMath>
      <w:r>
        <w:rPr>
          <w:rFonts w:ascii="Times New Roman" w:hAnsi="Times New Roman" w:eastAsia="Times New Roman" w:cs="Times New Roman"/>
          <w:sz w:val="22"/>
          <w:szCs w:val="22"/>
        </w:rPr>
        <w:t xml:space="preserve">) y heterocedasticidad grupal (prueba de Wald:</w:t>
      </w:r>
      <w:r>
        <w:rPr>
          <w:rFonts w:ascii="Times New Roman" w:hAnsi="Times New Roman" w:eastAsia="Times New Roman" w:cs="Times New Roman"/>
          <w:sz w:val="22"/>
          <w:szCs w:val="22"/>
        </w:rPr>
        <w:t xml:space="preserve"> </w:t>
      </w: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673.44</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&lt;</m:t>
        </m:r>
        <m:r>
          <w:rPr>
            <w:rFonts w:hint="default" w:ascii="Cambria Math" w:hAnsi="Cambria Math" w:eastAsia="Cambria Math" w:cs="Cambria Math"/>
            <w:sz w:val="22"/>
            <w:szCs w:val="22"/>
          </w:rPr>
          <m:rPr/>
          <m:t>0.0001</m:t>
        </m:r>
      </m:oMath>
      <w:r>
        <w:rPr>
          <w:rFonts w:ascii="Times New Roman" w:hAnsi="Times New Roman" w:eastAsia="Times New Roman" w:cs="Times New Roman"/>
          <w:sz w:val="22"/>
          <w:szCs w:val="22"/>
        </w:rPr>
        <w:t xml:space="preserve">) invalida la eficiencia de los estimadores estándar. Los Mínimos Cuadrados Generalizados Factibles (FGLS) corrigen estas deficiencias. La</w:t>
      </w:r>
      <w:r>
        <w:rPr>
          <w:rFonts w:ascii="Times New Roman" w:hAnsi="Times New Roman" w:eastAsia="Times New Roman" w:cs="Times New Roman"/>
          <w:sz w:val="22"/>
          <w:szCs w:val="22"/>
        </w:rPr>
        <w:t xml:space="preserve"> </w:t>
      </w:r>
      <w:hyperlink w:tooltip="#tbl-regression-groups" w:anchor="tbl-regression-groups" w:history="1">
        <w:r>
          <w:rPr>
            <w:rStyle w:val="731"/>
            <w:rFonts w:ascii="Times New Roman" w:hAnsi="Times New Roman" w:eastAsia="Times New Roman" w:cs="Times New Roman"/>
            <w:sz w:val="22"/>
            <w:szCs w:val="22"/>
          </w:rPr>
          <w:t xml:space="preserve">Tabla 9</w:t>
        </w:r>
      </w:hyperlink>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detalla las estimaciones con estructura autorregresiva común AR(1) y varianzas heterocedásticas interindividuales:</w:t>
      </w:r>
      <w:r>
        <w:rPr>
          <w:rFonts w:ascii="Times New Roman" w:hAnsi="Times New Roman" w:eastAsia="Times New Roman" w:cs="Times New Roman"/>
          <w:sz w:val="22"/>
          <w:szCs w:val="22"/>
        </w:rPr>
      </w:r>
    </w:p>
    <w:tbl>
      <w:tblPr>
        <w:tblStyle w:val="719"/>
        <w:tblW w:w="5000" w:type="pct"/>
        <w:tblBorders/>
        <w:tblLayout w:type="fixed"/>
        <w:tblLook w:val="0000" w:firstRow="0" w:lastRow="0" w:firstColumn="0" w:lastColumn="0" w:noHBand="0" w:noVBand="0"/>
      </w:tblPr>
      <w:tblGrid>
        <w:gridCol w:w="7920"/>
      </w:tblGrid>
      <w:tr>
        <w:trPr/>
        <w:tc>
          <w:tcPr>
            <w:tcBorders/>
          </w:tcPr>
          <w:p>
            <w:pPr>
              <w:pStyle w:val="724"/>
              <w:pBdr/>
              <w:spacing w:before="200"/>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38" w:name="tbl-regression-groups"/>
            <w:r>
              <w:rPr>
                <w:rFonts w:ascii="Times New Roman" w:hAnsi="Times New Roman" w:eastAsia="Times New Roman" w:cs="Times New Roman"/>
                <w:sz w:val="22"/>
                <w:szCs w:val="22"/>
              </w:rPr>
              <w:t xml:space="preserve">Tabla 9: Resultados Comparativos de Mínimos Cuadrados Generalizados Factibles (FGLS)</w:t>
            </w:r>
            <w:r>
              <w:rPr>
                <w:rFonts w:ascii="Times New Roman" w:hAnsi="Times New Roman" w:eastAsia="Times New Roman" w:cs="Times New Roman"/>
                <w:sz w:val="22"/>
                <w:szCs w:val="22"/>
              </w:rPr>
            </w:r>
          </w:p>
          <w:tbl>
            <w:tblPr>
              <w:tblStyle w:val="719"/>
              <w:tblW w:w="5000" w:type="pct"/>
              <w:tblBorders/>
              <w:tblLayout w:type="fixed"/>
              <w:tblLook w:val="0020" w:firstRow="1" w:lastRow="0" w:firstColumn="0" w:lastColumn="0" w:noHBand="0" w:noVBand="0"/>
            </w:tblPr>
            <w:tblGrid>
              <w:gridCol w:w="1667"/>
              <w:gridCol w:w="2084"/>
              <w:gridCol w:w="2084"/>
              <w:gridCol w:w="2084"/>
            </w:tblGrid>
            <w:tr>
              <w:trPr>
                <w:tblHeade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Regresor</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FGLS Global</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FGLS Hidrocarburos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FGLS Minero-Agropecuario</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log_PF</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1.406</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1.879</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1.193</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0.298</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0.548</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0.338</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log_IE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0.504</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0.228</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0.223</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0.160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0.190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0.207</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log_AN</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0.245</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0.969</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0.016</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0.123</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0.164</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0.139</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Style w:val="728"/>
                      <w:rFonts w:ascii="Times New Roman" w:hAnsi="Times New Roman" w:eastAsia="Times New Roman" w:cs="Times New Roman"/>
                      <w:b/>
                      <w:bCs/>
                      <w:sz w:val="22"/>
                      <w:szCs w:val="22"/>
                    </w:rPr>
                    <w:t xml:space="preserve">log_RI</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0.054</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0.080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0.050</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0.090</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0.094</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0.122</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Constante</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0.539</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t>1.355</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1.274</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1.084</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1.531</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1.274</m:t>
                      </m:r>
                      <m:r>
                        <w:rPr>
                          <w:rFonts w:hint="default" w:ascii="Cambria Math" w:hAnsi="Cambria Math" w:eastAsia="Cambria Math" w:cs="Cambria Math"/>
                          <w:sz w:val="22"/>
                          <w:szCs w:val="22"/>
                        </w:rPr>
                        <m:rPr>
                          <m:sty m:val="p"/>
                        </m:rPr>
                        <m:t>)</m:t>
                      </m:r>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Observaciones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230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92</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138</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Países</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4</w:t>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6</w:t>
                  </w:r>
                  <w:r>
                    <w:rPr>
                      <w:rFonts w:ascii="Times New Roman" w:hAnsi="Times New Roman" w:eastAsia="Times New Roman" w:cs="Times New Roman"/>
                      <w:sz w:val="22"/>
                      <w:szCs w:val="22"/>
                    </w:rPr>
                  </w:r>
                </w:p>
              </w:tc>
            </w:tr>
            <w:tr>
              <w:trPr/>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b/>
                      <w:bCs/>
                      <w:sz w:val="22"/>
                      <w:szCs w:val="22"/>
                    </w:rPr>
                    <w:t xml:space="preserve">Wald</w:t>
                  </w:r>
                  <w:r>
                    <w:rPr>
                      <w:rFonts w:ascii="Times New Roman" w:hAnsi="Times New Roman" w:eastAsia="Times New Roman" w:cs="Times New Roman"/>
                      <w:b/>
                      <w:bCs/>
                      <w:sz w:val="22"/>
                      <w:szCs w:val="22"/>
                    </w:rPr>
                    <w:t xml:space="preserve"> </w:t>
                  </w: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oMath>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61.49</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52.99</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r>
                    <w:rPr>
                      <w:rFonts w:ascii="Times New Roman" w:hAnsi="Times New Roman" w:eastAsia="Times New Roman" w:cs="Times New Roman"/>
                      <w:sz w:val="22"/>
                      <w:szCs w:val="22"/>
                    </w:rPr>
                  </w:r>
                </w:p>
              </w:tc>
              <w:tc>
                <w:tcPr>
                  <w:tcBorders/>
                </w:tcPr>
                <w:p>
                  <w:pPr>
                    <w:pStyle w:val="68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m:oMathPara>
                    <m:oMathParaPr>
                      <m:jc m:val="centerGroup"/>
                    </m:oMathParaPr>
                    <m:oMath>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χ</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Sup>
                        <m:sSupPr>
                          <m:ctrlPr>
                            <w:rPr>
                              <w:rFonts w:hint="default" w:ascii="Cambria Math" w:hAnsi="Cambria Math" w:eastAsia="Cambria Math" w:cs="Cambria Math"/>
                              <w:sz w:val="22"/>
                            </w:rPr>
                          </m:ctrlPr>
                        </m:sSupPr>
                        <m:e>
                          <m:r>
                            <w:rPr>
                              <w:rFonts w:hint="default" w:ascii="Cambria Math" w:hAnsi="Cambria Math" w:eastAsia="Cambria Math" w:cs="Cambria Math"/>
                              <w:sz w:val="22"/>
                              <w:szCs w:val="22"/>
                            </w:rPr>
                            <m:rPr/>
                            <m:t>20.16</m:t>
                          </m:r>
                        </m:e>
                        <m:sup>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sup>
                      </m:sSup>
                    </m:oMath>
                  </m:oMathPara>
                  <w:r>
                    <w:rPr>
                      <w:rFonts w:ascii="Times New Roman" w:hAnsi="Times New Roman" w:eastAsia="Times New Roman" w:cs="Times New Roman"/>
                      <w:sz w:val="22"/>
                      <w:szCs w:val="22"/>
                    </w:rPr>
                  </w:r>
                  <w:bookmarkEnd w:id="38"/>
                  <w:r>
                    <w:rPr>
                      <w:rFonts w:ascii="Times New Roman" w:hAnsi="Times New Roman" w:eastAsia="Times New Roman" w:cs="Times New Roman"/>
                      <w:sz w:val="22"/>
                      <w:szCs w:val="22"/>
                    </w:rPr>
                  </w:r>
                </w:p>
              </w:tc>
            </w:tr>
          </w:tbl>
          <w:p>
            <w:pPr>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End w:id="39"/>
            <w:r>
              <w:rPr>
                <w:rFonts w:ascii="Times New Roman" w:hAnsi="Times New Roman" w:eastAsia="Times New Roman" w:cs="Times New Roman"/>
                <w:sz w:val="22"/>
                <w:szCs w:val="22"/>
              </w:rPr>
            </w:r>
          </w:p>
        </w:tc>
      </w:tr>
    </w:tbl>
    <w:p>
      <w:pPr>
        <w:pStyle w:val="699"/>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40" w:name="análisis-de-elasticidades"/>
      <w:r>
        <w:rPr>
          <w:rFonts w:ascii="Times New Roman" w:hAnsi="Times New Roman" w:eastAsia="Times New Roman" w:cs="Times New Roman"/>
          <w:sz w:val="22"/>
          <w:szCs w:val="22"/>
        </w:rPr>
        <w:t xml:space="preserve">6.2.3 Análisis de Elasticidades</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Los ingresos impositivos (</w:t>
      </w:r>
      <w:r>
        <w:rPr>
          <w:rStyle w:val="728"/>
          <w:rFonts w:ascii="Times New Roman" w:hAnsi="Times New Roman" w:eastAsia="Times New Roman" w:cs="Times New Roman"/>
          <w:sz w:val="22"/>
          <w:szCs w:val="22"/>
        </w:rPr>
        <w:t xml:space="preserve">log_PF</w:t>
      </w:r>
      <w:r>
        <w:rPr>
          <w:rFonts w:ascii="Times New Roman" w:hAnsi="Times New Roman" w:eastAsia="Times New Roman" w:cs="Times New Roman"/>
          <w:sz w:val="22"/>
          <w:szCs w:val="22"/>
        </w:rPr>
        <w:t xml:space="preserve">) incrementan la dependencia de rentas extractivas en todas las estimaciones. Este efecto es positivo y significativo. La magnitud del coeficiente es superior en el subgrupo de Hidrocarburos (</w:t>
      </w:r>
      <m:oMath>
        <m:r>
          <w:rPr>
            <w:rFonts w:hint="default" w:ascii="Cambria Math" w:hAnsi="Cambria Math" w:eastAsia="Cambria Math" w:cs="Cambria Math"/>
            <w:sz w:val="22"/>
            <w:szCs w:val="22"/>
          </w:rPr>
          <m:rPr/>
          <m:t>β</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1.88</m:t>
        </m:r>
      </m:oMath>
      <w:r>
        <w:rPr>
          <w:rFonts w:ascii="Times New Roman" w:hAnsi="Times New Roman" w:eastAsia="Times New Roman" w:cs="Times New Roman"/>
          <w:sz w:val="22"/>
          <w:szCs w:val="22"/>
        </w:rPr>
        <w:t xml:space="preserve">) frente al Minero-Agropecuario (</w:t>
      </w:r>
      <m:oMath>
        <m:r>
          <w:rPr>
            <w:rFonts w:hint="default" w:ascii="Cambria Math" w:hAnsi="Cambria Math" w:eastAsia="Cambria Math" w:cs="Cambria Math"/>
            <w:sz w:val="22"/>
            <w:szCs w:val="22"/>
          </w:rPr>
          <m:rPr/>
          <m:t>β</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1.19</m:t>
        </m:r>
      </m:oMath>
      <w:r>
        <w:rPr>
          <w:rFonts w:ascii="Times New Roman" w:hAnsi="Times New Roman" w:eastAsia="Times New Roman" w:cs="Times New Roman"/>
          <w:sz w:val="22"/>
          <w:szCs w:val="22"/>
        </w:rPr>
        <w:t xml:space="preserve">). El resultado expone la vulnerabilidad de las finanzas públicas ante las oscilaciones de las rentas energéticas.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inversión extranjera directa (</w:t>
      </w:r>
      <w:r>
        <w:rPr>
          <w:rStyle w:val="728"/>
          <w:rFonts w:ascii="Times New Roman" w:hAnsi="Times New Roman" w:eastAsia="Times New Roman" w:cs="Times New Roman"/>
          <w:sz w:val="22"/>
          <w:szCs w:val="22"/>
        </w:rPr>
        <w:t xml:space="preserve">log_IE</w:t>
      </w:r>
      <w:r>
        <w:rPr>
          <w:rFonts w:ascii="Times New Roman" w:hAnsi="Times New Roman" w:eastAsia="Times New Roman" w:cs="Times New Roman"/>
          <w:sz w:val="22"/>
          <w:szCs w:val="22"/>
        </w:rPr>
        <w:t xml:space="preserve">) reduce la dependencia global (</w:t>
      </w:r>
      <m:oMath>
        <m:r>
          <w:rPr>
            <w:rFonts w:hint="default" w:ascii="Cambria Math" w:hAnsi="Cambria Math" w:eastAsia="Cambria Math" w:cs="Cambria Math"/>
            <w:sz w:val="22"/>
            <w:szCs w:val="22"/>
          </w:rPr>
          <m:rPr/>
          <m:t>β</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0.50</m:t>
        </m:r>
      </m:oMath>
      <w:r>
        <w:rPr>
          <w:rFonts w:ascii="Times New Roman" w:hAnsi="Times New Roman" w:eastAsia="Times New Roman" w:cs="Times New Roman"/>
          <w:sz w:val="22"/>
          <w:szCs w:val="22"/>
        </w:rPr>
        <w:t xml:space="preserve">). Sin embargo, su efecto pierde significancia estadística en las estimaciones por subgrupos FGLS. Este comportamiento sugiere que el impacto diversificador del capital externo depende de factores específicos del sector receptor.</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El crédito privado (</w:t>
      </w:r>
      <w:r>
        <w:rPr>
          <w:rStyle w:val="728"/>
          <w:rFonts w:ascii="Times New Roman" w:hAnsi="Times New Roman" w:eastAsia="Times New Roman" w:cs="Times New Roman"/>
          <w:sz w:val="22"/>
          <w:szCs w:val="22"/>
        </w:rPr>
        <w:t xml:space="preserve">log_AN</w:t>
      </w:r>
      <w:r>
        <w:rPr>
          <w:rFonts w:ascii="Times New Roman" w:hAnsi="Times New Roman" w:eastAsia="Times New Roman" w:cs="Times New Roman"/>
          <w:sz w:val="22"/>
          <w:szCs w:val="22"/>
        </w:rPr>
        <w:t xml:space="preserve">) actúa de forma heterogénea. En las economías de Hidrocarburos, la profundización financiera reduce la dependencia de rentas extractivas (</w:t>
      </w:r>
      <m:oMath>
        <m:r>
          <w:rPr>
            <w:rFonts w:hint="default" w:ascii="Cambria Math" w:hAnsi="Cambria Math" w:eastAsia="Cambria Math" w:cs="Cambria Math"/>
            <w:sz w:val="22"/>
            <w:szCs w:val="22"/>
          </w:rPr>
          <m:rPr/>
          <m:t>β</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0.97</m:t>
        </m:r>
      </m:oMath>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p</m:t>
        </m:r>
        <m:r>
          <w:rPr>
            <w:rFonts w:hint="default" w:ascii="Cambria Math" w:hAnsi="Cambria Math" w:eastAsia="Cambria Math" w:cs="Cambria Math"/>
            <w:sz w:val="22"/>
            <w:szCs w:val="22"/>
          </w:rPr>
          <m:rPr>
            <m:sty m:val="p"/>
          </m:rPr>
          <m:t>&lt;</m:t>
        </m:r>
        <m:r>
          <w:rPr>
            <w:rFonts w:hint="default" w:ascii="Cambria Math" w:hAnsi="Cambria Math" w:eastAsia="Cambria Math" w:cs="Cambria Math"/>
            <w:sz w:val="22"/>
            <w:szCs w:val="22"/>
          </w:rPr>
          <m:rPr/>
          <m:t>0.01</m:t>
        </m:r>
      </m:oMath>
      <w:r>
        <w:rPr>
          <w:rFonts w:ascii="Times New Roman" w:hAnsi="Times New Roman" w:eastAsia="Times New Roman" w:cs="Times New Roman"/>
          <w:sz w:val="22"/>
          <w:szCs w:val="22"/>
        </w:rPr>
        <w:t xml:space="preserve">). El resultado valida el rol del crédito como amortiguador de liquidez macroeconómica. En contraste, el coeficiente no es significativo en el grupo Minero-Agropecuario.</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La acumulación de reservas internacionales (</w:t>
      </w:r>
      <w:r>
        <w:rPr>
          <w:rStyle w:val="728"/>
          <w:rFonts w:ascii="Times New Roman" w:hAnsi="Times New Roman" w:eastAsia="Times New Roman" w:cs="Times New Roman"/>
          <w:sz w:val="22"/>
          <w:szCs w:val="22"/>
        </w:rPr>
        <w:t xml:space="preserve">log_RI</w:t>
      </w:r>
      <w:r>
        <w:rPr>
          <w:rFonts w:ascii="Times New Roman" w:hAnsi="Times New Roman" w:eastAsia="Times New Roman" w:cs="Times New Roman"/>
          <w:sz w:val="22"/>
          <w:szCs w:val="22"/>
        </w:rPr>
        <w:t xml:space="preserve">) carece de significancia estadística bajo estimadores FGLS. La liquidez externa no mitiga directamente la dependencia extractiva. La política tributaria y el desarrollo financiero local representan los canales de transmisión preponderantes.</w:t>
      </w:r>
      <w:bookmarkEnd w:id="40"/>
      <w:r>
        <w:rPr>
          <w:sz w:val="22"/>
          <w:szCs w:val="22"/>
        </w:rPr>
      </w:r>
      <w:bookmarkEnd w:id="41"/>
      <w:r>
        <w:rPr>
          <w:sz w:val="22"/>
          <w:szCs w:val="22"/>
        </w:rPr>
      </w:r>
      <w:bookmarkEnd w:id="42"/>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45" w:name="conclusiones-y-limitaciones"/>
      <w:r>
        <w:rPr>
          <w:rFonts w:ascii="Times New Roman" w:hAnsi="Times New Roman" w:eastAsia="Times New Roman" w:cs="Times New Roman"/>
          <w:sz w:val="22"/>
          <w:szCs w:val="22"/>
        </w:rPr>
        <w:t xml:space="preserve">7. Conclusiones y Limitaciones</w:t>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43" w:name="conclusiones"/>
      <w:r>
        <w:rPr>
          <w:rFonts w:ascii="Times New Roman" w:hAnsi="Times New Roman" w:eastAsia="Times New Roman" w:cs="Times New Roman"/>
          <w:sz w:val="22"/>
          <w:szCs w:val="22"/>
        </w:rPr>
        <w:t xml:space="preserve">7.1 Conclusiones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Primero, existe una dependencia estructural entre los ingresos impositivos y las rentas de recursos naturales. El efecto es más agudo en economías exportadoras de hidrocarburos (</w:t>
      </w:r>
      <m:oMath>
        <m:r>
          <w:rPr>
            <w:rFonts w:hint="default" w:ascii="Cambria Math" w:hAnsi="Cambria Math" w:eastAsia="Cambria Math" w:cs="Cambria Math"/>
            <w:sz w:val="22"/>
            <w:szCs w:val="22"/>
          </w:rPr>
          <m:rPr/>
          <m:t>β</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1.88</m:t>
        </m:r>
      </m:oMath>
      <w:r>
        <w:rPr>
          <w:rFonts w:ascii="Times New Roman" w:hAnsi="Times New Roman" w:eastAsia="Times New Roman" w:cs="Times New Roman"/>
          <w:sz w:val="22"/>
          <w:szCs w:val="22"/>
        </w:rPr>
        <w:t xml:space="preserve">) que en aquellas con orientación minero-agropecuaria (</w:t>
      </w:r>
      <m:oMath>
        <m:r>
          <w:rPr>
            <w:rFonts w:hint="default" w:ascii="Cambria Math" w:hAnsi="Cambria Math" w:eastAsia="Cambria Math" w:cs="Cambria Math"/>
            <w:sz w:val="22"/>
            <w:szCs w:val="22"/>
          </w:rPr>
          <m:rPr/>
          <m:t>β</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1.19</m:t>
        </m:r>
      </m:oMath>
      <w:r>
        <w:rPr>
          <w:rFonts w:ascii="Times New Roman" w:hAnsi="Times New Roman" w:eastAsia="Times New Roman" w:cs="Times New Roman"/>
          <w:sz w:val="22"/>
          <w:szCs w:val="22"/>
        </w:rPr>
        <w:t xml:space="preserve">). Esta diferencia valida el efecto voracidad fiscal: el gasto público se expanden al ritmo de las rentas extractivas, lo cual incrementa la vulnerabilidad fiscal ante caídas de precios internacionales.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Segundo, la profundidad del crédito privado local funciona como un mecanismo amortiguador. En economías hidrocarburíferas, el financiamiento bancario reduce la dependencia extractiva (</w:t>
      </w:r>
      <m:oMath>
        <m:r>
          <w:rPr>
            <w:rFonts w:hint="default" w:ascii="Cambria Math" w:hAnsi="Cambria Math" w:eastAsia="Cambria Math" w:cs="Cambria Math"/>
            <w:sz w:val="22"/>
            <w:szCs w:val="22"/>
          </w:rPr>
          <m:rPr/>
          <m:t>β</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0.97</m:t>
        </m:r>
      </m:oMath>
      <w:r>
        <w:rPr>
          <w:rFonts w:ascii="Times New Roman" w:hAnsi="Times New Roman" w:eastAsia="Times New Roman" w:cs="Times New Roman"/>
          <w:sz w:val="22"/>
          <w:szCs w:val="22"/>
        </w:rPr>
        <w:t xml:space="preserve">). El crédito provee liquidez frente a shocks externos. Sin embargo, este canal no opera en el grupo minero-agropecuario. En dicho subgrupo, los shocks externos se absorben de manera exclusiva por la vía del presupuesto del Estado.</w:t>
      </w:r>
      <w:bookmarkEnd w:id="43"/>
      <w:r>
        <w:rPr>
          <w:sz w:val="22"/>
          <w:szCs w:val="22"/>
        </w:rPr>
      </w:r>
      <w:r>
        <w:rPr>
          <w:rFonts w:ascii="Times New Roman" w:hAnsi="Times New Roman" w:eastAsia="Times New Roman" w:cs="Times New Roman"/>
          <w:sz w:val="22"/>
          <w:szCs w:val="22"/>
        </w:rPr>
      </w:r>
    </w:p>
    <w:p>
      <w:pPr>
        <w:pStyle w:val="698"/>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44" w:name="limitaciones"/>
      <w:r>
        <w:rPr>
          <w:rFonts w:ascii="Times New Roman" w:hAnsi="Times New Roman" w:eastAsia="Times New Roman" w:cs="Times New Roman"/>
          <w:sz w:val="22"/>
          <w:szCs w:val="22"/>
        </w:rPr>
        <w:t xml:space="preserve">7.2 Limitaciones</w:t>
      </w:r>
      <w:r>
        <w:rPr>
          <w:rFonts w:ascii="Times New Roman" w:hAnsi="Times New Roman" w:eastAsia="Times New Roman" w:cs="Times New Roman"/>
          <w:sz w:val="22"/>
          <w:szCs w:val="22"/>
        </w:rPr>
      </w:r>
    </w:p>
    <w:p>
      <w:pPr>
        <w:pStyle w:val="686"/>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Dos restricciones metodológicas condicionan el alcance de los resultados.</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Primero, la relación entre recaudación fiscal y r</w:t>
      </w:r>
      <w:r>
        <w:rPr>
          <w:rFonts w:ascii="Times New Roman" w:hAnsi="Times New Roman" w:eastAsia="Times New Roman" w:cs="Times New Roman"/>
          <w:sz w:val="22"/>
          <w:szCs w:val="22"/>
        </w:rPr>
        <w:t xml:space="preserve">entas de recursos naturales experimenta endogeneidad por simultaneidad. Los shocks internacionales de commodities afectan ambos agregados de manera paralela. Por esta razón, las estimaciones representan elasticidades de asociación y no causalidad estricta.</w:t>
      </w:r>
      <w:r>
        <w:rPr>
          <w:rFonts w:ascii="Times New Roman" w:hAnsi="Times New Roman" w:eastAsia="Times New Roman" w:cs="Times New Roman"/>
          <w:sz w:val="22"/>
          <w:szCs w:val="22"/>
        </w:rPr>
      </w:r>
    </w:p>
    <w:p>
      <w:pPr>
        <w:pStyle w:val="685"/>
        <w:pBdr/>
        <w:spacing/>
        <w:ind/>
        <w:jc w:val="both"/>
        <w:rPr>
          <w:rFonts w:ascii="Times New Roman" w:hAnsi="Times New Roman" w:cs="Times New Roman"/>
          <w:sz w:val="22"/>
          <w:szCs w:val="22"/>
        </w:rPr>
      </w:pPr>
      <w:r>
        <w:rPr>
          <w:rFonts w:ascii="Times New Roman" w:hAnsi="Times New Roman" w:eastAsia="Times New Roman" w:cs="Times New Roman"/>
          <w:sz w:val="22"/>
          <w:szCs w:val="22"/>
        </w:rPr>
        <w:t xml:space="preserve">Segundo, la partición de la muestra limita la potencia asintótica del panel. El tamaño transversal se reduce (</w:t>
      </w: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4</m:t>
        </m:r>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para hidrocarburos y</w:t>
      </w:r>
      <w:r>
        <w:rPr>
          <w:rFonts w:ascii="Times New Roman" w:hAnsi="Times New Roman" w:eastAsia="Times New Roman" w:cs="Times New Roman"/>
          <w:sz w:val="22"/>
          <w:szCs w:val="22"/>
        </w:rPr>
        <w:t xml:space="preserve"> </w:t>
      </w:r>
      <m:oMath>
        <m:r>
          <w:rPr>
            <w:rFonts w:hint="default" w:ascii="Cambria Math" w:hAnsi="Cambria Math" w:eastAsia="Cambria Math" w:cs="Cambria Math"/>
            <w:sz w:val="22"/>
            <w:szCs w:val="22"/>
          </w:rPr>
          <m:rPr/>
          <m:t>n</m:t>
        </m:r>
        <m:r>
          <w:rPr>
            <w:rFonts w:hint="default" w:ascii="Cambria Math" w:hAnsi="Cambria Math" w:eastAsia="Cambria Math" w:cs="Cambria Math"/>
            <w:sz w:val="22"/>
            <w:szCs w:val="22"/>
          </w:rPr>
          <m:rPr>
            <m:sty m:val="p"/>
          </m:rPr>
          <m:t>=</m:t>
        </m:r>
        <m:r>
          <w:rPr>
            <w:rFonts w:hint="default" w:ascii="Cambria Math" w:hAnsi="Cambria Math" w:eastAsia="Cambria Math" w:cs="Cambria Math"/>
            <w:sz w:val="22"/>
            <w:szCs w:val="22"/>
          </w:rPr>
          <m:rPr/>
          <m:t>6</m:t>
        </m:r>
      </m:oMath>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para la especialización minero-agropecuaria). Si bien la segmentación corrige la heterogeneidad de pendientes, disminuye la potencia de pruebas como el test de Hausman. La generalización de estos resultados a otros contextos requiere cautela.</w:t>
      </w:r>
      <w:bookmarkEnd w:id="44"/>
      <w:r>
        <w:rPr>
          <w:sz w:val="22"/>
          <w:szCs w:val="22"/>
        </w:rPr>
      </w:r>
      <w:bookmarkEnd w:id="45"/>
      <w:r>
        <w:rPr>
          <w:sz w:val="22"/>
          <w:szCs w:val="22"/>
        </w:rPr>
      </w:r>
      <w:r>
        <w:rPr>
          <w:rFonts w:ascii="Times New Roman" w:hAnsi="Times New Roman" w:eastAsia="Times New Roman" w:cs="Times New Roman"/>
          <w:sz w:val="22"/>
          <w:szCs w:val="22"/>
        </w:rPr>
      </w:r>
    </w:p>
    <w:p>
      <w:pPr>
        <w:pStyle w:val="697"/>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61" w:name="referencias"/>
      <w:r>
        <w:rPr>
          <w:rFonts w:ascii="Times New Roman" w:hAnsi="Times New Roman" w:eastAsia="Times New Roman" w:cs="Times New Roman"/>
          <w:sz w:val="22"/>
          <w:szCs w:val="22"/>
        </w:rPr>
        <w:t xml:space="preserve">Referencias</w:t>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60" w:name="refs"/>
      <w:r>
        <w:rPr>
          <w:rFonts w:ascii="Times New Roman" w:hAnsi="Times New Roman" w:eastAsia="Times New Roman" w:cs="Times New Roman"/>
          <w:sz w:val="22"/>
          <w:szCs w:val="22"/>
        </w:rPr>
      </w:r>
      <w:bookmarkStart w:id="46" w:name="ref-arellano1991some"/>
      <w:r>
        <w:rPr>
          <w:rFonts w:ascii="Times New Roman" w:hAnsi="Times New Roman" w:eastAsia="Times New Roman" w:cs="Times New Roman"/>
          <w:sz w:val="22"/>
          <w:szCs w:val="22"/>
        </w:rPr>
        <w:t xml:space="preserve">Arellano, Manuel, y Stephen Bond. 1991.</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«Some tests of specification for panel data: Monte Carlo evidence and an application to employment equations»</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The review of economic studies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58 (2): 277-97.</w:t>
      </w:r>
      <w:bookmarkEnd w:id="46"/>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48" w:name="ref-baculima2026"/>
      <w:r>
        <w:rPr>
          <w:rFonts w:ascii="Times New Roman" w:hAnsi="Times New Roman" w:eastAsia="Times New Roman" w:cs="Times New Roman"/>
          <w:sz w:val="22"/>
          <w:szCs w:val="22"/>
        </w:rPr>
        <w:t xml:space="preserve">Baculima-Cuesta, Patricio Miguel, Francis Patricio Moya-Ochoa, Karen Michelle Luzuriaga-Atarihuana, y Luis Santiago Sarmiento-Moscoso. 2026.</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«La sostenibilidad fiscal en el Ecuador 2003-2023. Aplicaci</w:t>
      </w:r>
      <w:r>
        <w:rPr>
          <w:rFonts w:ascii="Times New Roman" w:hAnsi="Times New Roman" w:eastAsia="Times New Roman" w:cs="Times New Roman"/>
          <w:sz w:val="22"/>
          <w:szCs w:val="22"/>
        </w:rPr>
        <w:t xml:space="preserve">ó</w:t>
      </w:r>
      <w:r>
        <w:rPr>
          <w:rFonts w:ascii="Times New Roman" w:hAnsi="Times New Roman" w:eastAsia="Times New Roman" w:cs="Times New Roman"/>
          <w:sz w:val="22"/>
          <w:szCs w:val="22"/>
        </w:rPr>
        <w:t xml:space="preserve">n del modelo MS-ARDL»</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INNOVA Research Journal</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11 (2): 66-91.</w:t>
      </w:r>
      <w:r>
        <w:rPr>
          <w:rFonts w:ascii="Times New Roman" w:hAnsi="Times New Roman" w:eastAsia="Times New Roman" w:cs="Times New Roman"/>
          <w:sz w:val="22"/>
          <w:szCs w:val="22"/>
        </w:rPr>
        <w:t xml:space="preserve"> </w:t>
      </w:r>
      <w:hyperlink r:id="rId14" w:tooltip="https://doi.org/10.33890/innova.v11.n2.2026.2934" w:history="1">
        <w:r>
          <w:rPr>
            <w:rStyle w:val="731"/>
            <w:rFonts w:ascii="Times New Roman" w:hAnsi="Times New Roman" w:eastAsia="Times New Roman" w:cs="Times New Roman"/>
            <w:sz w:val="22"/>
            <w:szCs w:val="22"/>
          </w:rPr>
          <w:t xml:space="preserve">https://doi.org/10.33890/innova.v11.n2.2026.2934</w:t>
        </w:r>
      </w:hyperlink>
      <w:r>
        <w:rPr>
          <w:rFonts w:ascii="Times New Roman" w:hAnsi="Times New Roman" w:eastAsia="Times New Roman" w:cs="Times New Roman"/>
          <w:sz w:val="22"/>
          <w:szCs w:val="22"/>
        </w:rPr>
        <w:t xml:space="preserve">.</w:t>
      </w:r>
      <w:bookmarkEnd w:id="48"/>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50" w:name="ref-baltagi2021econometric"/>
      <w:r>
        <w:rPr>
          <w:rFonts w:ascii="Times New Roman" w:hAnsi="Times New Roman" w:eastAsia="Times New Roman" w:cs="Times New Roman"/>
          <w:sz w:val="22"/>
          <w:szCs w:val="22"/>
        </w:rPr>
        <w:t xml:space="preserve">Baltagi, Badi H. 2021.</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Econometric analysis of panel data</w:t>
      </w:r>
      <w:r>
        <w:rPr>
          <w:rFonts w:ascii="Times New Roman" w:hAnsi="Times New Roman" w:eastAsia="Times New Roman" w:cs="Times New Roman"/>
          <w:sz w:val="22"/>
          <w:szCs w:val="22"/>
        </w:rPr>
        <w:t xml:space="preserve">. 6.ª ed. Springer Nature.</w:t>
      </w:r>
      <w:r>
        <w:rPr>
          <w:rFonts w:ascii="Times New Roman" w:hAnsi="Times New Roman" w:eastAsia="Times New Roman" w:cs="Times New Roman"/>
          <w:sz w:val="22"/>
          <w:szCs w:val="22"/>
        </w:rPr>
        <w:t xml:space="preserve"> </w:t>
      </w:r>
      <w:hyperlink r:id="rId15" w:tooltip="https://doi.org/10.1007/978-3-030-53953-5" w:history="1">
        <w:r>
          <w:rPr>
            <w:rStyle w:val="731"/>
            <w:rFonts w:ascii="Times New Roman" w:hAnsi="Times New Roman" w:eastAsia="Times New Roman" w:cs="Times New Roman"/>
            <w:sz w:val="22"/>
            <w:szCs w:val="22"/>
          </w:rPr>
          <w:t xml:space="preserve">https://doi.org/10.1007/978-3-030-53953-5</w:t>
        </w:r>
      </w:hyperlink>
      <w:r>
        <w:rPr>
          <w:rFonts w:ascii="Times New Roman" w:hAnsi="Times New Roman" w:eastAsia="Times New Roman" w:cs="Times New Roman"/>
          <w:sz w:val="22"/>
          <w:szCs w:val="22"/>
        </w:rPr>
        <w:t xml:space="preserve">.</w:t>
      </w:r>
      <w:bookmarkEnd w:id="50"/>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52" w:name="ref-frankel2013graduation"/>
      <w:r>
        <w:rPr>
          <w:rFonts w:ascii="Times New Roman" w:hAnsi="Times New Roman" w:eastAsia="Times New Roman" w:cs="Times New Roman"/>
          <w:sz w:val="22"/>
          <w:szCs w:val="22"/>
        </w:rPr>
        <w:t xml:space="preserve">Frankel, Jeffrey A, Carlos A Végh, y Guillermo Vuletin. 2013.</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«On graduation from fiscal procyclicality»</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Journal of Development Economics</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100 (1): 32-47.</w:t>
      </w:r>
      <w:r>
        <w:rPr>
          <w:rFonts w:ascii="Times New Roman" w:hAnsi="Times New Roman" w:eastAsia="Times New Roman" w:cs="Times New Roman"/>
          <w:sz w:val="22"/>
          <w:szCs w:val="22"/>
        </w:rPr>
        <w:t xml:space="preserve"> </w:t>
      </w:r>
      <w:hyperlink r:id="rId16" w:tooltip="https://doi.org/10.1016/j.jdeveco.2012.07.001" w:history="1">
        <w:r>
          <w:rPr>
            <w:rStyle w:val="731"/>
            <w:rFonts w:ascii="Times New Roman" w:hAnsi="Times New Roman" w:eastAsia="Times New Roman" w:cs="Times New Roman"/>
            <w:sz w:val="22"/>
            <w:szCs w:val="22"/>
          </w:rPr>
          <w:t xml:space="preserve">https://doi.org/10.1016/j.jdeveco.2012.07.001</w:t>
        </w:r>
      </w:hyperlink>
      <w:r>
        <w:rPr>
          <w:rFonts w:ascii="Times New Roman" w:hAnsi="Times New Roman" w:eastAsia="Times New Roman" w:cs="Times New Roman"/>
          <w:sz w:val="22"/>
          <w:szCs w:val="22"/>
        </w:rPr>
        <w:t xml:space="preserve">.</w:t>
      </w:r>
      <w:bookmarkEnd w:id="52"/>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53" w:name="ref-hausman1978specification"/>
      <w:r>
        <w:rPr>
          <w:rFonts w:ascii="Times New Roman" w:hAnsi="Times New Roman" w:eastAsia="Times New Roman" w:cs="Times New Roman"/>
          <w:sz w:val="22"/>
          <w:szCs w:val="22"/>
        </w:rPr>
        <w:t xml:space="preserve">Hausman, Jerry A. 1978.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«Specification tests in econometrics»</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Econometrica</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46 (6): 1251-71.</w:t>
      </w:r>
      <w:bookmarkEnd w:id="53"/>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54" w:name="ref-hsiao2014analysis"/>
      <w:r>
        <w:rPr>
          <w:rFonts w:ascii="Times New Roman" w:hAnsi="Times New Roman" w:eastAsia="Times New Roman" w:cs="Times New Roman"/>
          <w:sz w:val="22"/>
          <w:szCs w:val="22"/>
        </w:rPr>
        <w:t xml:space="preserve">Hsiao, Cheng. 2014.</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Analysis of panel data</w:t>
      </w:r>
      <w:r>
        <w:rPr>
          <w:rFonts w:ascii="Times New Roman" w:hAnsi="Times New Roman" w:eastAsia="Times New Roman" w:cs="Times New Roman"/>
          <w:sz w:val="22"/>
          <w:szCs w:val="22"/>
        </w:rPr>
        <w:t xml:space="preserve">. Cambridge university press.</w:t>
      </w:r>
      <w:bookmarkEnd w:id="54"/>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56" w:name="ref-paiva2019participacion"/>
      <w:r>
        <w:rPr>
          <w:rFonts w:ascii="Times New Roman" w:hAnsi="Times New Roman" w:eastAsia="Times New Roman" w:cs="Times New Roman"/>
          <w:sz w:val="22"/>
          <w:szCs w:val="22"/>
        </w:rPr>
        <w:t xml:space="preserve">Paiva, Pedro Henrique de Abreu, y Carlos José Caetano Bacha. 2019.</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«Participaci</w:t>
      </w:r>
      <w:r>
        <w:rPr>
          <w:rFonts w:ascii="Times New Roman" w:hAnsi="Times New Roman" w:eastAsia="Times New Roman" w:cs="Times New Roman"/>
          <w:sz w:val="22"/>
          <w:szCs w:val="22"/>
        </w:rPr>
        <w:t xml:space="preserve">ó</w:t>
      </w:r>
      <w:r>
        <w:rPr>
          <w:rFonts w:ascii="Times New Roman" w:hAnsi="Times New Roman" w:eastAsia="Times New Roman" w:cs="Times New Roman"/>
          <w:sz w:val="22"/>
          <w:szCs w:val="22"/>
        </w:rPr>
        <w:t xml:space="preserve">n de los sectores agropecuario y de hidrocarburos y miner</w:t>
      </w:r>
      <w:r>
        <w:rPr>
          <w:rFonts w:ascii="Times New Roman" w:hAnsi="Times New Roman" w:eastAsia="Times New Roman" w:cs="Times New Roman"/>
          <w:sz w:val="22"/>
          <w:szCs w:val="22"/>
        </w:rPr>
        <w:t xml:space="preserve">í</w:t>
      </w:r>
      <w:r>
        <w:rPr>
          <w:rFonts w:ascii="Times New Roman" w:hAnsi="Times New Roman" w:eastAsia="Times New Roman" w:cs="Times New Roman"/>
          <w:sz w:val="22"/>
          <w:szCs w:val="22"/>
        </w:rPr>
        <w:t xml:space="preserve">a en el producto interno bruto (PIB) de los pa</w:t>
      </w:r>
      <w:r>
        <w:rPr>
          <w:rFonts w:ascii="Times New Roman" w:hAnsi="Times New Roman" w:eastAsia="Times New Roman" w:cs="Times New Roman"/>
          <w:sz w:val="22"/>
          <w:szCs w:val="22"/>
        </w:rPr>
        <w:t xml:space="preserve">í</w:t>
      </w:r>
      <w:r>
        <w:rPr>
          <w:rFonts w:ascii="Times New Roman" w:hAnsi="Times New Roman" w:eastAsia="Times New Roman" w:cs="Times New Roman"/>
          <w:sz w:val="22"/>
          <w:szCs w:val="22"/>
        </w:rPr>
        <w:t xml:space="preserve">ses de Am</w:t>
      </w:r>
      <w:r>
        <w:rPr>
          <w:rFonts w:ascii="Times New Roman" w:hAnsi="Times New Roman" w:eastAsia="Times New Roman" w:cs="Times New Roman"/>
          <w:sz w:val="22"/>
          <w:szCs w:val="22"/>
        </w:rPr>
        <w:t xml:space="preserve">é</w:t>
      </w:r>
      <w:r>
        <w:rPr>
          <w:rFonts w:ascii="Times New Roman" w:hAnsi="Times New Roman" w:eastAsia="Times New Roman" w:cs="Times New Roman"/>
          <w:sz w:val="22"/>
          <w:szCs w:val="22"/>
        </w:rPr>
        <w:t xml:space="preserve">rica del Sur entre 1960 y 2014»</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Revista de la CEPAL</w:t>
      </w:r>
      <w:r>
        <w:rPr>
          <w:rFonts w:ascii="Times New Roman" w:hAnsi="Times New Roman" w:eastAsia="Times New Roman" w:cs="Times New Roman"/>
          <w:sz w:val="22"/>
          <w:szCs w:val="22"/>
        </w:rPr>
        <w:t xml:space="preserve">, n.º 129: 29-46.</w:t>
      </w:r>
      <w:r>
        <w:rPr>
          <w:rFonts w:ascii="Times New Roman" w:hAnsi="Times New Roman" w:eastAsia="Times New Roman" w:cs="Times New Roman"/>
          <w:sz w:val="22"/>
          <w:szCs w:val="22"/>
        </w:rPr>
        <w:t xml:space="preserve"> </w:t>
      </w:r>
      <w:hyperlink r:id="rId17" w:tooltip="https://repositorio.cepal.org/handle/11362/44980" w:history="1">
        <w:r>
          <w:rPr>
            <w:rStyle w:val="731"/>
            <w:rFonts w:ascii="Times New Roman" w:hAnsi="Times New Roman" w:eastAsia="Times New Roman" w:cs="Times New Roman"/>
            <w:sz w:val="22"/>
            <w:szCs w:val="22"/>
          </w:rPr>
          <w:t xml:space="preserve">https://repositorio.cepal.org/handle/11362/44980</w:t>
        </w:r>
      </w:hyperlink>
      <w:r>
        <w:rPr>
          <w:rFonts w:ascii="Times New Roman" w:hAnsi="Times New Roman" w:eastAsia="Times New Roman" w:cs="Times New Roman"/>
          <w:sz w:val="22"/>
          <w:szCs w:val="22"/>
        </w:rPr>
        <w:t xml:space="preserve">.</w:t>
      </w:r>
      <w:bookmarkEnd w:id="56"/>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58" w:name="ref-tornell1999voracity"/>
      <w:r>
        <w:rPr>
          <w:rFonts w:ascii="Times New Roman" w:hAnsi="Times New Roman" w:eastAsia="Times New Roman" w:cs="Times New Roman"/>
          <w:sz w:val="22"/>
          <w:szCs w:val="22"/>
        </w:rPr>
        <w:t xml:space="preserve">Tornell, Aaron, y Philip R Lane. 1999.</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«The voracity effect»</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American Economic Review</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89 (1): 22-46.</w:t>
      </w:r>
      <w:r>
        <w:rPr>
          <w:rFonts w:ascii="Times New Roman" w:hAnsi="Times New Roman" w:eastAsia="Times New Roman" w:cs="Times New Roman"/>
          <w:sz w:val="22"/>
          <w:szCs w:val="22"/>
        </w:rPr>
        <w:t xml:space="preserve"> </w:t>
      </w:r>
      <w:hyperlink r:id="rId18" w:tooltip="https://doi.org/10.1257/aer.89.1.22" w:history="1">
        <w:r>
          <w:rPr>
            <w:rStyle w:val="731"/>
            <w:rFonts w:ascii="Times New Roman" w:hAnsi="Times New Roman" w:eastAsia="Times New Roman" w:cs="Times New Roman"/>
            <w:sz w:val="22"/>
            <w:szCs w:val="22"/>
          </w:rPr>
          <w:t xml:space="preserve">https://doi.org/10.1257/aer.89.1.22</w:t>
        </w:r>
      </w:hyperlink>
      <w:r>
        <w:rPr>
          <w:rFonts w:ascii="Times New Roman" w:hAnsi="Times New Roman" w:eastAsia="Times New Roman" w:cs="Times New Roman"/>
          <w:sz w:val="22"/>
          <w:szCs w:val="22"/>
        </w:rPr>
        <w:t xml:space="preserve">.</w:t>
      </w:r>
      <w:bookmarkEnd w:id="58"/>
      <w:r>
        <w:rPr>
          <w:sz w:val="22"/>
          <w:szCs w:val="22"/>
        </w:rPr>
      </w:r>
      <w:r>
        <w:rPr>
          <w:rFonts w:ascii="Times New Roman" w:hAnsi="Times New Roman" w:eastAsia="Times New Roman" w:cs="Times New Roman"/>
          <w:sz w:val="22"/>
          <w:szCs w:val="22"/>
        </w:rPr>
      </w:r>
    </w:p>
    <w:p>
      <w:pPr>
        <w:pStyle w:val="696"/>
        <w:pBdr/>
        <w:spacing/>
        <w:ind/>
        <w:jc w:val="both"/>
        <w:rPr>
          <w:rFonts w:ascii="Times New Roman" w:hAnsi="Times New Roman" w:cs="Times New Roman"/>
          <w:sz w:val="22"/>
          <w:szCs w:val="22"/>
        </w:rPr>
      </w:pPr>
      <w:r>
        <w:rPr>
          <w:rFonts w:ascii="Times New Roman" w:hAnsi="Times New Roman" w:eastAsia="Times New Roman" w:cs="Times New Roman"/>
          <w:sz w:val="22"/>
          <w:szCs w:val="22"/>
        </w:rPr>
      </w:r>
      <w:bookmarkStart w:id="59" w:name="ref-wooldridge2010econometric"/>
      <w:r>
        <w:rPr>
          <w:rFonts w:ascii="Times New Roman" w:hAnsi="Times New Roman" w:eastAsia="Times New Roman" w:cs="Times New Roman"/>
          <w:sz w:val="22"/>
          <w:szCs w:val="22"/>
        </w:rPr>
        <w:t xml:space="preserve">Wooldridge, Jeffrey M. 2010.</w:t>
      </w:r>
      <w:r>
        <w:rPr>
          <w:rFonts w:ascii="Times New Roman" w:hAnsi="Times New Roman" w:eastAsia="Times New Roman" w:cs="Times New Roman"/>
          <w:sz w:val="22"/>
          <w:szCs w:val="22"/>
        </w:rPr>
        <w:t xml:space="preserve"> </w:t>
      </w:r>
      <w:r>
        <w:rPr>
          <w:rFonts w:ascii="Times New Roman" w:hAnsi="Times New Roman" w:eastAsia="Times New Roman" w:cs="Times New Roman"/>
          <w:i/>
          <w:iCs/>
          <w:sz w:val="22"/>
          <w:szCs w:val="22"/>
        </w:rPr>
        <w:t xml:space="preserve">Econometric analysis of cross section and panel data</w:t>
      </w:r>
      <w:r>
        <w:rPr>
          <w:rFonts w:ascii="Times New Roman" w:hAnsi="Times New Roman" w:eastAsia="Times New Roman" w:cs="Times New Roman"/>
          <w:sz w:val="22"/>
          <w:szCs w:val="22"/>
        </w:rPr>
        <w:t xml:space="preserve">. 2.ª ed. MIT press.</w:t>
      </w:r>
      <w:bookmarkEnd w:id="59"/>
      <w:r>
        <w:rPr>
          <w:sz w:val="22"/>
          <w:szCs w:val="22"/>
        </w:rPr>
      </w:r>
      <w:bookmarkEnd w:id="60"/>
      <w:r>
        <w:rPr>
          <w:sz w:val="22"/>
          <w:szCs w:val="22"/>
        </w:rPr>
      </w:r>
      <w:bookmarkEnd w:id="61"/>
      <w:r>
        <w:rPr>
          <w:sz w:val="22"/>
          <w:szCs w:val="22"/>
        </w:rPr>
      </w:r>
      <w:r>
        <w:rPr>
          <w:rFonts w:ascii="Times New Roman" w:hAnsi="Times New Roman" w:eastAsia="Times New Roman" w:cs="Times New Roman"/>
          <w:sz w:val="22"/>
          <w:szCs w:val="22"/>
        </w:rPr>
      </w:r>
    </w:p>
    <w:sectPr>
      <w:footnotePr>
        <w:numRestart w:val="eachSect"/>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Consolas">
    <w:panose1 w:val="020B0609020204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s"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684"/>
    <w:next w:val="684"/>
    <w:link w:val="164"/>
    <w:uiPriority w:val="29"/>
    <w:qFormat/>
    <w:pPr>
      <w:pBdr/>
      <w:spacing w:before="160"/>
      <w:ind/>
      <w:jc w:val="center"/>
    </w:pPr>
    <w:rPr>
      <w:i/>
      <w:iCs/>
      <w:color w:val="404040" w:themeColor="text1" w:themeTint="BF"/>
    </w:rPr>
  </w:style>
  <w:style w:type="character" w:styleId="164">
    <w:name w:val="Quote Char"/>
    <w:basedOn w:val="718"/>
    <w:link w:val="163"/>
    <w:uiPriority w:val="29"/>
    <w:pPr>
      <w:pBdr/>
      <w:spacing/>
      <w:ind/>
    </w:pPr>
    <w:rPr>
      <w:i/>
      <w:iCs/>
      <w:color w:val="404040" w:themeColor="text1" w:themeTint="BF"/>
    </w:rPr>
  </w:style>
  <w:style w:type="paragraph" w:styleId="165">
    <w:name w:val="List Paragraph"/>
    <w:basedOn w:val="684"/>
    <w:uiPriority w:val="34"/>
    <w:qFormat/>
    <w:pPr>
      <w:pBdr/>
      <w:spacing/>
      <w:ind w:left="720"/>
      <w:contextualSpacing w:val="true"/>
    </w:pPr>
  </w:style>
  <w:style w:type="character" w:styleId="166">
    <w:name w:val="Intense Emphasis"/>
    <w:basedOn w:val="718"/>
    <w:uiPriority w:val="21"/>
    <w:qFormat/>
    <w:pPr>
      <w:pBdr/>
      <w:spacing/>
      <w:ind/>
    </w:pPr>
    <w:rPr>
      <w:i/>
      <w:iCs/>
      <w:color w:val="0f4761" w:themeColor="accent1" w:themeShade="BF"/>
    </w:rPr>
  </w:style>
  <w:style w:type="paragraph" w:styleId="167">
    <w:name w:val="Intense Quote"/>
    <w:basedOn w:val="684"/>
    <w:next w:val="68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18"/>
    <w:link w:val="167"/>
    <w:uiPriority w:val="30"/>
    <w:pPr>
      <w:pBdr/>
      <w:spacing/>
      <w:ind/>
    </w:pPr>
    <w:rPr>
      <w:i/>
      <w:iCs/>
      <w:color w:val="0f4761" w:themeColor="accent1" w:themeShade="BF"/>
    </w:rPr>
  </w:style>
  <w:style w:type="character" w:styleId="169">
    <w:name w:val="Intense Reference"/>
    <w:basedOn w:val="718"/>
    <w:uiPriority w:val="32"/>
    <w:qFormat/>
    <w:pPr>
      <w:pBdr/>
      <w:spacing/>
      <w:ind/>
    </w:pPr>
    <w:rPr>
      <w:b/>
      <w:bCs/>
      <w:smallCaps/>
      <w:color w:val="0f4761" w:themeColor="accent1" w:themeShade="BF"/>
      <w:spacing w:val="5"/>
    </w:rPr>
  </w:style>
  <w:style w:type="paragraph" w:styleId="170">
    <w:name w:val="No Spacing"/>
    <w:basedOn w:val="684"/>
    <w:uiPriority w:val="1"/>
    <w:qFormat/>
    <w:pPr>
      <w:pBdr/>
      <w:spacing w:after="0" w:line="240" w:lineRule="auto"/>
      <w:ind/>
    </w:pPr>
  </w:style>
  <w:style w:type="character" w:styleId="171">
    <w:name w:val="Subtle Emphasis"/>
    <w:basedOn w:val="718"/>
    <w:uiPriority w:val="19"/>
    <w:qFormat/>
    <w:pPr>
      <w:pBdr/>
      <w:spacing/>
      <w:ind/>
    </w:pPr>
    <w:rPr>
      <w:i/>
      <w:iCs/>
      <w:color w:val="404040" w:themeColor="text1" w:themeTint="BF"/>
    </w:rPr>
  </w:style>
  <w:style w:type="character" w:styleId="172">
    <w:name w:val="Emphasis"/>
    <w:basedOn w:val="718"/>
    <w:uiPriority w:val="20"/>
    <w:qFormat/>
    <w:pPr>
      <w:pBdr/>
      <w:spacing/>
      <w:ind/>
    </w:pPr>
    <w:rPr>
      <w:i/>
      <w:iCs/>
    </w:rPr>
  </w:style>
  <w:style w:type="character" w:styleId="173">
    <w:name w:val="Strong"/>
    <w:basedOn w:val="718"/>
    <w:uiPriority w:val="22"/>
    <w:qFormat/>
    <w:pPr>
      <w:pBdr/>
      <w:spacing/>
      <w:ind/>
    </w:pPr>
    <w:rPr>
      <w:b/>
      <w:bCs/>
    </w:rPr>
  </w:style>
  <w:style w:type="character" w:styleId="174">
    <w:name w:val="Subtle Reference"/>
    <w:basedOn w:val="718"/>
    <w:uiPriority w:val="31"/>
    <w:qFormat/>
    <w:pPr>
      <w:pBdr/>
      <w:spacing/>
      <w:ind/>
    </w:pPr>
    <w:rPr>
      <w:smallCaps/>
      <w:color w:val="5a5a5a" w:themeColor="text1" w:themeTint="A5"/>
    </w:rPr>
  </w:style>
  <w:style w:type="character" w:styleId="175">
    <w:name w:val="Book Title"/>
    <w:basedOn w:val="718"/>
    <w:uiPriority w:val="33"/>
    <w:qFormat/>
    <w:pPr>
      <w:pBdr/>
      <w:spacing/>
      <w:ind/>
    </w:pPr>
    <w:rPr>
      <w:b/>
      <w:bCs/>
      <w:i/>
      <w:iCs/>
      <w:spacing w:val="5"/>
    </w:rPr>
  </w:style>
  <w:style w:type="paragraph" w:styleId="176">
    <w:name w:val="Header"/>
    <w:basedOn w:val="684"/>
    <w:link w:val="177"/>
    <w:uiPriority w:val="99"/>
    <w:unhideWhenUsed/>
    <w:pPr>
      <w:pBdr/>
      <w:tabs>
        <w:tab w:val="center" w:leader="none" w:pos="4844"/>
        <w:tab w:val="right" w:leader="none" w:pos="9689"/>
      </w:tabs>
      <w:spacing w:after="0" w:line="240" w:lineRule="auto"/>
      <w:ind/>
    </w:pPr>
  </w:style>
  <w:style w:type="character" w:styleId="177">
    <w:name w:val="Header Char"/>
    <w:basedOn w:val="718"/>
    <w:link w:val="176"/>
    <w:uiPriority w:val="99"/>
    <w:pPr>
      <w:pBdr/>
      <w:spacing/>
      <w:ind/>
    </w:pPr>
  </w:style>
  <w:style w:type="paragraph" w:styleId="178">
    <w:name w:val="Footer"/>
    <w:basedOn w:val="684"/>
    <w:link w:val="179"/>
    <w:uiPriority w:val="99"/>
    <w:unhideWhenUsed/>
    <w:pPr>
      <w:pBdr/>
      <w:tabs>
        <w:tab w:val="center" w:leader="none" w:pos="4844"/>
        <w:tab w:val="right" w:leader="none" w:pos="9689"/>
      </w:tabs>
      <w:spacing w:after="0" w:line="240" w:lineRule="auto"/>
      <w:ind/>
    </w:pPr>
  </w:style>
  <w:style w:type="character" w:styleId="179">
    <w:name w:val="Footer Char"/>
    <w:basedOn w:val="718"/>
    <w:link w:val="178"/>
    <w:uiPriority w:val="99"/>
    <w:pPr>
      <w:pBdr/>
      <w:spacing/>
      <w:ind/>
    </w:pPr>
  </w:style>
  <w:style w:type="character" w:styleId="182">
    <w:name w:val="Footnote Text Char"/>
    <w:basedOn w:val="718"/>
    <w:link w:val="716"/>
    <w:uiPriority w:val="99"/>
    <w:semiHidden/>
    <w:pPr>
      <w:pBdr/>
      <w:spacing/>
      <w:ind/>
    </w:pPr>
    <w:rPr>
      <w:sz w:val="20"/>
      <w:szCs w:val="20"/>
    </w:rPr>
  </w:style>
  <w:style w:type="paragraph" w:styleId="184">
    <w:name w:val="endnote text"/>
    <w:basedOn w:val="684"/>
    <w:link w:val="185"/>
    <w:uiPriority w:val="99"/>
    <w:semiHidden/>
    <w:unhideWhenUsed/>
    <w:pPr>
      <w:pBdr/>
      <w:spacing w:after="0" w:line="240" w:lineRule="auto"/>
      <w:ind/>
    </w:pPr>
    <w:rPr>
      <w:sz w:val="20"/>
      <w:szCs w:val="20"/>
    </w:rPr>
  </w:style>
  <w:style w:type="character" w:styleId="185">
    <w:name w:val="Endnote Text Char"/>
    <w:basedOn w:val="718"/>
    <w:link w:val="184"/>
    <w:uiPriority w:val="99"/>
    <w:semiHidden/>
    <w:pPr>
      <w:pBdr/>
      <w:spacing/>
      <w:ind/>
    </w:pPr>
    <w:rPr>
      <w:sz w:val="20"/>
      <w:szCs w:val="20"/>
    </w:rPr>
  </w:style>
  <w:style w:type="character" w:styleId="186">
    <w:name w:val="endnote reference"/>
    <w:basedOn w:val="718"/>
    <w:uiPriority w:val="99"/>
    <w:semiHidden/>
    <w:unhideWhenUsed/>
    <w:pPr>
      <w:pBdr/>
      <w:spacing/>
      <w:ind/>
    </w:pPr>
    <w:rPr>
      <w:vertAlign w:val="superscript"/>
    </w:rPr>
  </w:style>
  <w:style w:type="character" w:styleId="188">
    <w:name w:val="FollowedHyperlink"/>
    <w:basedOn w:val="718"/>
    <w:uiPriority w:val="99"/>
    <w:semiHidden/>
    <w:unhideWhenUsed/>
    <w:pPr>
      <w:pBdr/>
      <w:spacing/>
      <w:ind/>
    </w:pPr>
    <w:rPr>
      <w:color w:val="954f72" w:themeColor="followedHyperlink"/>
      <w:u w:val="single"/>
    </w:rPr>
  </w:style>
  <w:style w:type="paragraph" w:styleId="189">
    <w:name w:val="toc 1"/>
    <w:basedOn w:val="684"/>
    <w:next w:val="684"/>
    <w:uiPriority w:val="39"/>
    <w:unhideWhenUsed/>
    <w:pPr>
      <w:pBdr/>
      <w:spacing w:after="100"/>
      <w:ind/>
    </w:pPr>
  </w:style>
  <w:style w:type="paragraph" w:styleId="190">
    <w:name w:val="toc 2"/>
    <w:basedOn w:val="684"/>
    <w:next w:val="684"/>
    <w:uiPriority w:val="39"/>
    <w:unhideWhenUsed/>
    <w:pPr>
      <w:pBdr/>
      <w:spacing w:after="100"/>
      <w:ind w:left="220"/>
    </w:pPr>
  </w:style>
  <w:style w:type="paragraph" w:styleId="191">
    <w:name w:val="toc 3"/>
    <w:basedOn w:val="684"/>
    <w:next w:val="684"/>
    <w:uiPriority w:val="39"/>
    <w:unhideWhenUsed/>
    <w:pPr>
      <w:pBdr/>
      <w:spacing w:after="100"/>
      <w:ind w:left="440"/>
    </w:pPr>
  </w:style>
  <w:style w:type="paragraph" w:styleId="192">
    <w:name w:val="toc 4"/>
    <w:basedOn w:val="684"/>
    <w:next w:val="684"/>
    <w:uiPriority w:val="39"/>
    <w:unhideWhenUsed/>
    <w:pPr>
      <w:pBdr/>
      <w:spacing w:after="100"/>
      <w:ind w:left="660"/>
    </w:pPr>
  </w:style>
  <w:style w:type="paragraph" w:styleId="193">
    <w:name w:val="toc 5"/>
    <w:basedOn w:val="684"/>
    <w:next w:val="684"/>
    <w:uiPriority w:val="39"/>
    <w:unhideWhenUsed/>
    <w:pPr>
      <w:pBdr/>
      <w:spacing w:after="100"/>
      <w:ind w:left="880"/>
    </w:pPr>
  </w:style>
  <w:style w:type="paragraph" w:styleId="194">
    <w:name w:val="toc 6"/>
    <w:basedOn w:val="684"/>
    <w:next w:val="684"/>
    <w:uiPriority w:val="39"/>
    <w:unhideWhenUsed/>
    <w:pPr>
      <w:pBdr/>
      <w:spacing w:after="100"/>
      <w:ind w:left="1100"/>
    </w:pPr>
  </w:style>
  <w:style w:type="paragraph" w:styleId="195">
    <w:name w:val="toc 7"/>
    <w:basedOn w:val="684"/>
    <w:next w:val="684"/>
    <w:uiPriority w:val="39"/>
    <w:unhideWhenUsed/>
    <w:pPr>
      <w:pBdr/>
      <w:spacing w:after="100"/>
      <w:ind w:left="1320"/>
    </w:pPr>
  </w:style>
  <w:style w:type="paragraph" w:styleId="196">
    <w:name w:val="toc 8"/>
    <w:basedOn w:val="684"/>
    <w:next w:val="684"/>
    <w:uiPriority w:val="39"/>
    <w:unhideWhenUsed/>
    <w:pPr>
      <w:pBdr/>
      <w:spacing w:after="100"/>
      <w:ind w:left="1540"/>
    </w:pPr>
  </w:style>
  <w:style w:type="paragraph" w:styleId="197">
    <w:name w:val="toc 9"/>
    <w:basedOn w:val="684"/>
    <w:next w:val="684"/>
    <w:uiPriority w:val="39"/>
    <w:unhideWhenUsed/>
    <w:pPr>
      <w:pBdr/>
      <w:spacing w:after="100"/>
      <w:ind w:left="1760"/>
    </w:pPr>
  </w:style>
  <w:style w:type="character" w:styleId="198">
    <w:name w:val="Placeholder Text"/>
    <w:basedOn w:val="718"/>
    <w:uiPriority w:val="99"/>
    <w:semiHidden/>
    <w:pPr>
      <w:pBdr/>
      <w:spacing/>
      <w:ind/>
    </w:pPr>
    <w:rPr>
      <w:color w:val="666666"/>
    </w:rPr>
  </w:style>
  <w:style w:type="paragraph" w:styleId="209">
    <w:name w:val="table of figures"/>
    <w:basedOn w:val="684"/>
    <w:next w:val="684"/>
    <w:uiPriority w:val="99"/>
    <w:unhideWhenUsed/>
    <w:pPr>
      <w:pBdr/>
      <w:spacing w:after="0" w:afterAutospacing="0"/>
      <w:ind/>
    </w:pPr>
  </w:style>
  <w:style w:type="paragraph" w:styleId="684" w:default="1">
    <w:name w:val="Normal"/>
    <w:qFormat/>
    <w:pPr>
      <w:pBdr/>
      <w:spacing/>
      <w:ind/>
    </w:pPr>
  </w:style>
  <w:style w:type="paragraph" w:styleId="685">
    <w:name w:val="Body Text"/>
    <w:basedOn w:val="684"/>
    <w:link w:val="727"/>
    <w:qFormat/>
    <w:pPr>
      <w:pBdr/>
      <w:spacing w:after="180" w:before="180"/>
      <w:ind/>
    </w:pPr>
  </w:style>
  <w:style w:type="paragraph" w:styleId="686" w:customStyle="1">
    <w:name w:val="First Paragraph"/>
    <w:basedOn w:val="685"/>
    <w:next w:val="685"/>
    <w:qFormat/>
    <w:pPr>
      <w:pBdr/>
      <w:spacing/>
      <w:ind/>
    </w:pPr>
  </w:style>
  <w:style w:type="paragraph" w:styleId="687" w:customStyle="1">
    <w:name w:val="Compact"/>
    <w:basedOn w:val="685"/>
    <w:qFormat/>
    <w:pPr>
      <w:pBdr/>
      <w:spacing w:after="36" w:before="36"/>
      <w:ind/>
    </w:pPr>
  </w:style>
  <w:style w:type="paragraph" w:styleId="688">
    <w:name w:val="Title"/>
    <w:basedOn w:val="684"/>
    <w:next w:val="685"/>
    <w:link w:val="689"/>
    <w:uiPriority w:val="10"/>
    <w:qFormat/>
    <w:pPr>
      <w:pBdr/>
      <w:spacing w:after="80" w:line="240" w:lineRule="auto"/>
      <w:ind/>
      <w:contextualSpacing w:val="true"/>
      <w:jc w:val="center"/>
    </w:pPr>
    <w:rPr>
      <w:rFonts w:asciiTheme="majorHAnsi" w:hAnsiTheme="majorHAnsi" w:eastAsiaTheme="majorEastAsia" w:cstheme="majorBidi"/>
      <w:b/>
      <w:bCs/>
      <w:color w:val="000000"/>
      <w:sz w:val="24"/>
      <w:szCs w:val="24"/>
    </w:rPr>
  </w:style>
  <w:style w:type="character" w:styleId="689" w:customStyle="1">
    <w:name w:val="Title Char"/>
    <w:basedOn w:val="718"/>
    <w:link w:val="688"/>
    <w:uiPriority w:val="10"/>
    <w:pPr>
      <w:pBdr/>
      <w:spacing/>
      <w:ind/>
    </w:pPr>
    <w:rPr>
      <w:rFonts w:asciiTheme="majorHAnsi" w:hAnsiTheme="majorHAnsi" w:eastAsiaTheme="majorEastAsia" w:cstheme="majorBidi"/>
      <w:sz w:val="56"/>
      <w:szCs w:val="56"/>
    </w:rPr>
  </w:style>
  <w:style w:type="paragraph" w:styleId="690">
    <w:name w:val="Subtitle"/>
    <w:basedOn w:val="688"/>
    <w:next w:val="685"/>
    <w:link w:val="691"/>
    <w:uiPriority w:val="11"/>
    <w:qFormat/>
    <w:pPr>
      <w:numPr>
        <w:ilvl w:val="1"/>
      </w:numPr>
      <w:pBdr/>
      <w:spacing/>
      <w:ind/>
    </w:pPr>
    <w:rPr>
      <w:rFonts w:eastAsiaTheme="majorEastAsia" w:cstheme="majorBidi"/>
      <w:b/>
      <w:bCs/>
      <w:color w:val="000000"/>
      <w:spacing w:val="15"/>
      <w:sz w:val="24"/>
      <w:szCs w:val="24"/>
    </w:rPr>
  </w:style>
  <w:style w:type="character" w:styleId="691" w:customStyle="1">
    <w:name w:val="Subtitle Char"/>
    <w:basedOn w:val="718"/>
    <w:link w:val="690"/>
    <w:uiPriority w:val="11"/>
    <w:pPr>
      <w:pBdr/>
      <w:spacing/>
      <w:ind/>
    </w:pPr>
    <w:rPr>
      <w:rFonts w:eastAsiaTheme="majorEastAsia" w:cstheme="majorBidi"/>
      <w:color w:val="595959" w:themeColor="text1" w:themeTint="A6"/>
      <w:spacing w:val="15"/>
      <w:sz w:val="28"/>
      <w:szCs w:val="28"/>
    </w:rPr>
  </w:style>
  <w:style w:type="paragraph" w:styleId="692" w:customStyle="1">
    <w:name w:val="Author"/>
    <w:basedOn w:val="688"/>
    <w:next w:val="685"/>
    <w:qFormat/>
    <w:pPr>
      <w:keepNext w:val="true"/>
      <w:keepLines w:val="true"/>
      <w:pBdr/>
      <w:spacing/>
      <w:ind/>
    </w:pPr>
    <w:rPr>
      <w:sz w:val="24"/>
      <w:szCs w:val="24"/>
    </w:rPr>
  </w:style>
  <w:style w:type="paragraph" w:styleId="693">
    <w:name w:val="Date"/>
    <w:basedOn w:val="688"/>
    <w:next w:val="685"/>
    <w:qFormat/>
    <w:pPr>
      <w:keepNext w:val="true"/>
      <w:keepLines w:val="true"/>
      <w:pBdr/>
      <w:spacing/>
      <w:ind/>
    </w:pPr>
    <w:rPr>
      <w:sz w:val="24"/>
      <w:szCs w:val="24"/>
    </w:rPr>
  </w:style>
  <w:style w:type="paragraph" w:styleId="694" w:customStyle="1">
    <w:name w:val="Abstract Title"/>
    <w:basedOn w:val="684"/>
    <w:next w:val="695"/>
    <w:qFormat/>
    <w:pPr>
      <w:keepNext w:val="true"/>
      <w:keepLines w:val="true"/>
      <w:pBdr/>
      <w:spacing w:after="0" w:before="300"/>
      <w:ind/>
      <w:jc w:val="center"/>
    </w:pPr>
    <w:rPr>
      <w:b/>
      <w:sz w:val="20"/>
      <w:szCs w:val="20"/>
    </w:rPr>
  </w:style>
  <w:style w:type="paragraph" w:styleId="695" w:customStyle="1">
    <w:name w:val="Abstract"/>
    <w:basedOn w:val="684"/>
    <w:next w:val="685"/>
    <w:qFormat/>
    <w:pPr>
      <w:keepNext w:val="true"/>
      <w:keepLines w:val="true"/>
      <w:pBdr/>
      <w:spacing w:after="300" w:before="100"/>
      <w:ind/>
    </w:pPr>
    <w:rPr>
      <w:sz w:val="20"/>
      <w:szCs w:val="20"/>
    </w:rPr>
  </w:style>
  <w:style w:type="paragraph" w:styleId="696">
    <w:name w:val="Bibliography"/>
    <w:basedOn w:val="684"/>
    <w:next w:val="696"/>
    <w:qFormat/>
    <w:pPr>
      <w:pBdr/>
      <w:spacing/>
      <w:ind w:hanging="720" w:left="720"/>
    </w:pPr>
  </w:style>
  <w:style w:type="paragraph" w:styleId="697">
    <w:name w:val="Heading 1"/>
    <w:basedOn w:val="684"/>
    <w:next w:val="685"/>
    <w:link w:val="706"/>
    <w:uiPriority w:val="9"/>
    <w:qFormat/>
    <w:pPr>
      <w:keepNext w:val="true"/>
      <w:keepLines w:val="true"/>
      <w:pBdr/>
      <w:spacing w:after="80" w:before="360"/>
      <w:ind/>
      <w:outlineLvl w:val="0"/>
    </w:pPr>
    <w:rPr>
      <w:rFonts w:asciiTheme="majorHAnsi" w:hAnsiTheme="majorHAnsi" w:eastAsiaTheme="majorEastAsia" w:cstheme="majorBidi"/>
      <w:b/>
      <w:bCs/>
      <w:color w:val="000000"/>
      <w:sz w:val="24"/>
      <w:szCs w:val="24"/>
    </w:rPr>
  </w:style>
  <w:style w:type="paragraph" w:styleId="698">
    <w:name w:val="Heading 2"/>
    <w:basedOn w:val="684"/>
    <w:next w:val="685"/>
    <w:link w:val="707"/>
    <w:uiPriority w:val="9"/>
    <w:semiHidden/>
    <w:unhideWhenUsed/>
    <w:qFormat/>
    <w:pPr>
      <w:keepNext w:val="true"/>
      <w:keepLines w:val="true"/>
      <w:pBdr/>
      <w:spacing w:after="80" w:before="160"/>
      <w:ind/>
      <w:outlineLvl w:val="1"/>
    </w:pPr>
    <w:rPr>
      <w:rFonts w:asciiTheme="majorHAnsi" w:hAnsiTheme="majorHAnsi" w:eastAsiaTheme="majorEastAsia" w:cstheme="majorBidi"/>
      <w:b/>
      <w:bCs/>
      <w:color w:val="000000"/>
      <w:sz w:val="24"/>
      <w:szCs w:val="24"/>
    </w:rPr>
  </w:style>
  <w:style w:type="paragraph" w:styleId="699">
    <w:name w:val="Heading 3"/>
    <w:basedOn w:val="684"/>
    <w:next w:val="685"/>
    <w:link w:val="708"/>
    <w:uiPriority w:val="9"/>
    <w:semiHidden/>
    <w:unhideWhenUsed/>
    <w:qFormat/>
    <w:pPr>
      <w:keepNext w:val="true"/>
      <w:keepLines w:val="true"/>
      <w:pBdr/>
      <w:spacing w:after="80" w:before="160"/>
      <w:ind/>
      <w:outlineLvl w:val="2"/>
    </w:pPr>
    <w:rPr>
      <w:rFonts w:eastAsiaTheme="majorEastAsia" w:cstheme="majorBidi"/>
      <w:b/>
      <w:bCs/>
      <w:color w:val="000000"/>
      <w:sz w:val="24"/>
      <w:szCs w:val="24"/>
    </w:rPr>
  </w:style>
  <w:style w:type="paragraph" w:styleId="700">
    <w:name w:val="Heading 4"/>
    <w:basedOn w:val="684"/>
    <w:next w:val="685"/>
    <w:link w:val="709"/>
    <w:uiPriority w:val="9"/>
    <w:semiHidden/>
    <w:unhideWhenUsed/>
    <w:qFormat/>
    <w:pPr>
      <w:keepNext w:val="true"/>
      <w:keepLines w:val="true"/>
      <w:pBdr/>
      <w:spacing w:after="40" w:before="80"/>
      <w:ind/>
      <w:outlineLvl w:val="3"/>
    </w:pPr>
    <w:rPr>
      <w:rFonts w:eastAsiaTheme="majorEastAsia" w:cstheme="majorBidi"/>
      <w:b/>
      <w:bCs/>
      <w:i/>
      <w:iCs/>
      <w:color w:val="000000"/>
      <w:sz w:val="24"/>
      <w:szCs w:val="24"/>
    </w:rPr>
  </w:style>
  <w:style w:type="paragraph" w:styleId="701">
    <w:name w:val="Heading 5"/>
    <w:basedOn w:val="684"/>
    <w:next w:val="685"/>
    <w:link w:val="710"/>
    <w:uiPriority w:val="9"/>
    <w:semiHidden/>
    <w:unhideWhenUsed/>
    <w:qFormat/>
    <w:pPr>
      <w:keepNext w:val="true"/>
      <w:keepLines w:val="true"/>
      <w:pBdr/>
      <w:spacing w:after="40" w:before="80"/>
      <w:ind/>
      <w:outlineLvl w:val="4"/>
    </w:pPr>
    <w:rPr>
      <w:rFonts w:eastAsiaTheme="majorEastAsia" w:cstheme="majorBidi"/>
      <w:b/>
      <w:bCs/>
      <w:color w:val="000000"/>
      <w:sz w:val="24"/>
      <w:szCs w:val="24"/>
    </w:rPr>
  </w:style>
  <w:style w:type="paragraph" w:styleId="702">
    <w:name w:val="Heading 6"/>
    <w:basedOn w:val="684"/>
    <w:next w:val="685"/>
    <w:link w:val="711"/>
    <w:uiPriority w:val="9"/>
    <w:semiHidden/>
    <w:unhideWhenUsed/>
    <w:qFormat/>
    <w:pPr>
      <w:keepNext w:val="true"/>
      <w:keepLines w:val="true"/>
      <w:pBdr/>
      <w:spacing w:after="0" w:before="40"/>
      <w:ind/>
      <w:outlineLvl w:val="5"/>
    </w:pPr>
    <w:rPr>
      <w:rFonts w:eastAsiaTheme="majorEastAsia" w:cstheme="majorBidi"/>
      <w:b/>
      <w:bCs/>
      <w:i/>
      <w:iCs/>
      <w:color w:val="000000"/>
      <w:sz w:val="24"/>
      <w:szCs w:val="24"/>
    </w:rPr>
  </w:style>
  <w:style w:type="paragraph" w:styleId="703">
    <w:name w:val="Heading 7"/>
    <w:basedOn w:val="684"/>
    <w:next w:val="685"/>
    <w:link w:val="712"/>
    <w:uiPriority w:val="9"/>
    <w:semiHidden/>
    <w:unhideWhenUsed/>
    <w:qFormat/>
    <w:pPr>
      <w:keepNext w:val="true"/>
      <w:keepLines w:val="true"/>
      <w:pBdr/>
      <w:spacing w:after="0" w:before="40"/>
      <w:ind/>
      <w:outlineLvl w:val="6"/>
    </w:pPr>
    <w:rPr>
      <w:rFonts w:eastAsiaTheme="majorEastAsia" w:cstheme="majorBidi"/>
      <w:b/>
      <w:bCs/>
      <w:color w:val="000000"/>
      <w:sz w:val="24"/>
      <w:szCs w:val="24"/>
    </w:rPr>
  </w:style>
  <w:style w:type="paragraph" w:styleId="704">
    <w:name w:val="Heading 8"/>
    <w:basedOn w:val="684"/>
    <w:next w:val="685"/>
    <w:link w:val="713"/>
    <w:uiPriority w:val="9"/>
    <w:semiHidden/>
    <w:unhideWhenUsed/>
    <w:qFormat/>
    <w:pPr>
      <w:keepNext w:val="true"/>
      <w:keepLines w:val="true"/>
      <w:pBdr/>
      <w:spacing w:after="0"/>
      <w:ind/>
      <w:outlineLvl w:val="7"/>
    </w:pPr>
    <w:rPr>
      <w:rFonts w:eastAsiaTheme="majorEastAsia" w:cstheme="majorBidi"/>
      <w:b/>
      <w:bCs/>
      <w:i/>
      <w:iCs/>
      <w:color w:val="000000"/>
      <w:sz w:val="24"/>
      <w:szCs w:val="24"/>
    </w:rPr>
  </w:style>
  <w:style w:type="paragraph" w:styleId="705">
    <w:name w:val="Heading 9"/>
    <w:basedOn w:val="684"/>
    <w:next w:val="685"/>
    <w:link w:val="714"/>
    <w:uiPriority w:val="9"/>
    <w:semiHidden/>
    <w:unhideWhenUsed/>
    <w:qFormat/>
    <w:pPr>
      <w:keepNext w:val="true"/>
      <w:keepLines w:val="true"/>
      <w:pBdr/>
      <w:spacing w:after="0"/>
      <w:ind/>
      <w:outlineLvl w:val="8"/>
    </w:pPr>
    <w:rPr>
      <w:rFonts w:eastAsiaTheme="majorEastAsia" w:cstheme="majorBidi"/>
      <w:b/>
      <w:bCs/>
      <w:color w:val="000000"/>
      <w:sz w:val="24"/>
      <w:szCs w:val="24"/>
    </w:rPr>
  </w:style>
  <w:style w:type="character" w:styleId="706" w:customStyle="1">
    <w:name w:val="Heading 1 Char"/>
    <w:basedOn w:val="718"/>
    <w:link w:val="697"/>
    <w:uiPriority w:val="9"/>
    <w:pPr>
      <w:pBdr/>
      <w:spacing/>
      <w:ind/>
    </w:pPr>
    <w:rPr>
      <w:rFonts w:asciiTheme="majorHAnsi" w:hAnsiTheme="majorHAnsi" w:eastAsiaTheme="majorEastAsia" w:cstheme="majorBidi"/>
      <w:color w:val="0f4761" w:themeColor="accent1" w:themeShade="BF"/>
      <w:sz w:val="40"/>
      <w:szCs w:val="40"/>
    </w:rPr>
  </w:style>
  <w:style w:type="character" w:styleId="707" w:customStyle="1">
    <w:name w:val="Heading 2 Char"/>
    <w:basedOn w:val="718"/>
    <w:link w:val="698"/>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08" w:customStyle="1">
    <w:name w:val="Heading 3 Char"/>
    <w:basedOn w:val="718"/>
    <w:link w:val="699"/>
    <w:uiPriority w:val="9"/>
    <w:semiHidden/>
    <w:pPr>
      <w:pBdr/>
      <w:spacing/>
      <w:ind/>
    </w:pPr>
    <w:rPr>
      <w:rFonts w:eastAsiaTheme="majorEastAsia" w:cstheme="majorBidi"/>
      <w:color w:val="0f4761" w:themeColor="accent1" w:themeShade="BF"/>
      <w:sz w:val="28"/>
      <w:szCs w:val="28"/>
    </w:rPr>
  </w:style>
  <w:style w:type="character" w:styleId="709" w:customStyle="1">
    <w:name w:val="Heading 4 Char"/>
    <w:basedOn w:val="718"/>
    <w:link w:val="700"/>
    <w:uiPriority w:val="9"/>
    <w:semiHidden/>
    <w:pPr>
      <w:pBdr/>
      <w:spacing/>
      <w:ind/>
    </w:pPr>
    <w:rPr>
      <w:rFonts w:eastAsiaTheme="majorEastAsia" w:cstheme="majorBidi"/>
      <w:i/>
      <w:iCs/>
      <w:color w:val="0f4761" w:themeColor="accent1" w:themeShade="BF"/>
    </w:rPr>
  </w:style>
  <w:style w:type="character" w:styleId="710" w:customStyle="1">
    <w:name w:val="Heading 5 Char"/>
    <w:basedOn w:val="718"/>
    <w:link w:val="701"/>
    <w:uiPriority w:val="9"/>
    <w:semiHidden/>
    <w:pPr>
      <w:pBdr/>
      <w:spacing/>
      <w:ind/>
    </w:pPr>
    <w:rPr>
      <w:rFonts w:eastAsiaTheme="majorEastAsia" w:cstheme="majorBidi"/>
      <w:color w:val="0f4761" w:themeColor="accent1" w:themeShade="BF"/>
    </w:rPr>
  </w:style>
  <w:style w:type="character" w:styleId="711" w:customStyle="1">
    <w:name w:val="Heading 6 Char"/>
    <w:basedOn w:val="718"/>
    <w:link w:val="702"/>
    <w:uiPriority w:val="9"/>
    <w:semiHidden/>
    <w:pPr>
      <w:pBdr/>
      <w:spacing/>
      <w:ind/>
    </w:pPr>
    <w:rPr>
      <w:rFonts w:eastAsiaTheme="majorEastAsia" w:cstheme="majorBidi"/>
      <w:i/>
      <w:iCs/>
      <w:color w:val="595959" w:themeColor="text1" w:themeTint="A6"/>
    </w:rPr>
  </w:style>
  <w:style w:type="character" w:styleId="712" w:customStyle="1">
    <w:name w:val="Heading 7 Char"/>
    <w:basedOn w:val="718"/>
    <w:link w:val="703"/>
    <w:uiPriority w:val="9"/>
    <w:semiHidden/>
    <w:pPr>
      <w:pBdr/>
      <w:spacing/>
      <w:ind/>
    </w:pPr>
    <w:rPr>
      <w:rFonts w:eastAsiaTheme="majorEastAsia" w:cstheme="majorBidi"/>
      <w:color w:val="595959" w:themeColor="text1" w:themeTint="A6"/>
    </w:rPr>
  </w:style>
  <w:style w:type="character" w:styleId="713" w:customStyle="1">
    <w:name w:val="Heading 8 Char"/>
    <w:basedOn w:val="718"/>
    <w:link w:val="704"/>
    <w:uiPriority w:val="9"/>
    <w:semiHidden/>
    <w:pPr>
      <w:pBdr/>
      <w:spacing/>
      <w:ind/>
    </w:pPr>
    <w:rPr>
      <w:rFonts w:eastAsiaTheme="majorEastAsia" w:cstheme="majorBidi"/>
      <w:i/>
      <w:iCs/>
      <w:color w:val="272727" w:themeColor="text1" w:themeTint="D8"/>
    </w:rPr>
  </w:style>
  <w:style w:type="character" w:styleId="714" w:customStyle="1">
    <w:name w:val="Heading 9 Char"/>
    <w:basedOn w:val="718"/>
    <w:link w:val="705"/>
    <w:uiPriority w:val="9"/>
    <w:semiHidden/>
    <w:pPr>
      <w:pBdr/>
      <w:spacing/>
      <w:ind/>
    </w:pPr>
    <w:rPr>
      <w:rFonts w:eastAsiaTheme="majorEastAsia" w:cstheme="majorBidi"/>
      <w:color w:val="272727" w:themeColor="text1" w:themeTint="D8"/>
    </w:rPr>
  </w:style>
  <w:style w:type="paragraph" w:styleId="715">
    <w:name w:val="Block Text"/>
    <w:basedOn w:val="685"/>
    <w:next w:val="685"/>
    <w:uiPriority w:val="9"/>
    <w:unhideWhenUsed/>
    <w:qFormat/>
    <w:pPr>
      <w:pBdr/>
      <w:spacing w:after="100" w:before="100"/>
      <w:ind w:right="480" w:firstLine="0" w:left="480"/>
    </w:pPr>
  </w:style>
  <w:style w:type="paragraph" w:styleId="716">
    <w:name w:val="footnote text"/>
    <w:basedOn w:val="684"/>
    <w:next w:val="716"/>
    <w:uiPriority w:val="9"/>
    <w:unhideWhenUsed/>
    <w:qFormat/>
    <w:pPr>
      <w:pBdr/>
      <w:spacing/>
      <w:ind/>
    </w:pPr>
  </w:style>
  <w:style w:type="paragraph" w:styleId="717">
    <w:name w:val="Footnote Block Text"/>
    <w:basedOn w:val="716"/>
    <w:next w:val="716"/>
    <w:uiPriority w:val="9"/>
    <w:unhideWhenUsed/>
    <w:qFormat/>
    <w:pPr>
      <w:pBdr/>
      <w:spacing w:after="100" w:before="100"/>
      <w:ind w:right="480" w:firstLine="0" w:left="480"/>
    </w:pPr>
  </w:style>
  <w:style w:type="character" w:styleId="718" w:default="1">
    <w:name w:val="Default Paragraph Font"/>
    <w:semiHidden/>
    <w:unhideWhenUsed/>
    <w:pPr>
      <w:pBdr/>
      <w:spacing/>
      <w:ind/>
    </w:pPr>
  </w:style>
  <w:style w:type="table" w:styleId="719">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customStyle="1">
    <w:name w:val="Definition Term"/>
    <w:basedOn w:val="684"/>
    <w:next w:val="721"/>
    <w:pPr>
      <w:keepNext w:val="true"/>
      <w:keepLines w:val="true"/>
      <w:pBdr/>
      <w:spacing w:after="0"/>
      <w:ind/>
    </w:pPr>
    <w:rPr>
      <w:b/>
    </w:rPr>
  </w:style>
  <w:style w:type="paragraph" w:styleId="721" w:customStyle="1">
    <w:name w:val="Definition"/>
    <w:basedOn w:val="684"/>
    <w:pPr>
      <w:pBdr/>
      <w:spacing/>
      <w:ind/>
    </w:pPr>
  </w:style>
  <w:style w:type="paragraph" w:styleId="722">
    <w:name w:val="Caption"/>
    <w:basedOn w:val="684"/>
    <w:link w:val="727"/>
    <w:pPr>
      <w:pBdr/>
      <w:spacing w:after="120" w:before="0"/>
      <w:ind/>
    </w:pPr>
    <w:rPr>
      <w:i/>
    </w:rPr>
  </w:style>
  <w:style w:type="paragraph" w:styleId="723" w:customStyle="1">
    <w:name w:val="Table Caption"/>
    <w:basedOn w:val="722"/>
    <w:pPr>
      <w:keepNext w:val="true"/>
      <w:pBdr/>
      <w:spacing/>
      <w:ind/>
    </w:pPr>
  </w:style>
  <w:style w:type="paragraph" w:styleId="724" w:customStyle="1">
    <w:name w:val="Image Caption"/>
    <w:basedOn w:val="722"/>
    <w:pPr>
      <w:pBdr/>
      <w:spacing/>
      <w:ind/>
    </w:pPr>
  </w:style>
  <w:style w:type="paragraph" w:styleId="725" w:customStyle="1">
    <w:name w:val="Figure"/>
    <w:basedOn w:val="684"/>
    <w:pPr>
      <w:pBdr/>
      <w:spacing/>
      <w:ind/>
    </w:pPr>
  </w:style>
  <w:style w:type="paragraph" w:styleId="726" w:customStyle="1">
    <w:name w:val="Captioned Figure"/>
    <w:basedOn w:val="725"/>
    <w:pPr>
      <w:keepNext w:val="true"/>
      <w:pBdr/>
      <w:spacing/>
      <w:ind/>
    </w:pPr>
  </w:style>
  <w:style w:type="character" w:styleId="727" w:customStyle="1">
    <w:name w:val="Body Text Char"/>
    <w:basedOn w:val="718"/>
    <w:link w:val="685"/>
    <w:pPr>
      <w:pBdr/>
      <w:spacing/>
      <w:ind/>
    </w:pPr>
  </w:style>
  <w:style w:type="character" w:styleId="728" w:customStyle="1">
    <w:name w:val="Verbatim Char"/>
    <w:basedOn w:val="727"/>
    <w:pPr>
      <w:pBdr/>
      <w:spacing/>
      <w:ind/>
    </w:pPr>
    <w:rPr>
      <w:rFonts w:ascii="Consolas" w:hAnsi="Consolas"/>
      <w:sz w:val="22"/>
    </w:rPr>
  </w:style>
  <w:style w:type="character" w:styleId="729" w:customStyle="1">
    <w:name w:val="Section Number"/>
    <w:basedOn w:val="727"/>
    <w:pPr>
      <w:pBdr/>
      <w:spacing/>
      <w:ind/>
    </w:pPr>
  </w:style>
  <w:style w:type="character" w:styleId="730">
    <w:name w:val="footnote reference"/>
    <w:basedOn w:val="727"/>
    <w:pPr>
      <w:pBdr/>
      <w:spacing/>
      <w:ind/>
    </w:pPr>
    <w:rPr>
      <w:vertAlign w:val="superscript"/>
    </w:rPr>
  </w:style>
  <w:style w:type="character" w:styleId="731">
    <w:name w:val="Hyperlink"/>
    <w:basedOn w:val="727"/>
    <w:pPr>
      <w:pBdr/>
      <w:spacing/>
      <w:ind/>
    </w:pPr>
    <w:rPr>
      <w:color w:val="4f81bd" w:themeColor="accent1"/>
    </w:rPr>
  </w:style>
  <w:style w:type="paragraph" w:styleId="732">
    <w:name w:val="TOC Heading"/>
    <w:basedOn w:val="697"/>
    <w:next w:val="685"/>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33" w:customStyle="1">
    <w:name w:val="Source Code"/>
    <w:basedOn w:val="684"/>
    <w:link w:val="728"/>
    <w:pPr>
      <w:pBdr/>
      <w:spacing/>
      <w:ind/>
    </w:pPr>
  </w:style>
  <w:style w:type="character" w:styleId="734" w:customStyle="1">
    <w:name w:val="KeywordTok"/>
    <w:basedOn w:val="728"/>
    <w:pPr>
      <w:pBdr/>
      <w:spacing/>
      <w:ind/>
    </w:pPr>
    <w:rPr>
      <w:color w:val="d73a49"/>
    </w:rPr>
  </w:style>
  <w:style w:type="character" w:styleId="735" w:customStyle="1">
    <w:name w:val="DataTypeTok"/>
    <w:basedOn w:val="728"/>
    <w:pPr>
      <w:pBdr/>
      <w:spacing/>
      <w:ind/>
    </w:pPr>
    <w:rPr>
      <w:color w:val="d73a49"/>
    </w:rPr>
  </w:style>
  <w:style w:type="character" w:styleId="736" w:customStyle="1">
    <w:name w:val="DecValTok"/>
    <w:basedOn w:val="728"/>
    <w:pPr>
      <w:pBdr/>
      <w:spacing/>
      <w:ind/>
    </w:pPr>
    <w:rPr>
      <w:color w:val="005cc5"/>
    </w:rPr>
  </w:style>
  <w:style w:type="character" w:styleId="737" w:customStyle="1">
    <w:name w:val="BaseNTok"/>
    <w:basedOn w:val="728"/>
    <w:pPr>
      <w:pBdr/>
      <w:spacing/>
      <w:ind/>
    </w:pPr>
    <w:rPr>
      <w:color w:val="005cc5"/>
    </w:rPr>
  </w:style>
  <w:style w:type="character" w:styleId="738" w:customStyle="1">
    <w:name w:val="FloatTok"/>
    <w:basedOn w:val="728"/>
    <w:pPr>
      <w:pBdr/>
      <w:spacing/>
      <w:ind/>
    </w:pPr>
    <w:rPr>
      <w:color w:val="005cc5"/>
    </w:rPr>
  </w:style>
  <w:style w:type="character" w:styleId="739" w:customStyle="1">
    <w:name w:val="ConstantTok"/>
    <w:basedOn w:val="728"/>
    <w:pPr>
      <w:pBdr/>
      <w:spacing/>
      <w:ind/>
    </w:pPr>
    <w:rPr>
      <w:color w:val="005cc5"/>
    </w:rPr>
  </w:style>
  <w:style w:type="character" w:styleId="740" w:customStyle="1">
    <w:name w:val="CharTok"/>
    <w:basedOn w:val="728"/>
    <w:pPr>
      <w:pBdr/>
      <w:spacing/>
      <w:ind/>
    </w:pPr>
    <w:rPr>
      <w:color w:val="032f62"/>
    </w:rPr>
  </w:style>
  <w:style w:type="character" w:styleId="741" w:customStyle="1">
    <w:name w:val="SpecialCharTok"/>
    <w:basedOn w:val="728"/>
    <w:pPr>
      <w:pBdr/>
      <w:spacing/>
      <w:ind/>
    </w:pPr>
    <w:rPr>
      <w:color w:val="005cc5"/>
    </w:rPr>
  </w:style>
  <w:style w:type="character" w:styleId="742" w:customStyle="1">
    <w:name w:val="StringTok"/>
    <w:basedOn w:val="728"/>
    <w:pPr>
      <w:pBdr/>
      <w:spacing/>
      <w:ind/>
    </w:pPr>
    <w:rPr>
      <w:color w:val="032f62"/>
    </w:rPr>
  </w:style>
  <w:style w:type="character" w:styleId="743" w:customStyle="1">
    <w:name w:val="VerbatimStringTok"/>
    <w:basedOn w:val="728"/>
    <w:pPr>
      <w:pBdr/>
      <w:spacing/>
      <w:ind/>
    </w:pPr>
    <w:rPr>
      <w:color w:val="032f62"/>
    </w:rPr>
  </w:style>
  <w:style w:type="character" w:styleId="744" w:customStyle="1">
    <w:name w:val="SpecialStringTok"/>
    <w:basedOn w:val="728"/>
    <w:pPr>
      <w:pBdr/>
      <w:spacing/>
      <w:ind/>
    </w:pPr>
    <w:rPr>
      <w:color w:val="032f62"/>
    </w:rPr>
  </w:style>
  <w:style w:type="character" w:styleId="745" w:customStyle="1">
    <w:name w:val="ImportTok"/>
    <w:basedOn w:val="728"/>
    <w:pPr>
      <w:pBdr/>
      <w:spacing/>
      <w:ind/>
    </w:pPr>
    <w:rPr>
      <w:color w:val="032f62"/>
    </w:rPr>
  </w:style>
  <w:style w:type="character" w:styleId="746" w:customStyle="1">
    <w:name w:val="CommentTok"/>
    <w:basedOn w:val="728"/>
    <w:pPr>
      <w:pBdr/>
      <w:spacing/>
      <w:ind/>
    </w:pPr>
    <w:rPr>
      <w:color w:val="6a737d"/>
    </w:rPr>
  </w:style>
  <w:style w:type="character" w:styleId="747" w:customStyle="1">
    <w:name w:val="DocumentationTok"/>
    <w:basedOn w:val="728"/>
    <w:pPr>
      <w:pBdr/>
      <w:spacing/>
      <w:ind/>
    </w:pPr>
    <w:rPr>
      <w:color w:val="6a737d"/>
    </w:rPr>
  </w:style>
  <w:style w:type="character" w:styleId="748" w:customStyle="1">
    <w:name w:val="AnnotationTok"/>
    <w:basedOn w:val="728"/>
    <w:pPr>
      <w:pBdr/>
      <w:spacing/>
      <w:ind/>
    </w:pPr>
    <w:rPr>
      <w:color w:val="6a737d"/>
    </w:rPr>
  </w:style>
  <w:style w:type="character" w:styleId="749" w:customStyle="1">
    <w:name w:val="CommentVarTok"/>
    <w:basedOn w:val="728"/>
    <w:pPr>
      <w:pBdr/>
      <w:spacing/>
      <w:ind/>
    </w:pPr>
    <w:rPr>
      <w:color w:val="6a737d"/>
    </w:rPr>
  </w:style>
  <w:style w:type="character" w:styleId="750" w:customStyle="1">
    <w:name w:val="OtherTok"/>
    <w:basedOn w:val="728"/>
    <w:pPr>
      <w:pBdr/>
      <w:spacing/>
      <w:ind/>
    </w:pPr>
    <w:rPr>
      <w:color w:val="6f42c1"/>
    </w:rPr>
  </w:style>
  <w:style w:type="character" w:styleId="751" w:customStyle="1">
    <w:name w:val="FunctionTok"/>
    <w:basedOn w:val="728"/>
    <w:pPr>
      <w:pBdr/>
      <w:spacing/>
      <w:ind/>
    </w:pPr>
    <w:rPr>
      <w:color w:val="6f42c1"/>
    </w:rPr>
  </w:style>
  <w:style w:type="character" w:styleId="752" w:customStyle="1">
    <w:name w:val="VariableTok"/>
    <w:basedOn w:val="728"/>
    <w:pPr>
      <w:pBdr/>
      <w:spacing/>
      <w:ind/>
    </w:pPr>
    <w:rPr>
      <w:color w:val="e36209"/>
    </w:rPr>
  </w:style>
  <w:style w:type="character" w:styleId="753" w:customStyle="1">
    <w:name w:val="ControlFlowTok"/>
    <w:basedOn w:val="728"/>
    <w:pPr>
      <w:pBdr/>
      <w:spacing/>
      <w:ind/>
    </w:pPr>
    <w:rPr>
      <w:color w:val="d73a49"/>
    </w:rPr>
  </w:style>
  <w:style w:type="character" w:styleId="754" w:customStyle="1">
    <w:name w:val="OperatorTok"/>
    <w:basedOn w:val="728"/>
    <w:pPr>
      <w:pBdr/>
      <w:spacing/>
      <w:ind/>
    </w:pPr>
    <w:rPr>
      <w:color w:val="24292e"/>
    </w:rPr>
  </w:style>
  <w:style w:type="character" w:styleId="755" w:customStyle="1">
    <w:name w:val="BuiltInTok"/>
    <w:basedOn w:val="728"/>
    <w:pPr>
      <w:pBdr/>
      <w:spacing/>
      <w:ind/>
    </w:pPr>
    <w:rPr>
      <w:color w:val="d73a49"/>
    </w:rPr>
  </w:style>
  <w:style w:type="character" w:styleId="756" w:customStyle="1">
    <w:name w:val="ExtensionTok"/>
    <w:basedOn w:val="728"/>
    <w:pPr>
      <w:pBdr/>
      <w:spacing/>
      <w:ind/>
    </w:pPr>
    <w:rPr>
      <w:b/>
      <w:color w:val="d73a49"/>
    </w:rPr>
  </w:style>
  <w:style w:type="character" w:styleId="757" w:customStyle="1">
    <w:name w:val="PreprocessorTok"/>
    <w:basedOn w:val="728"/>
    <w:pPr>
      <w:pBdr/>
      <w:spacing/>
      <w:ind/>
    </w:pPr>
    <w:rPr>
      <w:color w:val="d73a49"/>
    </w:rPr>
  </w:style>
  <w:style w:type="character" w:styleId="758" w:customStyle="1">
    <w:name w:val="AttributeTok"/>
    <w:basedOn w:val="728"/>
    <w:pPr>
      <w:pBdr/>
      <w:spacing/>
      <w:ind/>
    </w:pPr>
    <w:rPr>
      <w:color w:val="d73a49"/>
    </w:rPr>
  </w:style>
  <w:style w:type="character" w:styleId="759" w:customStyle="1">
    <w:name w:val="RegionMarkerTok"/>
    <w:basedOn w:val="728"/>
    <w:pPr>
      <w:pBdr/>
      <w:spacing/>
      <w:ind/>
    </w:pPr>
    <w:rPr>
      <w:color w:val="6a737d"/>
    </w:rPr>
  </w:style>
  <w:style w:type="character" w:styleId="760" w:customStyle="1">
    <w:name w:val="InformationTok"/>
    <w:basedOn w:val="728"/>
    <w:pPr>
      <w:pBdr/>
      <w:spacing/>
      <w:ind/>
    </w:pPr>
    <w:rPr>
      <w:color w:val="6a737d"/>
    </w:rPr>
  </w:style>
  <w:style w:type="character" w:styleId="761" w:customStyle="1">
    <w:name w:val="WarningTok"/>
    <w:basedOn w:val="728"/>
    <w:pPr>
      <w:pBdr/>
      <w:spacing/>
      <w:ind/>
    </w:pPr>
    <w:rPr>
      <w:color w:val="ff5555"/>
    </w:rPr>
  </w:style>
  <w:style w:type="character" w:styleId="762" w:customStyle="1">
    <w:name w:val="AlertTok"/>
    <w:basedOn w:val="728"/>
    <w:pPr>
      <w:pBdr/>
      <w:spacing/>
      <w:ind/>
    </w:pPr>
    <w:rPr>
      <w:b/>
      <w:color w:val="ff5555"/>
    </w:rPr>
  </w:style>
  <w:style w:type="character" w:styleId="763" w:customStyle="1">
    <w:name w:val="ErrorTok"/>
    <w:basedOn w:val="728"/>
    <w:pPr>
      <w:pBdr/>
      <w:spacing/>
      <w:ind/>
    </w:pPr>
    <w:rPr>
      <w:color w:val="ff5555"/>
    </w:rPr>
  </w:style>
  <w:style w:type="character" w:styleId="764" w:customStyle="1">
    <w:name w:val="NormalTok"/>
    <w:basedOn w:val="728"/>
    <w:pPr>
      <w:pBdr/>
      <w:spacing/>
      <w:ind/>
    </w:pPr>
    <w:rPr>
      <w:color w:val="24292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data.worldbank.org/indicator/NY.GDP.TOTL.RT.ZS" TargetMode="External"/><Relationship Id="rId10" Type="http://schemas.openxmlformats.org/officeDocument/2006/relationships/hyperlink" Target="https://data.worldbank.org/indicator/GC.TAX.TOTL.GD.ZS" TargetMode="External"/><Relationship Id="rId11" Type="http://schemas.openxmlformats.org/officeDocument/2006/relationships/hyperlink" Target="https://data.worldbank.org/indicator/BX.KLT.DINV.WD.GD.ZS" TargetMode="External"/><Relationship Id="rId12" Type="http://schemas.openxmlformats.org/officeDocument/2006/relationships/hyperlink" Target="https://data.worldbank.org/indicator/FS.AST.PRVT.GD.ZS" TargetMode="External"/><Relationship Id="rId13" Type="http://schemas.openxmlformats.org/officeDocument/2006/relationships/hyperlink" Target="https://databank.worldbank.org/metadataglossary/africa-development-indicators/series/FI.RES.TOTL.CD.ZS" TargetMode="External"/><Relationship Id="rId14" Type="http://schemas.openxmlformats.org/officeDocument/2006/relationships/hyperlink" Target="https://doi.org/10.33890/innova.v11.n2.2026.2934" TargetMode="External"/><Relationship Id="rId15" Type="http://schemas.openxmlformats.org/officeDocument/2006/relationships/hyperlink" Target="https://doi.org/10.1007/978-3-030-53953-5" TargetMode="External"/><Relationship Id="rId16" Type="http://schemas.openxmlformats.org/officeDocument/2006/relationships/hyperlink" Target="https://doi.org/10.1016/j.jdeveco.2012.07.001" TargetMode="External"/><Relationship Id="rId17" Type="http://schemas.openxmlformats.org/officeDocument/2006/relationships/hyperlink" Target="https://repositorio.cepal.org/handle/11362/44980" TargetMode="External"/><Relationship Id="rId18" Type="http://schemas.openxmlformats.org/officeDocument/2006/relationships/hyperlink" Target="https://doi.org/10.1257/aer.89.1.22"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ACD1: Modelos de Datos de Panel en América Latina</dc:title>
  <dc:creator>Erick Fabricio Condoy Seraquive</dc:creator>
  <cp:keywords/>
  <dc:language>es</dc:language>
  <cp:revision>1</cp:revision>
  <dcterms:created xsi:type="dcterms:W3CDTF">2026-07-09T14:49:40Z</dcterms:created>
  <dcterms:modified xsi:type="dcterms:W3CDTF">2026-07-17T13:25:56Z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2026-06-25</vt:lpwstr>
  </property>
  <property fmtid="{D5CDD505-2E9C-101B-9397-08002B2CF9AE}" pid="7" name="engines">
    <vt:lpwstr/>
  </property>
  <property fmtid="{D5CDD505-2E9C-101B-9397-08002B2CF9AE}" pid="8" name="fig-cap-location">
    <vt:lpwstr>bottom</vt:lpwstr>
  </property>
  <property fmtid="{D5CDD505-2E9C-101B-9397-08002B2CF9AE}" pid="9" name="fontsize">
    <vt:lpwstr>12pt</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subtitle">
    <vt:lpwstr>Unidad 3 - Econometría Aplicada</vt:lpwstr>
  </property>
  <property fmtid="{D5CDD505-2E9C-101B-9397-08002B2CF9AE}" pid="16" name="tbl-cap-location">
    <vt:lpwstr>top</vt:lpwstr>
  </property>
  <property fmtid="{D5CDD505-2E9C-101B-9397-08002B2CF9AE}" pid="17" name="toc-title">
    <vt:lpwstr>Tabla de contenidos</vt:lpwstr>
  </property>
</Properties>
</file>