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Modelo Definitivo de Datos de Panel: FGLS</w:t>
      </w:r>
    </w:p>
    <w:p>
      <w:pPr>
        <w:pStyle w:val="Subtitle"/>
      </w:pPr>
      <w:r>
        <w:t xml:space="preserve">Econometría Aplicada - Entregable de Resultados</w:t>
      </w:r>
    </w:p>
    <w:p>
      <w:pPr>
        <w:pStyle w:val="Author"/>
      </w:pPr>
      <w:r>
        <w:t xml:space="preserve">Erick Fabricio Condoy Seraquive</w:t>
      </w:r>
    </w:p>
    <w:p>
      <w:pPr>
        <w:pStyle w:val="Date"/>
      </w:pPr>
      <w:r>
        <w:t xml:space="preserve">2026-07-13</w:t>
      </w:r>
    </w:p>
    <w:bookmarkStart w:id="11" w:name="modelo-de-regresión-definitivo"/>
    <w:p>
      <w:pPr>
        <w:pStyle w:val="Heading1"/>
      </w:pPr>
      <w:r>
        <w:t xml:space="preserve">1. Modelo de Regresión Definitivo</w:t>
      </w:r>
    </w:p>
    <w:p>
      <w:pPr>
        <w:pStyle w:val="FirstParagraph"/>
      </w:pPr>
      <w:r>
        <w:t xml:space="preserve">La presencia de autocorrelación serial (prueba de Wooldridge: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137.88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0.0001</m:t>
        </m:r>
      </m:oMath>
      <w:r>
        <w:t xml:space="preserve">) y heterocedasticidad grupal (prueba de Wald: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673.44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0.0001</m:t>
        </m:r>
      </m:oMath>
      <w:r>
        <w:t xml:space="preserve">) invalida la eficiencia y consistencia de los estimadores estándar de efectos fijos y efectos aleatorios. Por lo tanto, se optó por la estimación definitiva mediante Mínimos Cuadrados Generalizados Factibles (FGLS), la cual corrige estas deficiencias asumiendo una estructura autorregresiva común AR(1) y varianzas heterocedásticas interindividuales. Los resultados a nivel global y por subgrupos de especialización constan en la</w:t>
      </w:r>
      <w:r>
        <w:t xml:space="preserve"> </w:t>
      </w:r>
      <w:hyperlink w:anchor="tbl-regression-groups">
        <w:r>
          <w:rPr>
            <w:rStyle w:val="Hyperlink"/>
          </w:rPr>
          <w:t xml:space="preserve">Table 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regression-group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Resultados Comparativos de Mínimos Cuadrados Generalizados Factibles (FGLS) (Variable dependiente:</w:t>
            </w:r>
            <w:r>
              <w:t xml:space="preserve"> </w:t>
            </w:r>
            <w:r>
              <w:rPr>
                <w:rStyle w:val="VerbatimChar"/>
              </w:rPr>
              <w:t xml:space="preserve">log_VE</w:t>
            </w:r>
            <w: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67"/>
              <w:gridCol w:w="2084"/>
              <w:gridCol w:w="2084"/>
              <w:gridCol w:w="20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Regresor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FGLS Global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FGLS Hidrocarburos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FGLS Minero-Agropecuario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log (Ingresos Impositivos)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p>
                      <m:e>
                        <m:r>
                          <m:t>1.406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p>
                      <m:e>
                        <m:r>
                          <m:t>1.879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p>
                      <m:e>
                        <m:r>
                          <m:t>1.193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0.298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0.548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0.338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log (Inversión Extranjera)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0.504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0.228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0.223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0.160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0.190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0.207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log (Crédito Privado)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0.245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0.969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0.016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0.123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0.164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0.139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log (Reservas Internacionales)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0.054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0.080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0.050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0.090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0.094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0.122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Constante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0.539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1.355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1.274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1.084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1.531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1.274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Observaciones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Países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Wald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61.49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52.99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20.16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</w:tr>
          </w:tbl>
          <w:bookmarkEnd w:id="9"/>
          <w:p/>
        </w:tc>
      </w:tr>
    </w:tbl>
    <w:p>
      <w:pPr>
        <w:pStyle w:val="BodyText"/>
      </w:pPr>
      <w:r>
        <w:t xml:space="preserve">Nota: Significancia estadística: ***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, **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 *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0.1</m:t>
        </m:r>
      </m:oMath>
      <w:r>
        <w:t xml:space="preserve">. Errores estándar entre paréntesis.</w:t>
      </w:r>
    </w:p>
    <w:bookmarkStart w:id="10" w:name="análisis-de-elasticidades"/>
    <w:p>
      <w:pPr>
        <w:pStyle w:val="Heading2"/>
      </w:pPr>
      <w:r>
        <w:t xml:space="preserve">1.1 Análisis de Elasticidades</w:t>
      </w:r>
    </w:p>
    <w:p>
      <w:pPr>
        <w:pStyle w:val="FirstParagraph"/>
      </w:pPr>
      <w:r>
        <w:t xml:space="preserve">Los ingresos impositivos (</w:t>
      </w:r>
      <w:r>
        <w:rPr>
          <w:rStyle w:val="VerbatimChar"/>
        </w:rPr>
        <w:t xml:space="preserve">log_PF</w:t>
      </w:r>
      <w:r>
        <w:t xml:space="preserve">) incrementan la dependencia de rentas extractivas de manera generalizada y robusta, mostrando una magnitud superior en el subgrupo de Hidrocarburos (</w:t>
      </w:r>
      <m:oMath>
        <m:r>
          <m:t>b</m:t>
        </m:r>
        <m:r>
          <m:rPr>
            <m:sty m:val="p"/>
          </m:rPr>
          <m:t>=</m:t>
        </m:r>
        <m:r>
          <m:t>1.88</m:t>
        </m:r>
      </m:oMath>
      <w:r>
        <w:t xml:space="preserve">) frente al Minero-Agropecuario (</w:t>
      </w:r>
      <m:oMath>
        <m:r>
          <m:t>b</m:t>
        </m:r>
        <m:r>
          <m:rPr>
            <m:sty m:val="p"/>
          </m:rPr>
          <m:t>=</m:t>
        </m:r>
        <m:r>
          <m:t>1.19</m:t>
        </m:r>
      </m:oMath>
      <w:r>
        <w:t xml:space="preserve">). Este hallazgo expone la vulnerabilidad y rigidez fiscal de las finanzas públicas ante shocks de commodities, un comportamiento coincidente con los postulados de</w:t>
      </w:r>
      <w:r>
        <w:t xml:space="preserve"> </w:t>
      </w:r>
      <w:r>
        <w:t xml:space="preserve">CEPAL (2015)</w:t>
      </w:r>
      <w:r>
        <w:t xml:space="preserve"> </w:t>
      </w:r>
      <w:r>
        <w:t xml:space="preserve">sobre la subordinación de la estructura tributaria y el impacto fiscal de las actividades extractivas en América Latina. Por su parte, el desarrollo del crédito privado (</w:t>
      </w:r>
      <w:r>
        <w:rPr>
          <w:rStyle w:val="VerbatimChar"/>
        </w:rPr>
        <w:t xml:space="preserve">log_AN</w:t>
      </w:r>
      <w:r>
        <w:t xml:space="preserve">) actúa como un mecanismo atenuador de la dependencia exclusivamente en el grupo de Hidrocarburos (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), lo cual concuerda con</w:t>
      </w:r>
      <w:r>
        <w:t xml:space="preserve"> </w:t>
      </w:r>
      <w:r>
        <w:t xml:space="preserve">CEPAL (2019)</w:t>
      </w:r>
      <w:r>
        <w:t xml:space="preserve"> </w:t>
      </w:r>
      <w:r>
        <w:t xml:space="preserve">al señalar que la profundización financiera local y la capacidad de ahorro doméstico son canales indispensables para canalizar las rentas de recursos hacia actividades productivas diversificadas.</w:t>
      </w:r>
    </w:p>
    <w:p>
      <w:pPr>
        <w:pStyle w:val="BodyText"/>
      </w:pPr>
      <w:r>
        <w:t xml:space="preserve">Por otro lado, la inversión extranjera directa (</w:t>
      </w:r>
      <w:r>
        <w:rPr>
          <w:rStyle w:val="VerbatimChar"/>
        </w:rPr>
        <w:t xml:space="preserve">log_IE</w:t>
      </w:r>
      <w:r>
        <w:t xml:space="preserve">) reduce la dependencia solo a nivel global (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</m:oMath>
      <w:r>
        <w:t xml:space="preserve">), perdiendo significancia estadística en las estimaciones por subgrupos. Esta divergencia sugiere que el impacto del capital externo está condicionado por su destino sectorial, en concordancia con</w:t>
      </w:r>
      <w:r>
        <w:t xml:space="preserve"> </w:t>
      </w:r>
      <w:r>
        <w:t xml:space="preserve">Goda and Torres (2021)</w:t>
      </w:r>
      <w:r>
        <w:t xml:space="preserve">, quienes señalan que la IED primario-exportadora tiende a exacerbar la especialización extractiva y la desindustrialización. Finalmente, la acumulación de reservas internacionales (</w:t>
      </w:r>
      <w:r>
        <w:rPr>
          <w:rStyle w:val="VerbatimChar"/>
        </w:rPr>
        <w:t xml:space="preserve">log_RI</w:t>
      </w:r>
      <w:r>
        <w:t xml:space="preserve">) carece de significancia estadística bajo los estimadores FGLS globales y sectoriales, lo que respalda el análisis de</w:t>
      </w:r>
      <w:r>
        <w:t xml:space="preserve"> </w:t>
      </w:r>
      <w:r>
        <w:t xml:space="preserve">CEPAL (2023)</w:t>
      </w:r>
      <w:r>
        <w:t xml:space="preserve"> </w:t>
      </w:r>
      <w:r>
        <w:t xml:space="preserve">al evidenciar que la liquidez externa opera como un mecanismo de estabilización financiera de corto plazo ante la volatilidad de precios, pero es insuficiente para alterar la vulnerabilidad estructural.</w:t>
      </w:r>
    </w:p>
    <w:bookmarkEnd w:id="10"/>
    <w:bookmarkEnd w:id="11"/>
    <w:bookmarkStart w:id="21" w:name="bibliografía"/>
    <w:p>
      <w:pPr>
        <w:pStyle w:val="Heading1"/>
      </w:pPr>
      <w:r>
        <w:t xml:space="preserve">2. Bibliografía</w:t>
      </w:r>
    </w:p>
    <w:bookmarkStart w:id="20" w:name="refs"/>
    <w:bookmarkStart w:id="13" w:name="ref-cepal_fiscal2023"/>
    <w:p>
      <w:pPr>
        <w:pStyle w:val="Bibliography"/>
      </w:pPr>
      <w:r>
        <w:t xml:space="preserve">CEPAL. 2015.</w:t>
      </w:r>
      <w:r>
        <w:t xml:space="preserve"> </w:t>
      </w:r>
      <w:r>
        <w:rPr>
          <w:i/>
          <w:iCs/>
        </w:rPr>
        <w:t xml:space="preserve">El Impacto Fiscal de La Explotación de Los Recursos Naturales No Renovables En Los Países de América Latina y El Caribe</w:t>
      </w:r>
      <w:r>
        <w:t xml:space="preserve">. Comisión Económica para América Latina y el Caribe.</w:t>
      </w:r>
      <w:r>
        <w:t xml:space="preserve"> </w:t>
      </w:r>
      <w:hyperlink r:id="rId12">
        <w:r>
          <w:rPr>
            <w:rStyle w:val="Hyperlink"/>
          </w:rPr>
          <w:t xml:space="preserve">https://hdl.handle.net/11362/38275</w:t>
        </w:r>
      </w:hyperlink>
      <w:r>
        <w:t xml:space="preserve">.</w:t>
      </w:r>
    </w:p>
    <w:bookmarkEnd w:id="13"/>
    <w:bookmarkStart w:id="15" w:name="ref-cepal_bonanza2021"/>
    <w:p>
      <w:pPr>
        <w:pStyle w:val="Bibliography"/>
      </w:pPr>
      <w:r>
        <w:t xml:space="preserve">CEPAL. 2019.</w:t>
      </w:r>
      <w:r>
        <w:t xml:space="preserve"> </w:t>
      </w:r>
      <w:r>
        <w:rPr>
          <w:i/>
          <w:iCs/>
        </w:rPr>
        <w:t xml:space="preserve">La Bonanza de Los Recursos Naturales Para El Desarrollo: Dilemas de Gobernanza</w:t>
      </w:r>
      <w:r>
        <w:t xml:space="preserve">. Comisión Económica para América Latina y el Caribe.</w:t>
      </w:r>
      <w:r>
        <w:t xml:space="preserve"> </w:t>
      </w:r>
      <w:hyperlink r:id="rId14">
        <w:r>
          <w:rPr>
            <w:rStyle w:val="Hyperlink"/>
          </w:rPr>
          <w:t xml:space="preserve">https://hdl.handle.net/11362/44719</w:t>
        </w:r>
      </w:hyperlink>
      <w:r>
        <w:t xml:space="preserve">.</w:t>
      </w:r>
    </w:p>
    <w:bookmarkEnd w:id="15"/>
    <w:bookmarkStart w:id="17" w:name="ref-cepal_gobernanza2024"/>
    <w:p>
      <w:pPr>
        <w:pStyle w:val="Bibliography"/>
      </w:pPr>
      <w:r>
        <w:t xml:space="preserve">CEPAL. 2023.</w:t>
      </w:r>
      <w:r>
        <w:t xml:space="preserve"> </w:t>
      </w:r>
      <w:r>
        <w:rPr>
          <w:i/>
          <w:iCs/>
        </w:rPr>
        <w:t xml:space="preserve">Gobernanza de Los Recursos Naturales En América Latina y El Caribe Para El Desarrollo Sostenible</w:t>
      </w:r>
      <w:r>
        <w:t xml:space="preserve">. Comisión Económica para América Latina y el Caribe.</w:t>
      </w:r>
      <w:r>
        <w:t xml:space="preserve"> </w:t>
      </w:r>
      <w:hyperlink r:id="rId16">
        <w:r>
          <w:rPr>
            <w:rStyle w:val="Hyperlink"/>
          </w:rPr>
          <w:t xml:space="preserve">https://hdl.handle.net/11362/49042</w:t>
        </w:r>
      </w:hyperlink>
      <w:r>
        <w:t xml:space="preserve">.</w:t>
      </w:r>
    </w:p>
    <w:bookmarkEnd w:id="17"/>
    <w:bookmarkStart w:id="19" w:name="ref-goda2021"/>
    <w:p>
      <w:pPr>
        <w:pStyle w:val="Bibliography"/>
      </w:pPr>
      <w:r>
        <w:t xml:space="preserve">Goda, Thomas, and Alejandro Torres. 2021.</w:t>
      </w:r>
      <w:r>
        <w:t xml:space="preserve"> </w:t>
      </w:r>
      <w:r>
        <w:t xml:space="preserve">“Flujos de Capital y Desindustrialización En América Latina.”</w:t>
      </w:r>
      <w:r>
        <w:t xml:space="preserve"> </w:t>
      </w:r>
      <w:r>
        <w:rPr>
          <w:i/>
          <w:iCs/>
        </w:rPr>
        <w:t xml:space="preserve">Revista de Economía Institucional</w:t>
      </w:r>
      <w:r>
        <w:t xml:space="preserve"> </w:t>
      </w:r>
      <w:r>
        <w:t xml:space="preserve">23 (45): 113–38.</w:t>
      </w:r>
      <w:r>
        <w:t xml:space="preserve"> </w:t>
      </w:r>
      <w:hyperlink r:id="rId18">
        <w:r>
          <w:rPr>
            <w:rStyle w:val="Hyperlink"/>
          </w:rPr>
          <w:t xml:space="preserve">https://doi.org/10.18601/01245996.v23n45.06</w:t>
        </w:r>
      </w:hyperlink>
      <w:r>
        <w:t xml:space="preserve">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doi.org/10.18601/01245996.v23n45.06" TargetMode="External" /><Relationship Type="http://schemas.openxmlformats.org/officeDocument/2006/relationships/hyperlink" Id="rId12" Target="https://hdl.handle.net/11362/38275" TargetMode="External" /><Relationship Type="http://schemas.openxmlformats.org/officeDocument/2006/relationships/hyperlink" Id="rId14" Target="https://hdl.handle.net/11362/44719" TargetMode="External" /><Relationship Type="http://schemas.openxmlformats.org/officeDocument/2006/relationships/hyperlink" Id="rId16" Target="https://hdl.handle.net/11362/4904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oi.org/10.18601/01245996.v23n45.06" TargetMode="External" /><Relationship Type="http://schemas.openxmlformats.org/officeDocument/2006/relationships/hyperlink" Id="rId12" Target="https://hdl.handle.net/11362/38275" TargetMode="External" /><Relationship Type="http://schemas.openxmlformats.org/officeDocument/2006/relationships/hyperlink" Id="rId14" Target="https://hdl.handle.net/11362/44719" TargetMode="External" /><Relationship Type="http://schemas.openxmlformats.org/officeDocument/2006/relationships/hyperlink" Id="rId16" Target="https://hdl.handle.net/11362/4904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Definitivo de Datos de Panel: FGLS</dc:title>
  <dc:creator>Erick Fabricio Condoy Seraquive</dc:creator>
  <cp:keywords/>
  <dcterms:created xsi:type="dcterms:W3CDTF">2026-07-13T16:20:42Z</dcterms:created>
  <dcterms:modified xsi:type="dcterms:W3CDTF">2026-07-13T16:20:42Z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../../../../bibliography/references.bib</vt:lpwstr>
  </property>
  <property fmtid="{D5CDD505-2E9C-101B-9397-08002B2CF9AE}" pid="5" name="by-author">
    <vt:lpwstr/>
  </property>
  <property fmtid="{D5CDD505-2E9C-101B-9397-08002B2CF9AE}" pid="6" name="date">
    <vt:lpwstr>2026-07-13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Econometría Aplicada - Entregable de Resultados</vt:lpwstr>
  </property>
  <property fmtid="{D5CDD505-2E9C-101B-9397-08002B2CF9AE}" pid="12" name="toc-title">
    <vt:lpwstr>Table of contents</vt:lpwstr>
  </property>
</Properties>
</file>