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5E9C9D7" w14:textId="44B81950">
      <w:pPr>
        <w:pBdr/>
        <w:spacing/>
        <w:ind/>
        <w:jc w:val="center"/>
        <w:rPr>
          <w:b/>
          <w:bCs/>
          <w:lang w:val="es-ES"/>
        </w:rPr>
      </w:pPr>
      <w:r>
        <w:rPr>
          <w:b/>
          <w:bCs/>
          <w:lang w:val="es-ES"/>
        </w:rPr>
        <w:t xml:space="preserve">Carrera de Economía</w:t>
      </w:r>
      <w:r>
        <w:rPr>
          <w:b/>
          <w:bCs/>
          <w:lang w:val="es-ES"/>
        </w:rPr>
      </w:r>
    </w:p>
    <w:p w14:paraId="683C5353" w14:textId="51DFCA75">
      <w:pPr>
        <w:pBdr/>
        <w:spacing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</w:p>
    <w:p w14:paraId="6E4B2941" w14:textId="77777777">
      <w:pPr>
        <w:pBdr/>
        <w:spacing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</w:p>
    <w:p w14:paraId="066A3B2F" w14:textId="65AFF890">
      <w:pPr>
        <w:pBdr/>
        <w:spacing/>
        <w:ind/>
        <w:rPr>
          <w:b w:val="0"/>
          <w:bCs w:val="0"/>
          <w:lang w:val="es-ES"/>
        </w:rPr>
      </w:pPr>
      <w:r>
        <w:rPr>
          <w:b/>
          <w:bCs/>
          <w:lang w:val="es-ES"/>
        </w:rPr>
        <w:t xml:space="preserve">Nombre:  </w:t>
      </w:r>
      <w:r>
        <w:rPr>
          <w:b w:val="0"/>
          <w:bCs w:val="0"/>
          <w:lang w:val="es-ES"/>
        </w:rPr>
        <w:t xml:space="preserve">Erick </w:t>
      </w:r>
      <w:r>
        <w:rPr>
          <w:b w:val="0"/>
          <w:bCs w:val="0"/>
          <w:lang w:val="es-ES"/>
        </w:rPr>
        <w:t xml:space="preserve">Condoy</w:t>
      </w:r>
      <w:r>
        <w:rPr>
          <w:b w:val="0"/>
          <w:bCs w:val="0"/>
          <w:lang w:val="es-ES"/>
        </w:rPr>
      </w:r>
    </w:p>
    <w:p w14:paraId="2ADF98BC" w14:textId="000907EA">
      <w:pPr>
        <w:pBdr/>
        <w:spacing/>
        <w:ind/>
        <w:rPr>
          <w:lang w:val="es-ES"/>
        </w:rPr>
      </w:pPr>
      <w:r>
        <w:rPr>
          <w:b/>
          <w:bCs/>
          <w:lang w:val="es-ES"/>
        </w:rPr>
        <w:t xml:space="preserve">Asignatura:</w:t>
      </w:r>
      <w:r>
        <w:rPr>
          <w:lang w:val="es-ES"/>
        </w:rPr>
        <w:t xml:space="preserve"> Econometría</w:t>
      </w:r>
      <w:r>
        <w:rPr>
          <w:lang w:val="es-ES"/>
        </w:rPr>
        <w:t xml:space="preserve"> </w:t>
      </w:r>
      <w:r>
        <w:rPr>
          <w:lang w:val="es-ES"/>
        </w:rPr>
        <w:t xml:space="preserve">Aplicada</w:t>
      </w:r>
      <w:r>
        <w:rPr>
          <w:lang w:val="es-ES"/>
        </w:rPr>
      </w:r>
    </w:p>
    <w:p w14:paraId="7BC220AB" w14:textId="783FB56E">
      <w:pPr>
        <w:pBdr/>
        <w:spacing/>
        <w:ind/>
        <w:rPr>
          <w:lang w:val="es-ES"/>
        </w:rPr>
      </w:pPr>
      <w:r>
        <w:rPr>
          <w:b/>
          <w:bCs/>
          <w:lang w:val="es-ES"/>
        </w:rPr>
        <w:t xml:space="preserve">Tipo de actividad:</w:t>
      </w:r>
      <w:r>
        <w:rPr>
          <w:lang w:val="es-ES"/>
        </w:rPr>
        <w:t xml:space="preserve"> Evaluación diagnóstica </w:t>
      </w:r>
      <w:r>
        <w:rPr>
          <w:lang w:val="es-ES"/>
        </w:rPr>
      </w:r>
    </w:p>
    <w:p w14:paraId="5A9E9C15" w14:textId="3F2027BC">
      <w:pPr>
        <w:pBdr/>
        <w:spacing/>
        <w:ind/>
        <w:rPr>
          <w:b/>
          <w:bCs/>
          <w:lang w:val="es-ES"/>
        </w:rPr>
      </w:pPr>
      <w:r>
        <w:rPr>
          <w:b/>
          <w:bCs/>
          <w:lang w:val="es-ES"/>
        </w:rPr>
        <w:t xml:space="preserve">Fecha: </w:t>
      </w:r>
      <w:r>
        <w:rPr>
          <w:b/>
          <w:bCs/>
          <w:lang w:val="es-ES"/>
        </w:rPr>
      </w:r>
    </w:p>
    <w:p w14:paraId="4FA12AFE" w14:textId="77777777">
      <w:pPr>
        <w:pBdr/>
        <w:spacing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</w:p>
    <w:p w14:paraId="590C67D4" w14:textId="1ED52D14">
      <w:pPr>
        <w:pBdr/>
        <w:spacing/>
        <w:ind/>
        <w:rPr>
          <w:lang w:val="es-ES"/>
        </w:rPr>
      </w:pPr>
      <w:r>
        <w:rPr>
          <w:lang w:val="es-ES"/>
        </w:rPr>
        <w:t xml:space="preserve">Responda </w:t>
      </w:r>
      <w:r>
        <w:rPr>
          <w:lang w:val="es-ES"/>
        </w:rPr>
        <w:t xml:space="preserve">lo</w:t>
      </w:r>
      <w:r>
        <w:rPr>
          <w:lang w:val="es-ES"/>
        </w:rPr>
        <w:t xml:space="preserve"> siguiente</w:t>
      </w:r>
      <w:r>
        <w:rPr>
          <w:lang w:val="es-ES"/>
        </w:rPr>
        <w:t xml:space="preserve">:</w:t>
      </w:r>
      <w:r>
        <w:rPr>
          <w:lang w:val="es-ES"/>
        </w:rPr>
      </w:r>
    </w:p>
    <w:p w14:paraId="192187F1" w14:textId="77777777">
      <w:pPr>
        <w:pStyle w:val="674"/>
        <w:numPr>
          <w:ilvl w:val="0"/>
          <w:numId w:val="3"/>
        </w:numPr>
        <w:pBdr/>
        <w:spacing/>
        <w:ind/>
        <w:jc w:val="both"/>
        <w:rPr>
          <w:lang w:val="es-ES"/>
        </w:rPr>
      </w:pPr>
      <w:r>
        <w:rPr>
          <w:lang w:val="es-ES"/>
        </w:rPr>
        <w:t xml:space="preserve">Evalúa una política pública de la economía ecuatoriana empleando un modelo de evaluación de impacto. </w:t>
      </w:r>
      <w:r>
        <w:rPr>
          <w:lang w:val="es-ES"/>
        </w:rPr>
      </w:r>
    </w:p>
    <w:p w14:paraId="7220A7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es-ES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lang w:val="es-ES"/>
        </w:rPr>
        <w:t xml:space="preserve">Propuesta de Política Pública para Evaluación de Impacto</w:t>
      </w:r>
      <w:r>
        <w:rPr>
          <w:lang w:val="es-ES"/>
        </w:rPr>
      </w:r>
    </w:p>
    <w:p w14:paraId="10CA8C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s-ES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ES"/>
        </w:rPr>
        <w:t xml:space="preserve">Una política pública actual, </w:t>
      </w:r>
      <w:r>
        <w:rPr>
          <w:rFonts w:ascii="Times New Roman" w:hAnsi="Times New Roman" w:eastAsia="Times New Roman" w:cs="Times New Roman"/>
          <w:color w:val="000000"/>
          <w:sz w:val="24"/>
          <w:lang w:val="es-ES"/>
        </w:rPr>
        <w:t xml:space="preserve">relevante </w:t>
      </w:r>
      <w:r>
        <w:rPr>
          <w:rFonts w:ascii="Times New Roman" w:hAnsi="Times New Roman" w:eastAsia="Times New Roman" w:cs="Times New Roman"/>
          <w:color w:val="000000"/>
          <w:sz w:val="24"/>
          <w:lang w:val="es-ES"/>
        </w:rPr>
        <w:t xml:space="preserve">y escasamente evaluada desde la econometría aplicada es el </w:t>
      </w:r>
      <w:r>
        <w:rPr>
          <w:rFonts w:ascii="Times New Roman" w:hAnsi="Times New Roman" w:eastAsia="Times New Roman" w:cs="Times New Roman"/>
          <w:b/>
          <w:color w:val="000000"/>
          <w:sz w:val="24"/>
          <w:lang w:val="es-ES"/>
        </w:rPr>
        <w:t xml:space="preserve">programa de fortalecimiento en Gobierno Abierto e innovación pública dirigido a los Gobiernos Autónomos Descentralizados (GAD) municipales del Ecuador</w:t>
      </w:r>
      <w:r>
        <w:rPr>
          <w:rFonts w:ascii="Times New Roman" w:hAnsi="Times New Roman" w:eastAsia="Times New Roman" w:cs="Times New Roman"/>
          <w:color w:val="000000"/>
          <w:sz w:val="24"/>
          <w:lang w:val="es-ES"/>
        </w:rPr>
        <w:t xml:space="preserve">, implementado bajo el Compromiso 5 del Segundo Plan de Acción de Gobierno Abierto 2022-2024 (Open Government Partnership [OGP], 2024). Este programa, ejecutado de forma conjunta por la Asociación de Municipalidades Ecuatorianas (AME), la Fundación Datalat</w:t>
      </w:r>
      <w:r>
        <w:rPr>
          <w:rFonts w:ascii="Times New Roman" w:hAnsi="Times New Roman" w:eastAsia="Times New Roman" w:cs="Times New Roman"/>
          <w:color w:val="000000"/>
          <w:sz w:val="24"/>
          <w:lang w:val="es-ES"/>
        </w:rPr>
        <w:t xml:space="preserve"> y el Programa de las Naciones Unidas para el Desarrollo (PNUD), buscó fortalecer las capacidades técnicas de los 221 GAD municipales del país en materia de transparencia, participación ciudadana, rendición de cuentas e innovación institucional, dando luga</w:t>
      </w:r>
      <w:r>
        <w:rPr>
          <w:rFonts w:ascii="Times New Roman" w:hAnsi="Times New Roman" w:eastAsia="Times New Roman" w:cs="Times New Roman"/>
          <w:color w:val="000000"/>
          <w:sz w:val="24"/>
          <w:lang w:val="es-ES"/>
        </w:rPr>
        <w:t xml:space="preserve">r a la plataforma </w:t>
      </w:r>
      <w:r>
        <w:rPr>
          <w:rFonts w:ascii="Times New Roman" w:hAnsi="Times New Roman" w:eastAsia="Times New Roman" w:cs="Times New Roman"/>
          <w:i/>
          <w:color w:val="000000"/>
          <w:sz w:val="24"/>
          <w:lang w:val="es-ES"/>
        </w:rPr>
        <w:t xml:space="preserve">Municipios Abiertos Ecuador</w:t>
      </w:r>
      <w:r>
        <w:rPr>
          <w:rFonts w:ascii="Times New Roman" w:hAnsi="Times New Roman" w:eastAsia="Times New Roman" w:cs="Times New Roman"/>
          <w:color w:val="000000"/>
          <w:sz w:val="24"/>
          <w:lang w:val="es-ES"/>
        </w:rPr>
        <w:t xml:space="preserve"> como herramienta central de implementación (Gobiernoabierto.ec, 2019). El diagnóstico realizado por la AME en 2023 sobre los 221 municipios reveló que la mayoría se encuentran en niveles bajos o muy bajos de madurez en gobierno abierto, con un promedio na</w:t>
      </w:r>
      <w:r>
        <w:rPr>
          <w:rFonts w:ascii="Times New Roman" w:hAnsi="Times New Roman" w:eastAsia="Times New Roman" w:cs="Times New Roman"/>
          <w:color w:val="000000"/>
          <w:sz w:val="24"/>
          <w:lang w:val="es-ES"/>
        </w:rPr>
        <w:t xml:space="preserve">cional de apenas el 24,90% del índice de madurez, lo que evidencia la magnitud del problema institucional que la política pretende resolver (AME, 2024; Municipios Abiertos Ecuador, 2025). La investigación de Fernández y Chica (2024), que propone estrategia</w:t>
      </w:r>
      <w:r>
        <w:rPr>
          <w:rFonts w:ascii="Times New Roman" w:hAnsi="Times New Roman" w:eastAsia="Times New Roman" w:cs="Times New Roman"/>
          <w:color w:val="000000"/>
          <w:sz w:val="24"/>
          <w:lang w:val="es-ES"/>
        </w:rPr>
        <w:t xml:space="preserve">s de innovación pública para los GADM ecuatorianos basadas en el modelo HIP, confirma que los municipios enfrentan rigidez institucional, insuficiente capacidad técnica y ausencia de incentivos para la innovación, siendo estos los mecanismos causales que e</w:t>
      </w:r>
      <w:r>
        <w:rPr>
          <w:rFonts w:ascii="Times New Roman" w:hAnsi="Times New Roman" w:eastAsia="Times New Roman" w:cs="Times New Roman"/>
          <w:color w:val="000000"/>
          <w:sz w:val="24"/>
          <w:lang w:val="es-ES"/>
        </w:rPr>
        <w:t xml:space="preserve">l programa busca contrarrestar. Adicionalmente, la Fundación Ciudadanía y Desarrollo (FCD) ha documentado convenios específicos de Gobierno Abierto con municipios como Loja y Cuenca en el período 2023-2024, lo que permite construir una variable de tratamie</w:t>
      </w:r>
      <w:r>
        <w:rPr>
          <w:rFonts w:ascii="Times New Roman" w:hAnsi="Times New Roman" w:eastAsia="Times New Roman" w:cs="Times New Roman"/>
          <w:color w:val="000000"/>
          <w:sz w:val="24"/>
          <w:lang w:val="es-ES"/>
        </w:rPr>
        <w:t xml:space="preserve">nto con variación temporal y geográfica suficiente para un diseño cuasi-experimental (Ciudadanía y Desarrollo, 2025). La pregunta de evaluación de impacto se formula de la siguiente manera: </w:t>
      </w:r>
      <w:r>
        <w:rPr>
          <w:rFonts w:ascii="Times New Roman" w:hAnsi="Times New Roman" w:eastAsia="Times New Roman" w:cs="Times New Roman"/>
          <w:b/>
          <w:color w:val="000000"/>
          <w:sz w:val="24"/>
          <w:lang w:val="es-ES"/>
        </w:rPr>
        <w:t xml:space="preserve">¿la adopción de estrategias de Gobierno Abierto en los GAD municipales genera mejoras estadísticamente significativas en el índice de madurez institucional?</w:t>
      </w:r>
      <w:r>
        <w:rPr>
          <w:rFonts w:ascii="Times New Roman" w:hAnsi="Times New Roman" w:eastAsia="Times New Roman" w:cs="Times New Roman"/>
          <w:color w:val="000000"/>
          <w:sz w:val="24"/>
          <w:lang w:val="es-ES"/>
        </w:rPr>
        <w:t xml:space="preserve"> Para responderla, se propone un estimador de </w:t>
      </w:r>
      <w:r>
        <w:rPr>
          <w:rFonts w:ascii="Times New Roman" w:hAnsi="Times New Roman" w:eastAsia="Times New Roman" w:cs="Times New Roman"/>
          <w:b/>
          <w:color w:val="000000"/>
          <w:sz w:val="24"/>
          <w:lang w:val="es-ES"/>
        </w:rPr>
        <w:t xml:space="preserve">Diferencias en Diferencias (DiD)</w:t>
      </w:r>
      <w:r>
        <w:rPr>
          <w:rFonts w:ascii="Times New Roman" w:hAnsi="Times New Roman" w:eastAsia="Times New Roman" w:cs="Times New Roman"/>
          <w:color w:val="000000"/>
          <w:sz w:val="24"/>
          <w:lang w:val="es-ES"/>
        </w:rPr>
        <w:t xml:space="preserve">, que explota la variación entre municipios tratados y no tratados en distintos momentos del tiempo, controlando por variables estructurales observables como tamaño poblacional, presupuesto municipal, ruralidad y conectividad digital (Moreno &amp; Mencia, 2020</w:t>
      </w:r>
      <w:r>
        <w:rPr>
          <w:rFonts w:ascii="Times New Roman" w:hAnsi="Times New Roman" w:eastAsia="Times New Roman" w:cs="Times New Roman"/>
          <w:color w:val="000000"/>
          <w:sz w:val="24"/>
          <w:lang w:val="es-ES"/>
        </w:rPr>
        <w:t xml:space="preserve">).</w:t>
      </w:r>
      <w:r>
        <w:rPr>
          <w:rFonts w:ascii="Times New Roman" w:hAnsi="Times New Roman" w:eastAsia="Times New Roman" w:cs="Times New Roman"/>
          <w:sz w:val="24"/>
          <w:lang w:val="es-ES"/>
        </w:rPr>
      </w:r>
    </w:p>
    <w:p w14:paraId="1D8D69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Aquí tienes el desarrollo formal de la idea. He estructurado la respuesta en tres partes clave: el marco teórico, el modelo econométrico con sus ecuaciones, y los resultados esperados.</w:t>
      </w:r>
      <w:r/>
    </w:p>
    <w:p w14:paraId="4A76BF3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Teor</w:t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ía</w:t>
      </w:r>
      <w:r/>
    </w:p>
    <w:p w14:paraId="0F702D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problema se enmarca dentro de 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Teoría de la Gobernanza Local y el Modelo de Estado Abierto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(Open State). Esta teoría sostiene que la administración pública moderna debe transitar de un modelo burocrático-jerárquico cerrado (Weberiano) hacia un modelo de gobernanza en red, sustentado en tres pilares: transparencia, participación ciudadana y cola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boración (OCDE, 2019; OGP, 2021).</w:t>
      </w:r>
      <w:hyperlink r:id="rId9" w:tooltip="https://dspace.utpl.edu.ec/handle/29.500.19856/73559?locale=es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dspace.utpl.edu</w:t>
        </w:r>
      </w:hyperlink>
      <w:r/>
      <w:r/>
    </w:p>
    <w:p w14:paraId="0A967C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Desde la economía política y la teoría institucional (ej. North, 1990; Acemoglu &amp; Robinson, 2012), la falta de innovación y transparencia en los gobiernos locales se explica como 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problema de agencia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los agentes (funcionarios públicos) tienen asimetrías de información y carecen de incentivos para innovar frente a los principales (ciudadanos), generando una "falla institucional". Las políticas de Gobierno Abierto actúan como 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choque exógeno de fortalecimiento institucional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diseñado para romper esa inercia, reducir costos de transacción y mejorar la eficiencia administrativa mediante la estandarización de procesos y la exposición al escrutinio público.latam.redilat+3</w:t>
      </w:r>
      <w:r/>
    </w:p>
    <w:p w14:paraId="0598370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Modelo Econométrico</w:t>
      </w:r>
      <w:r/>
    </w:p>
    <w:p w14:paraId="76D46C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identificar causalidad y no una simple correlación, el mejor enfoque cuasi-experimental es el estimador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Diferencias en Diferencias (DiD)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 efectos fijos. Este modelo permite observar cómo cambia una variable de desempeño municipal antes y después de la implementación de la política, comparando los municipios que adoptaron las estrategias (grupo de tratamiento) frente a aquellos que no lo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hicieron o lo hicieron superficialmente (grupo de control).</w:t>
      </w:r>
      <w:r/>
    </w:p>
    <w:p w14:paraId="1B3231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 ecuación formal del modelo es:</w:t>
      </w:r>
      <w:r/>
    </w:p>
    <w:p w14:paraId="648FA3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Para>
        <m:oMathParaPr/>
        <m:oMath>
          <m:sSub>
            <m:sSubPr>
              <m:ctrlPr/>
            </m:sSubPr>
            <m:e>
              <m:r>
                <m:rPr/>
                <m:t>𝑌</m:t>
              </m:r>
            </m:e>
            <m:sub>
              <m:r>
                <m:rPr/>
                <m:t>𝑖</m:t>
              </m:r>
              <m:r>
                <m:rPr/>
                <m:t>𝑡</m:t>
              </m:r>
            </m:sub>
          </m:sSub>
          <m:r>
            <m:rPr/>
            <m:t>=</m:t>
          </m:r>
          <m:sSub>
            <m:sSubPr>
              <m:ctrlPr/>
            </m:sSubPr>
            <m:e>
              <m:r>
                <m:rPr/>
                <m:t>𝛽</m:t>
              </m:r>
            </m:e>
            <m:sub>
              <m:r>
                <m:rPr/>
                <m:t>0</m:t>
              </m:r>
            </m:sub>
          </m:sSub>
          <m:r>
            <m:rPr/>
            <m:t>+</m:t>
          </m:r>
          <m:sSub>
            <m:sSubPr>
              <m:ctrlPr/>
            </m:sSubPr>
            <m:e>
              <m:r>
                <m:rPr/>
                <m:t>𝛽</m:t>
              </m:r>
            </m:e>
            <m:sub>
              <m:r>
                <m:rPr/>
                <m:t>1</m:t>
              </m:r>
            </m:sub>
          </m:sSub>
          <m:sSub>
            <m:sSubPr>
              <m:ctrlPr/>
            </m:sSubPr>
            <m:e>
              <m:r>
                <m:rPr/>
                <m:t>Tratamiento</m:t>
              </m:r>
            </m:e>
            <m:sub>
              <m:r>
                <m:rPr/>
                <m:t>𝑖</m:t>
              </m:r>
            </m:sub>
          </m:sSub>
          <m:r>
            <m:rPr/>
            <m:t>+</m:t>
          </m:r>
          <m:sSub>
            <m:sSubPr>
              <m:ctrlPr/>
            </m:sSubPr>
            <m:e>
              <m:r>
                <m:rPr/>
                <m:t>𝛽</m:t>
              </m:r>
            </m:e>
            <m:sub>
              <m:r>
                <m:rPr/>
                <m:t>2</m:t>
              </m:r>
            </m:sub>
          </m:sSub>
          <m:sSub>
            <m:sSubPr>
              <m:ctrlPr/>
            </m:sSubPr>
            <m:e>
              <m:r>
                <m:rPr/>
                <m:t>Post</m:t>
              </m:r>
            </m:e>
            <m:sub>
              <m:r>
                <m:rPr/>
                <m:t>𝑡</m:t>
              </m:r>
            </m:sub>
          </m:sSub>
          <m:r>
            <m:rPr/>
            <m:t>+</m:t>
          </m:r>
          <m:sSub>
            <m:sSubPr>
              <m:ctrlPr/>
            </m:sSubPr>
            <m:e>
              <m:r>
                <m:rPr/>
                <m:t>𝛽</m:t>
              </m:r>
            </m:e>
            <m:sub>
              <m:r>
                <m:rPr/>
                <m:t>3</m:t>
              </m:r>
            </m:sub>
          </m:sSub>
          <m:r>
            <m:rPr/>
            <m:t>(</m:t>
          </m:r>
          <m:sSub>
            <m:sSubPr>
              <m:ctrlPr/>
            </m:sSubPr>
            <m:e>
              <m:r>
                <m:rPr/>
                <m:t>Tratamiento</m:t>
              </m:r>
            </m:e>
            <m:sub>
              <m:r>
                <m:rPr/>
                <m:t>𝑖</m:t>
              </m:r>
            </m:sub>
          </m:sSub>
          <m:r>
            <m:rPr/>
            <m:t>×</m:t>
          </m:r>
          <m:sSub>
            <m:sSubPr>
              <m:ctrlPr/>
            </m:sSubPr>
            <m:e>
              <m:r>
                <m:rPr/>
                <m:t>Post</m:t>
              </m:r>
            </m:e>
            <m:sub>
              <m:r>
                <m:rPr/>
                <m:t>𝑡</m:t>
              </m:r>
            </m:sub>
          </m:sSub>
          <m:r>
            <m:rPr/>
            <m:t>)</m:t>
          </m:r>
          <m:r>
            <m:rPr/>
            <m:t>+</m:t>
          </m:r>
          <m:r>
            <m:rPr/>
            <m:t>𝛾</m:t>
          </m:r>
          <m:sSub>
            <m:sSubPr>
              <m:ctrlPr/>
            </m:sSubPr>
            <m:e>
              <m:r>
                <m:rPr/>
                <m:t>𝑋</m:t>
              </m:r>
            </m:e>
            <m:sub>
              <m:r>
                <m:rPr/>
                <m:t>𝑖</m:t>
              </m:r>
              <m:r>
                <m:rPr/>
                <m:t>𝑡</m:t>
              </m:r>
            </m:sub>
          </m:sSub>
          <m:r>
            <m:rPr/>
            <m:t>+</m:t>
          </m:r>
          <m:sSub>
            <m:sSubPr>
              <m:ctrlPr/>
            </m:sSubPr>
            <m:e>
              <m:r>
                <m:rPr/>
                <m:t>𝛼</m:t>
              </m:r>
            </m:e>
            <m:sub>
              <m:r>
                <m:rPr/>
                <m:t>𝑖</m:t>
              </m:r>
            </m:sub>
          </m:sSub>
          <m:r>
            <m:rPr/>
            <m:t>+</m:t>
          </m:r>
          <m:sSub>
            <m:sSubPr>
              <m:ctrlPr/>
            </m:sSubPr>
            <m:e>
              <m:r>
                <m:rPr/>
                <m:t>𝜆</m:t>
              </m:r>
            </m:e>
            <m:sub>
              <m:r>
                <m:rPr/>
                <m:t>𝑡</m:t>
              </m:r>
            </m:sub>
          </m:sSub>
          <m:r>
            <m:rPr/>
            <m:t>+</m:t>
          </m:r>
          <m:sSub>
            <m:sSubPr>
              <m:ctrlPr/>
            </m:sSubPr>
            <m:e>
              <m:r>
                <m:rPr/>
                <m:t>𝜀</m:t>
              </m:r>
            </m:e>
            <m:sub>
              <m:r>
                <m:rPr/>
                <m:t>𝑖</m:t>
              </m:r>
              <m:r>
                <m:rPr/>
                <m:t>𝑡</m:t>
              </m:r>
            </m:sub>
          </m:sSub>
        </m:oMath>
      </m:oMathPara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491D0B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Donde:</w:t>
      </w:r>
      <w:r/>
    </w:p>
    <w:p w14:paraId="1E249067">
      <w:pPr>
        <w:pStyle w:val="67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sSub>
          <m:sSubPr>
            <m:ctrlPr/>
          </m:sSubPr>
          <m:e>
            <m:r>
              <m:rPr/>
              <m:t>𝑌</m:t>
            </m:r>
          </m:e>
          <m:sub>
            <m:r>
              <m:rPr/>
              <m:t>𝑖</m:t>
            </m:r>
            <m:r>
              <m:rPr/>
              <m:t>𝑡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: Variable de resultado (e.g., Índice de Estado Abierto, nivel de ejecución presupuestaria o número de trámites digitalizados) para el municipio </w:t>
      </w:r>
      <m:oMath>
        <m:r>
          <m:rPr/>
          <m:t>𝑖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i en el año </w:t>
      </w:r>
      <m:oMath>
        <m:r>
          <m:rPr/>
          <m:t>𝑡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t.training-datalab+1</w:t>
      </w:r>
      <w:r/>
    </w:p>
    <w:p w14:paraId="579A4A5C">
      <w:pPr>
        <w:pStyle w:val="67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sSub>
          <m:sSubPr>
            <m:ctrlPr/>
          </m:sSubPr>
          <m:e>
            <m:r>
              <m:rPr/>
              <m:t>Tratamiento</m:t>
            </m:r>
          </m:e>
          <m:sub>
            <m:r>
              <m:rPr/>
              <m:t>𝑖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: Variable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dummy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que toma el valor de 1 si el municipio </w:t>
      </w:r>
      <m:oMath>
        <m:r>
          <m:rPr/>
          <m:t>𝑖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i participó activamente en los programas de asistencia técnica (como el "Reto GAD Innova") y 0 en caso contrario.undp+1</w:t>
      </w:r>
      <w:r/>
    </w:p>
    <w:p w14:paraId="0B158876">
      <w:pPr>
        <w:pStyle w:val="67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sSub>
          <m:sSubPr>
            <m:ctrlPr/>
          </m:sSubPr>
          <m:e>
            <m:r>
              <m:rPr/>
              <m:t>Post</m:t>
            </m:r>
          </m:e>
          <m:sub>
            <m:r>
              <m:rPr/>
              <m:t>𝑡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: Variable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dummy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igual a 1 para los años posteriores a la intervención (2024 en adelante) y 0 para el período base (2022 o anterior).</w:t>
      </w:r>
      <w:r/>
    </w:p>
    <w:p w14:paraId="63267A7F">
      <w:pPr>
        <w:pStyle w:val="67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sSub>
          <m:sSubPr>
            <m:ctrlPr/>
          </m:sSubPr>
          <m:e>
            <m:r>
              <m:rPr/>
              <m:t>𝛽</m:t>
            </m:r>
          </m:e>
          <m:sub>
            <m:r>
              <m:rPr/>
              <m:t>3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: Es el parámetro de interés (estimador DiD). Mide 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efecto causal de la política de Gobierno Abierto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sobre la variable de resultado.</w:t>
      </w:r>
      <w:r/>
    </w:p>
    <w:p w14:paraId="62C9C115">
      <w:pPr>
        <w:pStyle w:val="67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sSub>
          <m:sSubPr>
            <m:ctrlPr/>
          </m:sSubPr>
          <m:e>
            <m:r>
              <m:rPr/>
              <m:t>𝑋</m:t>
            </m:r>
          </m:e>
          <m:sub>
            <m:r>
              <m:rPr/>
              <m:t>𝑖</m:t>
            </m:r>
            <m:r>
              <m:rPr/>
              <m:t>𝑡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: Vector de covariables de control a nivel municipal (tamaño poblacional, ingresos propios vs. transferencias, nivel de ruralidad, y penetración de internet) para controlar heterogeneidad.</w:t>
      </w:r>
      <w:hyperlink r:id="rId10" w:tooltip="https://training-datalab.com/project/electronic-and-open-government-in-chilean-municipalities/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training-datalab</w:t>
        </w:r>
      </w:hyperlink>
      <w:r/>
      <w:r/>
    </w:p>
    <w:p w14:paraId="79CEB3F0">
      <w:pPr>
        <w:pStyle w:val="67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sSub>
          <m:sSubPr>
            <m:ctrlPr/>
          </m:sSubPr>
          <m:e>
            <m:r>
              <m:rPr/>
              <m:t>𝛼</m:t>
            </m:r>
          </m:e>
          <m:sub>
            <m:r>
              <m:rPr/>
              <m:t>𝑖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: Efectos fijos inobservables de cada municipio (ej. cultura política local).</w:t>
      </w:r>
      <w:r/>
    </w:p>
    <w:p w14:paraId="3323F850">
      <w:pPr>
        <w:pStyle w:val="67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sSub>
          <m:sSubPr>
            <m:ctrlPr/>
          </m:sSubPr>
          <m:e>
            <m:r>
              <m:rPr/>
              <m:t>𝜆</m:t>
            </m:r>
          </m:e>
          <m:sub>
            <m:r>
              <m:rPr/>
              <m:t>𝑡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: Efectos fijos de tiempo (shocks macroeconómicos que afectan a todos los municipios por igual).</w:t>
      </w:r>
      <w:r/>
    </w:p>
    <w:p w14:paraId="429EE810">
      <w:pPr>
        <w:pStyle w:val="67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sSub>
          <m:sSubPr>
            <m:ctrlPr/>
          </m:sSubPr>
          <m:e>
            <m:r>
              <m:rPr/>
              <m:t>𝜀</m:t>
            </m:r>
          </m:e>
          <m:sub>
            <m:r>
              <m:rPr/>
              <m:t>𝑖</m:t>
            </m:r>
            <m:r>
              <m:rPr/>
              <m:t>𝑡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: Término de error estocástico.</w:t>
      </w:r>
      <w:r/>
    </w:p>
    <w:p w14:paraId="151257C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Resultados Esperados </w:t>
      </w:r>
      <w:r/>
    </w:p>
    <w:p w14:paraId="2215E9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 la aplicación de este modelo se espera encontrar que:</w:t>
      </w:r>
      <w:r/>
    </w:p>
    <w:p w14:paraId="156F3044">
      <w:pPr>
        <w:pStyle w:val="67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Impacto Positivo y Significativo (</w:t>
      </w:r>
      <m:oMath>
        <m:sSub>
          <m:sSubPr>
            <m:ctrlPr/>
          </m:sSubPr>
          <m:e>
            <m:r>
              <m:rPr/>
              <m:t>𝛽</m:t>
            </m:r>
          </m:e>
          <m:sub>
            <m:r>
              <m:rPr/>
              <m:t>3</m:t>
            </m:r>
          </m:sub>
        </m:sSub>
        <m:r>
          <m:rPr/>
          <m:t>&amp;gt;</m:t>
        </m:r>
        <m:r>
          <m:rPr/>
          <m:t>0</m:t>
        </m:r>
      </m:oMath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Los GAD municipales tratados muestran una mejora estadísticamente significativa en el Índice de Madurez Institucional / Estado Abierto frente al grupo de control.</w:t>
      </w:r>
      <w:r/>
    </w:p>
    <w:p w14:paraId="6170757B">
      <w:pPr>
        <w:pStyle w:val="67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Heterogeneidad del Tratamiento: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 probable que el impacto no sea homogéneo. Se espera que los municipios de tamaño mediano (cantones intermedios) aprovechen mejor la política que los municipios rurales pequeños, debido a que la adopción tecnológica y de transparencia requiere una capac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idad administrativa mínima preexistente (efectos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spillover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condicionamiento de infraestructura tecnológica socioeconómica).</w:t>
      </w:r>
      <w:r/>
    </w:p>
    <w:p w14:paraId="2E19F50D">
      <w:pPr>
        <w:pStyle w:val="67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Limitaciones Persistentes: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 política generará cambios rápidos en dimensiones "fáciles" o formales (publicar datos, portales de transparencia), pero el impacto sobre variables estructurales complejas (rendición de cuentas y reducción real de la corrupción) será menor, demostrando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la obstinación al cambio institucional.</w:t>
      </w:r>
      <w:r/>
    </w:p>
    <w:p w14:paraId="77AF08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>
        <w:rPr>
          <w:rFonts w:ascii="Times New Roman" w:hAnsi="Times New Roman" w:eastAsia="Times New Roman" w:cs="Times New Roman"/>
          <w:sz w:val="24"/>
          <w:szCs w:val="24"/>
          <w:lang w:val="es-ES"/>
        </w:rPr>
      </w:r>
      <w:r>
        <w:rPr>
          <w:rFonts w:ascii="Times New Roman" w:hAnsi="Times New Roman" w:eastAsia="Times New Roman" w:cs="Times New Roman"/>
          <w:sz w:val="24"/>
          <w:szCs w:val="24"/>
          <w:lang w:val="es-ES"/>
        </w:rPr>
      </w:r>
      <w:r>
        <w:rPr>
          <w:rFonts w:ascii="Times New Roman" w:hAnsi="Times New Roman" w:eastAsia="Times New Roman" w:cs="Times New Roman"/>
          <w:sz w:val="24"/>
          <w:szCs w:val="24"/>
          <w:lang w:val="es-ES"/>
        </w:rPr>
      </w:r>
    </w:p>
    <w:p w14:paraId="3E9912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s-ES" w:bidi="es-ES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s-ES" w:bidi="es-ES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s-ES"/>
        </w:rPr>
      </w:r>
    </w:p>
    <w:p w14:paraId="4253EF4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es-ES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lang w:val="es-ES"/>
        </w:rPr>
        <w:t xml:space="preserve">Referencias</w:t>
      </w:r>
      <w:r>
        <w:rPr>
          <w:lang w:val="es-ES"/>
        </w:rPr>
      </w:r>
    </w:p>
    <w:p w14:paraId="6A9586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s-ES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ES"/>
        </w:rPr>
        <w:t xml:space="preserve">Asociación de Municipalidades Ecuatorianas [AME]. (2024). </w:t>
      </w:r>
      <w:r>
        <w:rPr>
          <w:rFonts w:ascii="Times New Roman" w:hAnsi="Times New Roman" w:eastAsia="Times New Roman" w:cs="Times New Roman"/>
          <w:i/>
          <w:color w:val="000000"/>
          <w:sz w:val="24"/>
          <w:lang w:val="es-ES"/>
        </w:rPr>
        <w:t xml:space="preserve">Diagnóstico de Gobierno Abierto y diseño de estrategias e instrumentos que faciliten la implementación de Gobierno Abierto y fortalecer la transparencia en la gestión pública</w:t>
      </w:r>
      <w:r>
        <w:rPr>
          <w:rFonts w:ascii="Times New Roman" w:hAnsi="Times New Roman" w:eastAsia="Times New Roman" w:cs="Times New Roman"/>
          <w:color w:val="000000"/>
          <w:sz w:val="24"/>
          <w:lang w:val="es-ES"/>
        </w:rPr>
        <w:t xml:space="preserve">. AME. </w:t>
      </w:r>
      <w:hyperlink r:id="rId11" w:tooltip="https://www.gobiernoabierto.ec/diagnostico-de-gobierno-abierto-y-diseno-de-estrategias-e-instrumentos-que-faciliten-la-implementacion" w:history="1">
        <w:r>
          <w:rPr>
            <w:rStyle w:val="187"/>
            <w:rFonts w:ascii="Times New Roman" w:hAnsi="Times New Roman" w:eastAsia="Times New Roman" w:cs="Times New Roman"/>
            <w:sz w:val="24"/>
            <w:lang w:val="es-ES"/>
          </w:rPr>
          <w:t xml:space="preserve">https://www.gobiernoabierto.ec/diagnostico-de-gobierno-abierto-y-diseno-de-estrategias-e-instrumentos-que-faciliten-la-implementacion</w:t>
        </w:r>
        <w:r>
          <w:rPr>
            <w:rStyle w:val="187"/>
            <w:rFonts w:ascii="Times New Roman" w:hAnsi="Times New Roman" w:eastAsia="Times New Roman" w:cs="Times New Roman"/>
            <w:sz w:val="24"/>
            <w:lang w:val="es-ES"/>
          </w:rPr>
        </w:r>
      </w:hyperlink>
      <w:r>
        <w:rPr>
          <w:rFonts w:ascii="Times New Roman" w:hAnsi="Times New Roman" w:eastAsia="Times New Roman" w:cs="Times New Roman"/>
          <w:sz w:val="24"/>
          <w:lang w:val="es-ES"/>
        </w:rPr>
      </w:r>
    </w:p>
    <w:p w14:paraId="7A24EE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es-ES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ES"/>
        </w:rPr>
        <w:t xml:space="preserve">Ciudadanía y Desarrollo. (2025, enero 15). </w:t>
      </w:r>
      <w:r>
        <w:rPr>
          <w:rFonts w:ascii="Times New Roman" w:hAnsi="Times New Roman" w:eastAsia="Times New Roman" w:cs="Times New Roman"/>
          <w:i/>
          <w:color w:val="000000"/>
          <w:sz w:val="24"/>
          <w:lang w:val="es-ES"/>
        </w:rPr>
        <w:t xml:space="preserve">Gobierno Abierto</w:t>
      </w:r>
      <w:r>
        <w:rPr>
          <w:rFonts w:ascii="Times New Roman" w:hAnsi="Times New Roman" w:eastAsia="Times New Roman" w:cs="Times New Roman"/>
          <w:color w:val="000000"/>
          <w:sz w:val="24"/>
          <w:lang w:val="es-ES"/>
        </w:rPr>
        <w:t xml:space="preserve">. Fundación Ciudadanía y Desarrollo. https://www.ciudadaniaydesarrollo.org/noticias/gobierno-abierto/</w:t>
      </w:r>
      <w:r>
        <w:rPr>
          <w:lang w:val="es-ES"/>
        </w:rPr>
      </w:r>
    </w:p>
    <w:p w14:paraId="298106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es-ES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ES"/>
        </w:rPr>
        <w:t xml:space="preserve">Fernández, J., &amp; Chica, R. (2024). </w:t>
      </w:r>
      <w:r>
        <w:rPr>
          <w:rFonts w:ascii="Times New Roman" w:hAnsi="Times New Roman" w:eastAsia="Times New Roman" w:cs="Times New Roman"/>
          <w:i/>
          <w:color w:val="000000"/>
          <w:sz w:val="24"/>
          <w:lang w:val="es-ES"/>
        </w:rPr>
        <w:t xml:space="preserve">Estrategia para promover un entorno de innovación pública en Gobiernos Municipales de Ecuador</w:t>
      </w:r>
      <w:r>
        <w:rPr>
          <w:rFonts w:ascii="Times New Roman" w:hAnsi="Times New Roman" w:eastAsia="Times New Roman" w:cs="Times New Roman"/>
          <w:color w:val="000000"/>
          <w:sz w:val="24"/>
          <w:lang w:val="es-ES"/>
        </w:rPr>
        <w:t xml:space="preserve"> [Tesis de maestría]. Universidad de las Américas. http://dspace.udla.edu.ec/handle/33000/16087</w:t>
      </w:r>
      <w:r>
        <w:rPr>
          <w:lang w:val="es-ES"/>
        </w:rPr>
      </w:r>
    </w:p>
    <w:p w14:paraId="11ECD8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es-ES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ES"/>
        </w:rPr>
        <w:t xml:space="preserve">Gobiernoabierto.ec. (2019, septiembre 30). </w:t>
      </w:r>
      <w:r>
        <w:rPr>
          <w:rFonts w:ascii="Times New Roman" w:hAnsi="Times New Roman" w:eastAsia="Times New Roman" w:cs="Times New Roman"/>
          <w:i/>
          <w:color w:val="000000"/>
          <w:sz w:val="24"/>
          <w:lang w:val="es-ES"/>
        </w:rPr>
        <w:t xml:space="preserve">Nueva plataforma impulsa el Gobierno Abierto en los municipios de Ecuador</w:t>
      </w:r>
      <w:r>
        <w:rPr>
          <w:rFonts w:ascii="Times New Roman" w:hAnsi="Times New Roman" w:eastAsia="Times New Roman" w:cs="Times New Roman"/>
          <w:color w:val="000000"/>
          <w:sz w:val="24"/>
          <w:lang w:val="es-ES"/>
        </w:rPr>
        <w:t xml:space="preserve">. Subsecretaría de Gobierno Abierto y Transparencia. https://www.gobiernoabierto.ec/nueva-plataforma-impulsa-el-gobierno-abierto-en-los-municipios-de-ecuador/</w:t>
      </w:r>
      <w:r>
        <w:rPr>
          <w:lang w:val="es-ES"/>
        </w:rPr>
      </w:r>
    </w:p>
    <w:p w14:paraId="693B70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es-ES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ES"/>
        </w:rPr>
        <w:t xml:space="preserve">Moreno, S., &amp; Mencia, A. (2020). Aplicación de la econometría en la evaluación de políticas públicas. </w:t>
      </w:r>
      <w:r>
        <w:rPr>
          <w:rFonts w:ascii="Times New Roman" w:hAnsi="Times New Roman" w:eastAsia="Times New Roman" w:cs="Times New Roman"/>
          <w:i/>
          <w:color w:val="000000"/>
          <w:sz w:val="24"/>
          <w:lang w:val="es-ES"/>
        </w:rPr>
        <w:t xml:space="preserve">e-Pública: Revista Electrónica sobre la Enseñanza de la Economía Pública</w:t>
      </w:r>
      <w:r>
        <w:rPr>
          <w:rFonts w:ascii="Times New Roman" w:hAnsi="Times New Roman" w:eastAsia="Times New Roman" w:cs="Times New Roman"/>
          <w:color w:val="000000"/>
          <w:sz w:val="24"/>
          <w:lang w:val="es-ES"/>
        </w:rPr>
        <w:t xml:space="preserve">, (27), 1–18. https://e-publica.unizar.es/es/articulo/aplicacion-de-la-econometria-en-la-evaluacion-de-politicas-publicas</w:t>
      </w:r>
      <w:r>
        <w:rPr>
          <w:lang w:val="es-ES"/>
        </w:rPr>
      </w:r>
    </w:p>
    <w:p w14:paraId="1F1F87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es-ES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ES"/>
        </w:rPr>
        <w:t xml:space="preserve">Municipios Abiertos Ecuador. (2025, abril 9). </w:t>
      </w:r>
      <w:r>
        <w:rPr>
          <w:rFonts w:ascii="Times New Roman" w:hAnsi="Times New Roman" w:eastAsia="Times New Roman" w:cs="Times New Roman"/>
          <w:i/>
          <w:color w:val="000000"/>
          <w:sz w:val="24"/>
          <w:lang w:val="es-ES"/>
        </w:rPr>
        <w:t xml:space="preserve">Estrategias y guías para implementar Gobierno Abierto a nivel municipal</w:t>
      </w:r>
      <w:r>
        <w:rPr>
          <w:rFonts w:ascii="Times New Roman" w:hAnsi="Times New Roman" w:eastAsia="Times New Roman" w:cs="Times New Roman"/>
          <w:color w:val="000000"/>
          <w:sz w:val="24"/>
          <w:lang w:val="es-ES"/>
        </w:rPr>
        <w:t xml:space="preserve">. https://municipiosabiertos.gob.ec/categorias-recursos/estrategias-y-guias/</w:t>
      </w:r>
      <w:r>
        <w:rPr>
          <w:lang w:val="es-ES"/>
        </w:rPr>
      </w:r>
    </w:p>
    <w:p w14:paraId="1D99E6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es-ES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ES"/>
        </w:rPr>
        <w:t xml:space="preserve">Open Government Partnership [OGP]. (2024). </w:t>
      </w:r>
      <w:r>
        <w:rPr>
          <w:rFonts w:ascii="Times New Roman" w:hAnsi="Times New Roman" w:eastAsia="Times New Roman" w:cs="Times New Roman"/>
          <w:i/>
          <w:color w:val="000000"/>
          <w:sz w:val="24"/>
          <w:lang w:val="es-ES"/>
        </w:rPr>
        <w:t xml:space="preserve">Ecuador: Fortalecimiento de los procesos de Gobierno Abierto Municipal — Compromiso EC0015</w:t>
      </w:r>
      <w:r>
        <w:rPr>
          <w:rFonts w:ascii="Times New Roman" w:hAnsi="Times New Roman" w:eastAsia="Times New Roman" w:cs="Times New Roman"/>
          <w:color w:val="000000"/>
          <w:sz w:val="24"/>
          <w:lang w:val="es-ES"/>
        </w:rPr>
        <w:t xml:space="preserve">. https://www.opengovpartnership.org/es/members/ecuador/commitments/EC0015/</w:t>
      </w:r>
      <w:r>
        <w:rPr>
          <w:lang w:val="es-ES"/>
        </w:rPr>
      </w:r>
    </w:p>
    <w:p w14:paraId="0E66FA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es-ES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s-ES"/>
        </w:rPr>
        <w:t xml:space="preserve">Programa de las Naciones Unidas para el Desarrollo [PNUD]. (2024, noviembre 27). </w:t>
      </w:r>
      <w:r>
        <w:rPr>
          <w:rFonts w:ascii="Times New Roman" w:hAnsi="Times New Roman" w:eastAsia="Times New Roman" w:cs="Times New Roman"/>
          <w:i/>
          <w:color w:val="000000"/>
          <w:sz w:val="24"/>
          <w:lang w:val="es-ES"/>
        </w:rPr>
        <w:t xml:space="preserve">Iniciativas en innovación pública: resultados del "Reto GAD Innova"</w:t>
      </w:r>
      <w:r>
        <w:rPr>
          <w:rFonts w:ascii="Times New Roman" w:hAnsi="Times New Roman" w:eastAsia="Times New Roman" w:cs="Times New Roman"/>
          <w:color w:val="000000"/>
          <w:sz w:val="24"/>
          <w:lang w:val="es-ES"/>
        </w:rPr>
        <w:t xml:space="preserve">. PNUD Ecuador. https://www.undp.org/es/ecuador/publicaciones/iniciativas-en-innovacion-publica-resultados-del-reto-gad-innova</w:t>
      </w:r>
      <w:r>
        <w:rPr>
          <w:lang w:val="es-ES"/>
        </w:rPr>
      </w:r>
    </w:p>
    <w:p w14:paraId="052776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es-ES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lang w:val="es-ES"/>
        </w:rPr>
        <w:t xml:space="preserve">Nota:</w:t>
      </w:r>
      <w:r>
        <w:rPr>
          <w:rFonts w:ascii="Times New Roman" w:hAnsi="Times New Roman" w:eastAsia="Times New Roman" w:cs="Times New Roman"/>
          <w:color w:val="000000"/>
          <w:sz w:val="24"/>
          <w:lang w:val="es-ES"/>
        </w:rPr>
        <w:t xml:space="preserve"> Si el docente exige solo referencias académicas de revistas indexadas, las más sólidas son Moreno &amp; Mencia (2020) y Fernández &amp; Chica (2024). Las fuentes institucionales (OGP, AME, PNUD) son perfectamente válidas en evaluación de políticas públicas y se u</w:t>
      </w:r>
      <w:r>
        <w:rPr>
          <w:rFonts w:ascii="Times New Roman" w:hAnsi="Times New Roman" w:eastAsia="Times New Roman" w:cs="Times New Roman"/>
          <w:color w:val="000000"/>
          <w:sz w:val="24"/>
          <w:lang w:val="es-ES"/>
        </w:rPr>
        <w:t xml:space="preserve">san con frecuencia en trabajos aplicados.</w:t>
      </w:r>
      <w:r>
        <w:rPr>
          <w:lang w:val="es-ES"/>
        </w:rPr>
      </w:r>
    </w:p>
    <w:p w14:paraId="593C13ED" w14:textId="77777777">
      <w:pPr>
        <w:pBdr/>
        <w:spacing/>
        <w:ind/>
        <w:rPr>
          <w:lang w:val="es-ES"/>
        </w:rPr>
      </w:pPr>
      <w:r>
        <w:rPr>
          <w:lang w:val="es-ES"/>
        </w:rPr>
      </w:r>
      <w:r>
        <w:rPr>
          <w:lang w:val="es-ES"/>
        </w:rPr>
      </w:r>
    </w:p>
    <w:sectPr>
      <w:footnotePr/>
      <w:endnotePr/>
      <w:type w:val="nextPage"/>
      <w:pgSz w:h="15840" w:orient="portrait" w:w="12240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8877B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721615BE"/>
    <w:lvl w:ilvl="0">
      <w:isLgl w:val="false"/>
      <w:lvlJc w:val="left"/>
      <w:lvlText w:val="%1."/>
      <w:numFmt w:val="decimal"/>
      <w:pPr>
        <w:pBdr/>
        <w:spacing/>
        <w:ind w:hanging="360" w:left="40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12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4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6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8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00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72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4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65"/>
      </w:pPr>
      <w:rPr/>
      <w:start w:val="1"/>
      <w:suff w:val="tab"/>
    </w:lvl>
  </w:abstractNum>
  <w:abstractNum w:abstractNumId="2">
    <w:nsid w:val="7D23001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67D04E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9DC01F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70"/>
    <w:next w:val="670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70"/>
    <w:next w:val="67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70"/>
    <w:next w:val="670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70"/>
    <w:next w:val="67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70"/>
    <w:next w:val="670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0"/>
    <w:next w:val="67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0"/>
    <w:next w:val="67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0"/>
    <w:next w:val="67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0"/>
    <w:next w:val="67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1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1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1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1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1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1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1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1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70"/>
    <w:next w:val="670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71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0"/>
    <w:next w:val="670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1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0"/>
    <w:next w:val="67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0"/>
    <w:next w:val="67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1"/>
    <w:link w:val="176"/>
    <w:uiPriority w:val="99"/>
    <w:pPr>
      <w:pBdr/>
      <w:spacing/>
      <w:ind/>
    </w:pPr>
  </w:style>
  <w:style w:type="paragraph" w:styleId="178">
    <w:name w:val="Footer"/>
    <w:basedOn w:val="67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1"/>
    <w:link w:val="178"/>
    <w:uiPriority w:val="99"/>
    <w:pPr>
      <w:pBdr/>
      <w:spacing/>
      <w:ind/>
    </w:pPr>
  </w:style>
  <w:style w:type="paragraph" w:styleId="180">
    <w:name w:val="Caption"/>
    <w:basedOn w:val="670"/>
    <w:next w:val="6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0"/>
    <w:next w:val="670"/>
    <w:uiPriority w:val="39"/>
    <w:unhideWhenUsed/>
    <w:pPr>
      <w:pBdr/>
      <w:spacing w:after="100"/>
      <w:ind/>
    </w:pPr>
  </w:style>
  <w:style w:type="paragraph" w:styleId="190">
    <w:name w:val="toc 2"/>
    <w:basedOn w:val="670"/>
    <w:next w:val="670"/>
    <w:uiPriority w:val="39"/>
    <w:unhideWhenUsed/>
    <w:pPr>
      <w:pBdr/>
      <w:spacing w:after="100"/>
      <w:ind w:left="220"/>
    </w:pPr>
  </w:style>
  <w:style w:type="paragraph" w:styleId="191">
    <w:name w:val="toc 3"/>
    <w:basedOn w:val="670"/>
    <w:next w:val="670"/>
    <w:uiPriority w:val="39"/>
    <w:unhideWhenUsed/>
    <w:pPr>
      <w:pBdr/>
      <w:spacing w:after="100"/>
      <w:ind w:left="440"/>
    </w:pPr>
  </w:style>
  <w:style w:type="paragraph" w:styleId="192">
    <w:name w:val="toc 4"/>
    <w:basedOn w:val="670"/>
    <w:next w:val="670"/>
    <w:uiPriority w:val="39"/>
    <w:unhideWhenUsed/>
    <w:pPr>
      <w:pBdr/>
      <w:spacing w:after="100"/>
      <w:ind w:left="660"/>
    </w:pPr>
  </w:style>
  <w:style w:type="paragraph" w:styleId="193">
    <w:name w:val="toc 5"/>
    <w:basedOn w:val="670"/>
    <w:next w:val="670"/>
    <w:uiPriority w:val="39"/>
    <w:unhideWhenUsed/>
    <w:pPr>
      <w:pBdr/>
      <w:spacing w:after="100"/>
      <w:ind w:left="880"/>
    </w:pPr>
  </w:style>
  <w:style w:type="paragraph" w:styleId="194">
    <w:name w:val="toc 6"/>
    <w:basedOn w:val="670"/>
    <w:next w:val="670"/>
    <w:uiPriority w:val="39"/>
    <w:unhideWhenUsed/>
    <w:pPr>
      <w:pBdr/>
      <w:spacing w:after="100"/>
      <w:ind w:left="1100"/>
    </w:pPr>
  </w:style>
  <w:style w:type="paragraph" w:styleId="195">
    <w:name w:val="toc 7"/>
    <w:basedOn w:val="670"/>
    <w:next w:val="670"/>
    <w:uiPriority w:val="39"/>
    <w:unhideWhenUsed/>
    <w:pPr>
      <w:pBdr/>
      <w:spacing w:after="100"/>
      <w:ind w:left="1320"/>
    </w:pPr>
  </w:style>
  <w:style w:type="paragraph" w:styleId="196">
    <w:name w:val="toc 8"/>
    <w:basedOn w:val="670"/>
    <w:next w:val="670"/>
    <w:uiPriority w:val="39"/>
    <w:unhideWhenUsed/>
    <w:pPr>
      <w:pBdr/>
      <w:spacing w:after="100"/>
      <w:ind w:left="1540"/>
    </w:pPr>
  </w:style>
  <w:style w:type="paragraph" w:styleId="197">
    <w:name w:val="toc 9"/>
    <w:basedOn w:val="670"/>
    <w:next w:val="67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1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0"/>
    <w:next w:val="670"/>
    <w:uiPriority w:val="99"/>
    <w:unhideWhenUsed/>
    <w:pPr>
      <w:pBdr/>
      <w:spacing w:after="0" w:afterAutospacing="0"/>
      <w:ind/>
    </w:pPr>
  </w:style>
  <w:style w:type="paragraph" w:styleId="670" w:default="1">
    <w:name w:val="Normal"/>
    <w:qFormat/>
    <w:pPr>
      <w:pBdr/>
      <w:spacing/>
      <w:ind/>
    </w:pPr>
  </w:style>
  <w:style w:type="character" w:styleId="671" w:default="1">
    <w:name w:val="Default Paragraph Font"/>
    <w:uiPriority w:val="1"/>
    <w:semiHidden/>
    <w:unhideWhenUsed/>
    <w:pPr>
      <w:pBdr/>
      <w:spacing/>
      <w:ind/>
    </w:pPr>
  </w:style>
  <w:style w:type="table" w:styleId="6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3" w:default="1">
    <w:name w:val="No List"/>
    <w:uiPriority w:val="99"/>
    <w:semiHidden/>
    <w:unhideWhenUsed/>
    <w:pPr>
      <w:pBdr/>
      <w:spacing/>
      <w:ind/>
    </w:pPr>
  </w:style>
  <w:style w:type="paragraph" w:styleId="674">
    <w:name w:val="List Paragraph"/>
    <w:basedOn w:val="6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dspace.utpl.edu.ec/handle/29.500.19856/73559?locale=es" TargetMode="External"/><Relationship Id="rId10" Type="http://schemas.openxmlformats.org/officeDocument/2006/relationships/hyperlink" Target="https://training-datalab.com/project/electronic-and-open-government-in-chilean-municipalities/" TargetMode="External"/><Relationship Id="rId11" Type="http://schemas.openxmlformats.org/officeDocument/2006/relationships/hyperlink" Target="https://www.gobiernoabierto.ec/diagnostico-de-gobierno-abierto-y-diseno-de-estrategias-e-instrumentos-que-faciliten-la-implementacion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 I</dc:creator>
  <cp:keywords/>
  <dc:description/>
  <cp:revision>8</cp:revision>
  <dcterms:created xsi:type="dcterms:W3CDTF">2026-04-20T13:41:00Z</dcterms:created>
  <dcterms:modified xsi:type="dcterms:W3CDTF">2026-04-20T15:27:47Z</dcterms:modified>
</cp:coreProperties>
</file>