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Taller</w:t>
      </w:r>
    </w:p>
    <w:p>
      <w:pPr>
        <w:pStyle w:val="BodyText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Econometría aplicada</w:t>
      </w:r>
    </w:p>
    <w:p>
      <w:pPr>
        <w:pStyle w:val="BodyText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 xml:space="preserve">Nombre: </w:t>
      </w:r>
      <w:r>
        <w:rPr>
          <w:rFonts w:ascii="Times New Roman" w:hAnsi="Times New Roman"/>
          <w:b w:val="false"/>
          <w:bCs w:val="false"/>
          <w:color w:val="auto"/>
          <w:sz w:val="20"/>
          <w:szCs w:val="20"/>
          <w:lang w:val="es-ES"/>
        </w:rPr>
        <w:t>Erick Condoy</w:t>
      </w:r>
    </w:p>
    <w:p>
      <w:pPr>
        <w:pStyle w:val="BodyText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 xml:space="preserve">Fecha: </w:t>
      </w:r>
      <w:r>
        <w:rPr>
          <w:rFonts w:ascii="Times New Roman" w:hAnsi="Times New Roman"/>
          <w:b w:val="false"/>
          <w:bCs w:val="false"/>
          <w:color w:val="auto"/>
          <w:sz w:val="20"/>
          <w:szCs w:val="20"/>
          <w:lang w:val="es-ES"/>
        </w:rPr>
        <w:t>22 de mayo de 2026</w:t>
      </w:r>
    </w:p>
    <w:p>
      <w:pPr>
        <w:pStyle w:val="Heading1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bookmarkStart w:id="0" w:name="X73bfed7ade78836a5d201510520686157624618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1. Ecuaciones de Raíz Unitaria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La evaluación del orden de integración de las series temporales del sistema se realiza de forma individual para cada variable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ln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G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M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ln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O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ln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F</m:t>
        </m:r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}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, donde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es el número de afiliados cotizantes activos del IESS,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es el gasto militar (% del PIB),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es la migración neta (miles de personas),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O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es la tasa de homicidios por cada 100,000 habitantes y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es la fuerza laboral total.</w:t>
      </w:r>
    </w:p>
    <w:p>
      <w:pPr>
        <w:pStyle w:val="Heading2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bookmarkStart w:id="1" w:name="prueba-dickey-fuller-aumentada-adf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1.1 Prueba Dickey-Fuller Aumentada (ADF)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>Se estima la regresión auxiliar con constante y tendencia temporal determinista para cada variable: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2" w:name="eq-adf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k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2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Donde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representa la primera diferencia (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),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denota la tendencia determinista,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es el número de rezagos óptimos determinado mediante el Criterio de Información de Schwarz (SIC) para garantizar la ausencia de autocorrelación, y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ϵ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sSup>
          <m:e>
            <m:r>
              <w:rPr>
                <w:rFonts w:ascii="Cambria Math" w:hAnsi="Cambria Math"/>
              </w:rPr>
              <m:t xml:space="preserve">σ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.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>El contraste se define mediante las hipótesis:</w:t>
      </w:r>
    </w:p>
    <w:p>
      <w:pPr>
        <w:pStyle w:val="Compact"/>
        <w:numPr>
          <w:ilvl w:val="0"/>
          <w:numId w:val="1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</w:t>
      </w:r>
      <w:r>
        <w:rPr>
          <w:rFonts w:ascii="Times New Roman" w:hAnsi="Times New Roman"/>
          <w:color w:val="auto"/>
          <w:sz w:val="20"/>
          <w:szCs w:val="20"/>
          <w:lang w:val="es-ES"/>
        </w:rPr>
        <w:t>(La serie temporal posee raíz unitaria; es no estacionaria).</w:t>
      </w:r>
    </w:p>
    <w:p>
      <w:pPr>
        <w:pStyle w:val="Compact"/>
        <w:numPr>
          <w:ilvl w:val="0"/>
          <w:numId w:val="1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</w:t>
      </w:r>
      <w:r>
        <w:rPr>
          <w:rFonts w:ascii="Times New Roman" w:hAnsi="Times New Roman"/>
          <w:color w:val="auto"/>
          <w:sz w:val="20"/>
          <w:szCs w:val="20"/>
          <w:lang w:val="es-ES"/>
        </w:rPr>
        <w:t>(La serie temporal es estacionaria en torno a una tendencia determinista).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El estadístico de prueba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δ</m:t>
                </m:r>
              </m:e>
            </m:acc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se contrasta con los valores críticos tabulados por MacKinnon.</w:t>
      </w:r>
      <w:bookmarkEnd w:id="0"/>
      <w:bookmarkEnd w:id="1"/>
    </w:p>
    <w:p>
      <w:pPr>
        <w:pStyle w:val="Heading1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bookmarkStart w:id="3" w:name="ecuaciones-de-cointegración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2. Ecuaciones de Cointegración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Si las variables son integradas de orden uno,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, se evalúa la existencia de relaciones de equilibrio de largo plazo mediante metodologías complementarias.</w:t>
      </w:r>
    </w:p>
    <w:p>
      <w:pPr>
        <w:pStyle w:val="Heading2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bookmarkStart w:id="4" w:name="cointegración-multivariada-de-johansen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2.1 Cointegración Multivariada de Johansen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Se formula el modelo de Corrección de Error Vectorial (VECM) para el vector de variables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5" w:name="eq-johansen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Π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Φ</m:t>
              </m:r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5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Donde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=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p</m:t>
            </m:r>
          </m:sup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nary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representa la matriz de impacto de largo plazo,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Γ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j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p</m:t>
            </m:r>
          </m:sup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</m:e>
        </m:nary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captura las respuestas dinámicas de corto plazo, y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contiene la constante y tendencias. El rango de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determina el número de vectores de cointegración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mediante dos contrastes:</w:t>
      </w:r>
    </w:p>
    <w:p>
      <w:pPr>
        <w:pStyle w:val="Heading3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bookmarkStart w:id="6" w:name="prueba-de-la-traza-lambda_texttrace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2.1.1 Prueba de la Traza (</w:t>
      </w:r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trace</m:t>
            </m:r>
          </m:sub>
        </m:sSub>
      </m:oMath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)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7" w:name="eq-trace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trace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T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K</m:t>
              </m:r>
            </m:sup>
            <m:e>
              <m:r>
                <w:rPr>
                  <w:rFonts w:ascii="Cambria Math" w:hAnsi="Cambria Math"/>
                </w:rPr>
                <m:t xml:space="preserve">ln</m:t>
              </m:r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sSub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7"/>
    </w:p>
    <w:p>
      <w:pPr>
        <w:pStyle w:val="Compact"/>
        <w:numPr>
          <w:ilvl w:val="0"/>
          <w:numId w:val="7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:</m:t>
        </m:r>
        <m:r>
          <m:rPr>
            <m:lit/>
            <m:nor/>
          </m:rPr>
          <w:rPr>
            <w:rFonts w:ascii="Cambria Math" w:hAnsi="Cambria Math"/>
          </w:rPr>
          <m:t xml:space="preserve">El número de vectores de cointegración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r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.</w:t>
      </w:r>
    </w:p>
    <w:p>
      <w:pPr>
        <w:pStyle w:val="Compact"/>
        <w:numPr>
          <w:ilvl w:val="0"/>
          <w:numId w:val="8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:</m:t>
        </m:r>
        <m:r>
          <m:rPr>
            <m:lit/>
            <m:nor/>
          </m:rPr>
          <w:rPr>
            <w:rFonts w:ascii="Cambria Math" w:hAnsi="Cambria Math"/>
          </w:rPr>
          <m:t xml:space="preserve">El número de vectores de cointegración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r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.</w:t>
      </w:r>
      <w:bookmarkEnd w:id="6"/>
    </w:p>
    <w:p>
      <w:pPr>
        <w:pStyle w:val="Heading3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8" w:name="X908a194bfda704790f5dc44a0018766fdedffc2"/>
      <w:r>
        <w:rPr>
          <w:rFonts w:ascii="Times New Roman" w:hAnsi="Times New Roman"/>
          <w:color w:val="auto"/>
          <w:sz w:val="20"/>
          <w:szCs w:val="20"/>
          <w:lang w:val="es-ES"/>
        </w:rPr>
        <w:t>2.1.2 Prueba del Máximo Valor Propio (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max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>)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9" w:name="eq-max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max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sSub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9"/>
    </w:p>
    <w:p>
      <w:pPr>
        <w:pStyle w:val="Compact"/>
        <w:numPr>
          <w:ilvl w:val="0"/>
          <w:numId w:val="9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:</m:t>
        </m:r>
        <m:r>
          <m:rPr>
            <m:lit/>
            <m:nor/>
          </m:rPr>
          <w:rPr>
            <w:rFonts w:ascii="Cambria Math" w:hAnsi="Cambria Math"/>
          </w:rPr>
          <m:t xml:space="preserve">El número de vectores de cointegración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r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.</w:t>
      </w:r>
    </w:p>
    <w:p>
      <w:pPr>
        <w:pStyle w:val="Compact"/>
        <w:numPr>
          <w:ilvl w:val="0"/>
          <w:numId w:val="10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:</m:t>
        </m:r>
        <m:r>
          <m:rPr>
            <m:lit/>
            <m:nor/>
          </m:rPr>
          <w:rPr>
            <w:rFonts w:ascii="Cambria Math" w:hAnsi="Cambria Math"/>
          </w:rPr>
          <m:t xml:space="preserve">El número de vectores de cointegración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.</w:t>
      </w:r>
      <w:bookmarkEnd w:id="4"/>
      <w:bookmarkEnd w:id="8"/>
    </w:p>
    <w:p>
      <w:pPr>
        <w:pStyle w:val="Heading2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bookmarkStart w:id="10" w:name="X9feb85865a36b9ba75a05e4cdce5b089d2a5605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 xml:space="preserve">2.2 Prueba de Cointegración por Límites 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Para evaluar la cointegración bajo órdenes de integración mixtos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, se estima la ecuación auxiliar condicional de corrección de error para la variable de afiliados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ln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11" w:name="eq-bounds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G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M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H</m:t>
          </m:r>
          <m:sSub>
            <m:e>
              <m:r>
                <w:rPr>
                  <w:rFonts w:ascii="Cambria Math" w:hAnsi="Cambria Math"/>
                </w:rPr>
                <m:t xml:space="preserve">O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F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G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M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H</m:t>
          </m:r>
          <m:sSub>
            <m:e>
              <m:r>
                <w:rPr>
                  <w:rFonts w:ascii="Cambria Math" w:hAnsi="Cambria Math"/>
                </w:rPr>
                <m:t xml:space="preserve">O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F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11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>El contraste F conjunto de cointegración se plantea como:</w:t>
      </w:r>
    </w:p>
    <w:p>
      <w:pPr>
        <w:pStyle w:val="Compact"/>
        <w:numPr>
          <w:ilvl w:val="0"/>
          <w:numId w:val="11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: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</w:t>
      </w:r>
      <w:r>
        <w:rPr>
          <w:rFonts w:ascii="Times New Roman" w:hAnsi="Times New Roman"/>
          <w:color w:val="auto"/>
          <w:sz w:val="20"/>
          <w:szCs w:val="20"/>
          <w:lang w:val="es-ES"/>
        </w:rPr>
        <w:t>(No existe relación de largo plazo).</w:t>
      </w:r>
    </w:p>
    <w:p>
      <w:pPr>
        <w:pStyle w:val="Compact"/>
        <w:numPr>
          <w:ilvl w:val="0"/>
          <w:numId w:val="12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:</m:t>
        </m:r>
        <m:r>
          <m:rPr>
            <m:lit/>
            <m:nor/>
          </m:rPr>
          <w:rPr>
            <w:rFonts w:ascii="Cambria Math" w:hAnsi="Cambria Math"/>
          </w:rPr>
          <m:t xml:space="preserve">Al menos un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</w:t>
      </w:r>
      <w:r>
        <w:rPr>
          <w:rFonts w:ascii="Times New Roman" w:hAnsi="Times New Roman"/>
          <w:color w:val="auto"/>
          <w:sz w:val="20"/>
          <w:szCs w:val="20"/>
          <w:lang w:val="es-ES"/>
        </w:rPr>
        <w:t>(Existe una relación de equilibrio de largo plazo).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El estadístico F calculado se evalúa contra las cotas críticas inferiores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y superiores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de Pesaran.</w:t>
      </w:r>
      <w:bookmarkEnd w:id="3"/>
      <w:bookmarkEnd w:id="10"/>
    </w:p>
    <w:p>
      <w:pPr>
        <w:pStyle w:val="Heading1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12" w:name="ecuaciones-de-corrección-de-error-ecm"/>
      <w:bookmarkEnd w:id="12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3. Ecuaciones de Corrección de Error (ECM)</w:t>
      </w:r>
    </w:p>
    <w:p>
      <w:pPr>
        <w:pStyle w:val="Heading2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13" w:name="ecuación-de-corrección-de-error-del-vecm"/>
      <w:r>
        <w:rPr>
          <w:rFonts w:ascii="Times New Roman" w:hAnsi="Times New Roman"/>
          <w:color w:val="auto"/>
          <w:sz w:val="20"/>
          <w:szCs w:val="20"/>
          <w:lang w:val="es-ES"/>
        </w:rPr>
        <w:t>3.1 Ecuación de Corrección de Error del VECM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Para el sistema cointegrado con rango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, la ecuación para la dinámica de corto plazo de la afiliación al IESS es: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14" w:name="eq-vecm-ecm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C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′</m:t>
                  </m:r>
                </m:sup>
              </m:sSubSup>
            </m:e>
          </m:nary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14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>Donde el término de corrección de error de largo plazo rezagado es: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15" w:name="eq-vecm-ect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C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G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M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H</m:t>
          </m:r>
          <m:sSub>
            <m:e>
              <m:r>
                <w:rPr>
                  <w:rFonts w:ascii="Cambria Math" w:hAnsi="Cambria Math"/>
                </w:rPr>
                <m:t xml:space="preserve">O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F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15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El coeficiente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representa la velocidad de ajuste actuarial. Fisiológicamente se requiere que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y sea estadísticamente significativo para asegurar la convergencia dinámica.</w:t>
      </w:r>
      <w:bookmarkEnd w:id="13"/>
    </w:p>
    <w:p>
      <w:pPr>
        <w:pStyle w:val="Heading2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16" w:name="X924f4f0950a55343935877feb71228269b8e692"/>
      <w:bookmarkEnd w:id="16"/>
      <w:r>
        <w:rPr>
          <w:rFonts w:ascii="Times New Roman" w:hAnsi="Times New Roman"/>
          <w:color w:val="auto"/>
          <w:sz w:val="20"/>
          <w:szCs w:val="20"/>
          <w:lang w:val="es-ES"/>
        </w:rPr>
        <w:t>3.2 Ecuación de Corrección de Error del ARDL-ECM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>La especificación uniecuacional óptima estimada para evaluar la dinámica de los afiliados es: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17" w:name="eq-ardl-ecm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/>
              </m:sSubSup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/>
              </m:sSubSup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G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/>
              </m:sSubSup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M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/>
              </m:sSubSup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H</m:t>
          </m:r>
          <m:sSub>
            <m:e>
              <m:r>
                <w:rPr>
                  <w:rFonts w:ascii="Cambria Math" w:hAnsi="Cambria Math"/>
                </w:rPr>
                <m:t xml:space="preserve">O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/>
              </m:sSubSup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F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λ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C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9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17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Donde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es la velocidad de ajuste actuarial y el término de error rezagado es: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18" w:name="eq-ardl-ect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C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G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M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H</m:t>
          </m:r>
          <m:sSub>
            <m:e>
              <m:r>
                <w:rPr>
                  <w:rFonts w:ascii="Cambria Math" w:hAnsi="Cambria Math"/>
                </w:rPr>
                <m:t xml:space="preserve">O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F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18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Los coeficientes de elasticidad de largo plazo se derivan mediante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θ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δ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δ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den>
        </m:f>
      </m:oMath>
      <w:r>
        <w:rPr>
          <w:rFonts w:ascii="Times New Roman" w:hAnsi="Times New Roman"/>
          <w:color w:val="auto"/>
          <w:sz w:val="20"/>
          <w:szCs w:val="20"/>
          <w:lang w:val="es-ES"/>
        </w:rPr>
        <w:t>.</w:t>
      </w:r>
    </w:p>
    <w:p>
      <w:pPr>
        <w:pStyle w:val="Heading1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bookmarkStart w:id="19" w:name="ecuaciones-de-corrección-de-error-ecm"/>
      <w:bookmarkStart w:id="20" w:name="X924f4f0950a55343935877feb71228269b8e692"/>
      <w:bookmarkStart w:id="21" w:name="ecuaciones-de-causalidad"/>
      <w:bookmarkEnd w:id="19"/>
      <w:bookmarkEnd w:id="20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4. Ecuaciones de Causalidad</w:t>
      </w:r>
    </w:p>
    <w:p>
      <w:pPr>
        <w:pStyle w:val="Heading2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bookmarkStart w:id="22" w:name="Xabefe92530292f21d95f0c6b37910d32a6d7186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4.1 Causalidad de Granger en el Marco del VAR (Variables Estacionarias)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Para cualquier par de variables estacionarias en diferencias del sistema,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y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>, la prueba de causalidad temporal estima la regresión: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23" w:name="eq-granger-var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p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p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11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23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La hipótesis nula de ausencia de causalidad de Granger de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hacia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es: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24" w:name="eq-granger-var-null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:</m:t>
          </m:r>
          <m:sSub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12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24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25" w:name="Xabefe92530292f21d95f0c6b37910d32a6d7186"/>
      <w:r>
        <w:rPr>
          <w:rFonts w:ascii="Times New Roman" w:hAnsi="Times New Roman"/>
          <w:color w:val="auto"/>
          <w:sz w:val="20"/>
          <w:szCs w:val="20"/>
          <w:lang w:val="es-ES"/>
        </w:rPr>
        <w:t>Se evalúa mediante un test Wald-F conjunto sobre los coeficientes rezagados de la variable explicativa.</w:t>
      </w:r>
      <w:bookmarkEnd w:id="25"/>
    </w:p>
    <w:p>
      <w:pPr>
        <w:pStyle w:val="Heading2"/>
        <w:jc w:val="both"/>
        <w:rPr>
          <w:rFonts w:ascii="Times New Roman" w:hAnsi="Times New Roman"/>
          <w:b/>
          <w:bCs/>
          <w:color w:val="auto"/>
          <w:sz w:val="20"/>
          <w:szCs w:val="20"/>
          <w:lang w:val="es-ES"/>
        </w:rPr>
      </w:pPr>
      <w:bookmarkStart w:id="26" w:name="X34621fb8bd229fbd7ce8be032e1d7e463db6665"/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4.2 Causalidad de Granger en el Marco del VECM (Variables Cointegradas)</w:t>
      </w:r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>Si las variables están cointegradas, la prueba se especifica incorporando el término de corrección de error rezagado para evitar sesgos por omisión de variables:</w:t>
      </w:r>
    </w:p>
    <w:p>
      <w:pPr>
        <w:pStyle w:val="BodyText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bookmarkStart w:id="27" w:name="eq-granger-vecm"/>
      <w:r>
        <w:rPr>
          <w:rFonts w:ascii="Times New Roman" w:hAnsi="Times New Roman"/>
          <w:color w:val="auto"/>
          <w:sz w:val="20"/>
          <w:szCs w:val="20"/>
          <w:lang w:val="es-ES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C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13</m:t>
          </m:r>
          <m:r>
            <w:rPr>
              <w:rFonts w:ascii="Cambria Math" w:hAnsi="Cambria Math"/>
            </w:rPr>
            <m:t xml:space="preserve">)</m:t>
          </m:r>
        </m:oMath>
      </m:oMathPara>
      <w:bookmarkEnd w:id="27"/>
    </w:p>
    <w:p>
      <w:pPr>
        <w:pStyle w:val="FirstParagraph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Donde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es cualquiera de los regresores explicativos (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ln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ln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>). La formulación permite verificar tres dimensiones independientes de causalidad:</w:t>
      </w:r>
    </w:p>
    <w:p>
      <w:pPr>
        <w:pStyle w:val="Compact"/>
        <w:numPr>
          <w:ilvl w:val="0"/>
          <w:numId w:val="13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Causalidad de Corto Plazo:</w:t>
      </w: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Contraste conjunto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: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(test Wald-F sobre los coeficientes de las variables explicativas rezagadas en diferencias).</w:t>
      </w:r>
    </w:p>
    <w:p>
      <w:pPr>
        <w:pStyle w:val="Compact"/>
        <w:numPr>
          <w:ilvl w:val="0"/>
          <w:numId w:val="5"/>
        </w:numPr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Causalidad de Largo Plazo:</w:t>
      </w: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Contraste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:</m:t>
        </m:r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(test de significación t estándar sobre la velocidad de ajuste actuarial).</w:t>
      </w:r>
    </w:p>
    <w:p>
      <w:pPr>
        <w:pStyle w:val="Compact"/>
        <w:numPr>
          <w:ilvl w:val="0"/>
          <w:numId w:val="5"/>
        </w:numPr>
        <w:spacing w:before="36" w:after="36"/>
        <w:jc w:val="both"/>
        <w:rPr>
          <w:rFonts w:ascii="Times New Roman" w:hAnsi="Times New Roman"/>
          <w:color w:val="auto"/>
          <w:sz w:val="20"/>
          <w:szCs w:val="20"/>
          <w:lang w:val="es-ES"/>
        </w:rPr>
      </w:pPr>
      <w:r>
        <w:rPr>
          <w:rFonts w:ascii="Times New Roman" w:hAnsi="Times New Roman"/>
          <w:b/>
          <w:bCs/>
          <w:color w:val="auto"/>
          <w:sz w:val="20"/>
          <w:szCs w:val="20"/>
          <w:lang w:val="es-ES"/>
        </w:rPr>
        <w:t>Causalidad Fuerte o Conjunta:</w:t>
      </w:r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Contraste conjunto de corto y largo plazo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:</m:t>
        </m:r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auto"/>
          <w:sz w:val="20"/>
          <w:szCs w:val="20"/>
          <w:lang w:val="es-ES"/>
        </w:rPr>
        <w:t xml:space="preserve"> (test Wald F conjunto sobre todas las variables explicativas y el término </w:t>
      </w:r>
      <w:r>
        <w:rPr>
          <w:rFonts w:ascii="Times New Roman" w:hAnsi="Times New Roman"/>
          <w:color w:val="auto"/>
          <w:sz w:val="20"/>
          <w:szCs w:val="20"/>
          <w:lang w:val="es-ES"/>
        </w:rPr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ascii="Times New Roman" w:hAnsi="Times New Roman"/>
          <w:color w:val="auto"/>
          <w:sz w:val="20"/>
          <w:szCs w:val="20"/>
          <w:lang w:val="es-ES"/>
        </w:rPr>
        <w:t>).</w:t>
      </w:r>
      <w:bookmarkEnd w:id="21"/>
      <w:bookmarkEnd w:id="2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color w:val="D73A49"/>
    </w:rPr>
  </w:style>
  <w:style w:type="character" w:styleId="DataTypeTok" w:customStyle="1">
    <w:name w:val="DataTypeTok"/>
    <w:basedOn w:val="VerbatimChar"/>
    <w:qFormat/>
    <w:rPr>
      <w:color w:val="D73A49"/>
    </w:rPr>
  </w:style>
  <w:style w:type="character" w:styleId="DecValTok" w:customStyle="1">
    <w:name w:val="DecValTok"/>
    <w:basedOn w:val="VerbatimChar"/>
    <w:qFormat/>
    <w:rPr>
      <w:color w:val="005CC5"/>
    </w:rPr>
  </w:style>
  <w:style w:type="character" w:styleId="BaseNTok" w:customStyle="1">
    <w:name w:val="BaseNTok"/>
    <w:basedOn w:val="VerbatimChar"/>
    <w:qFormat/>
    <w:rPr>
      <w:color w:val="005CC5"/>
    </w:rPr>
  </w:style>
  <w:style w:type="character" w:styleId="FloatTok" w:customStyle="1">
    <w:name w:val="FloatTok"/>
    <w:basedOn w:val="VerbatimChar"/>
    <w:qFormat/>
    <w:rPr>
      <w:color w:val="005CC5"/>
    </w:rPr>
  </w:style>
  <w:style w:type="character" w:styleId="ConstantTok" w:customStyle="1">
    <w:name w:val="ConstantTok"/>
    <w:basedOn w:val="VerbatimChar"/>
    <w:qFormat/>
    <w:rPr>
      <w:color w:val="005CC5"/>
    </w:rPr>
  </w:style>
  <w:style w:type="character" w:styleId="CharTok" w:customStyle="1">
    <w:name w:val="CharTok"/>
    <w:basedOn w:val="VerbatimChar"/>
    <w:qFormat/>
    <w:rPr>
      <w:color w:val="032F62"/>
    </w:rPr>
  </w:style>
  <w:style w:type="character" w:styleId="SpecialCharTok" w:customStyle="1">
    <w:name w:val="SpecialCharTok"/>
    <w:basedOn w:val="VerbatimChar"/>
    <w:qFormat/>
    <w:rPr>
      <w:color w:val="005CC5"/>
    </w:rPr>
  </w:style>
  <w:style w:type="character" w:styleId="StringTok" w:customStyle="1">
    <w:name w:val="StringTok"/>
    <w:basedOn w:val="VerbatimChar"/>
    <w:qFormat/>
    <w:rPr>
      <w:color w:val="032F62"/>
    </w:rPr>
  </w:style>
  <w:style w:type="character" w:styleId="VerbatimStringTok" w:customStyle="1">
    <w:name w:val="VerbatimStringTok"/>
    <w:basedOn w:val="VerbatimChar"/>
    <w:qFormat/>
    <w:rPr>
      <w:color w:val="032F62"/>
    </w:rPr>
  </w:style>
  <w:style w:type="character" w:styleId="SpecialStringTok" w:customStyle="1">
    <w:name w:val="SpecialStringTok"/>
    <w:basedOn w:val="VerbatimChar"/>
    <w:qFormat/>
    <w:rPr>
      <w:color w:val="032F62"/>
    </w:rPr>
  </w:style>
  <w:style w:type="character" w:styleId="ImportTok" w:customStyle="1">
    <w:name w:val="ImportTok"/>
    <w:basedOn w:val="VerbatimChar"/>
    <w:qFormat/>
    <w:rPr>
      <w:color w:val="032F62"/>
    </w:rPr>
  </w:style>
  <w:style w:type="character" w:styleId="CommentTok" w:customStyle="1">
    <w:name w:val="CommentTok"/>
    <w:basedOn w:val="VerbatimChar"/>
    <w:qFormat/>
    <w:rPr>
      <w:color w:val="6A737D"/>
    </w:rPr>
  </w:style>
  <w:style w:type="character" w:styleId="DocumentationTok" w:customStyle="1">
    <w:name w:val="DocumentationTok"/>
    <w:basedOn w:val="VerbatimChar"/>
    <w:qFormat/>
    <w:rPr>
      <w:color w:val="6A737D"/>
    </w:rPr>
  </w:style>
  <w:style w:type="character" w:styleId="AnnotationTok" w:customStyle="1">
    <w:name w:val="AnnotationTok"/>
    <w:basedOn w:val="VerbatimChar"/>
    <w:qFormat/>
    <w:rPr>
      <w:color w:val="6A737D"/>
    </w:rPr>
  </w:style>
  <w:style w:type="character" w:styleId="CommentVarTok" w:customStyle="1">
    <w:name w:val="CommentVarTok"/>
    <w:basedOn w:val="VerbatimChar"/>
    <w:qFormat/>
    <w:rPr>
      <w:color w:val="6A737D"/>
    </w:rPr>
  </w:style>
  <w:style w:type="character" w:styleId="OtherTok" w:customStyle="1">
    <w:name w:val="OtherTok"/>
    <w:basedOn w:val="VerbatimChar"/>
    <w:qFormat/>
    <w:rPr>
      <w:color w:val="6F42C1"/>
    </w:rPr>
  </w:style>
  <w:style w:type="character" w:styleId="FunctionTok" w:customStyle="1">
    <w:name w:val="FunctionTok"/>
    <w:basedOn w:val="VerbatimChar"/>
    <w:qFormat/>
    <w:rPr>
      <w:color w:val="6F42C1"/>
    </w:rPr>
  </w:style>
  <w:style w:type="character" w:styleId="VariableTok" w:customStyle="1">
    <w:name w:val="VariableTok"/>
    <w:basedOn w:val="VerbatimChar"/>
    <w:qFormat/>
    <w:rPr>
      <w:color w:val="E36209"/>
    </w:rPr>
  </w:style>
  <w:style w:type="character" w:styleId="ControlFlowTok" w:customStyle="1">
    <w:name w:val="ControlFlowTok"/>
    <w:basedOn w:val="VerbatimChar"/>
    <w:qFormat/>
    <w:rPr>
      <w:color w:val="D73A49"/>
    </w:rPr>
  </w:style>
  <w:style w:type="character" w:styleId="OperatorTok" w:customStyle="1">
    <w:name w:val="OperatorTok"/>
    <w:basedOn w:val="VerbatimChar"/>
    <w:qFormat/>
    <w:rPr>
      <w:color w:val="24292E"/>
    </w:rPr>
  </w:style>
  <w:style w:type="character" w:styleId="BuiltInTok" w:customStyle="1">
    <w:name w:val="BuiltInTok"/>
    <w:basedOn w:val="VerbatimChar"/>
    <w:qFormat/>
    <w:rPr>
      <w:color w:val="D73A49"/>
    </w:rPr>
  </w:style>
  <w:style w:type="character" w:styleId="ExtensionTok" w:customStyle="1">
    <w:name w:val="ExtensionTok"/>
    <w:basedOn w:val="VerbatimChar"/>
    <w:qFormat/>
    <w:rPr>
      <w:b/>
      <w:color w:val="D73A49"/>
    </w:rPr>
  </w:style>
  <w:style w:type="character" w:styleId="PreprocessorTok" w:customStyle="1">
    <w:name w:val="PreprocessorTok"/>
    <w:basedOn w:val="VerbatimChar"/>
    <w:qFormat/>
    <w:rPr>
      <w:color w:val="D73A49"/>
    </w:rPr>
  </w:style>
  <w:style w:type="character" w:styleId="AttributeTok" w:customStyle="1">
    <w:name w:val="AttributeTok"/>
    <w:basedOn w:val="VerbatimChar"/>
    <w:qFormat/>
    <w:rPr>
      <w:color w:val="D73A49"/>
    </w:rPr>
  </w:style>
  <w:style w:type="character" w:styleId="RegionMarkerTok" w:customStyle="1">
    <w:name w:val="RegionMarkerTok"/>
    <w:basedOn w:val="VerbatimChar"/>
    <w:qFormat/>
    <w:rPr>
      <w:color w:val="6A737D"/>
    </w:rPr>
  </w:style>
  <w:style w:type="character" w:styleId="InformationTok" w:customStyle="1">
    <w:name w:val="InformationTok"/>
    <w:basedOn w:val="VerbatimChar"/>
    <w:qFormat/>
    <w:rPr>
      <w:color w:val="6A737D"/>
    </w:rPr>
  </w:style>
  <w:style w:type="character" w:styleId="WarningTok" w:customStyle="1">
    <w:name w:val="WarningTok"/>
    <w:basedOn w:val="VerbatimChar"/>
    <w:qFormat/>
    <w:rPr>
      <w:color w:val="FF5555"/>
    </w:rPr>
  </w:style>
  <w:style w:type="character" w:styleId="AlertTok" w:customStyle="1">
    <w:name w:val="AlertTok"/>
    <w:basedOn w:val="VerbatimChar"/>
    <w:qFormat/>
    <w:rPr>
      <w:b/>
      <w:color w:val="FF5555"/>
    </w:rPr>
  </w:style>
  <w:style w:type="character" w:styleId="ErrorTok" w:customStyle="1">
    <w:name w:val="ErrorTok"/>
    <w:basedOn w:val="VerbatimChar"/>
    <w:qFormat/>
    <w:rPr>
      <w:color w:val="FF5555"/>
    </w:rPr>
  </w:style>
  <w:style w:type="character" w:styleId="NormalTok" w:customStyle="1">
    <w:name w:val="NormalTok"/>
    <w:basedOn w:val="VerbatimChar"/>
    <w:qFormat/>
    <w:rPr>
      <w:color w:val="24292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3</Pages>
  <Words>638</Words>
  <Characters>3454</Characters>
  <CharactersWithSpaces>4063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2026-05-22T14:45:09Z</dcterms:created>
  <dc:creator/>
  <dc:description/>
  <dc:language>en-US</dc:language>
  <cp:lastModifiedBy/>
  <dcterms:modified xsi:type="dcterms:W3CDTF">2026-05-22T09:52:28Z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engines">
    <vt:lpwstr/>
  </property>
  <property fmtid="{D5CDD505-2E9C-101B-9397-08002B2CF9AE}" pid="6" name="faculty">
    <vt:lpwstr>FACULTAD JURÍDICA, SOCIAL Y ADMINISTRATIVA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rofessor">
    <vt:lpwstr>Econ. Jose Rafael Alvarado Lopez</vt:lpwstr>
  </property>
  <property fmtid="{D5CDD505-2E9C-101B-9397-08002B2CF9AE}" pid="12" name="school">
    <vt:lpwstr>CARRERA DE ECONOMÍA</vt:lpwstr>
  </property>
  <property fmtid="{D5CDD505-2E9C-101B-9397-08002B2CF9AE}" pid="13" name="toc-title">
    <vt:lpwstr>Table of contents</vt:lpwstr>
  </property>
  <property fmtid="{D5CDD505-2E9C-101B-9397-08002B2CF9AE}" pid="14" name="university">
    <vt:lpwstr>UNIVERSIDAD NACIONAL DE LOJA</vt:lpwstr>
  </property>
  <property fmtid="{D5CDD505-2E9C-101B-9397-08002B2CF9AE}" pid="15" name="year">
    <vt:lpwstr>2026</vt:lpwstr>
  </property>
</Properties>
</file>