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ACD1: Modelos de Datos de Panel en América Latina</w:t>
      </w:r>
    </w:p>
    <w:p>
      <w:pPr>
        <w:pStyle w:val="Subtitle"/>
      </w:pPr>
      <w:r>
        <w:t xml:space="preserve">Unidad 3 - Econometría Aplicada</w:t>
      </w:r>
    </w:p>
    <w:p>
      <w:pPr>
        <w:pStyle w:val="Author"/>
      </w:pPr>
      <w:r>
        <w:t xml:space="preserve">Erick Fabricio Condoy Seraquive</w:t>
      </w:r>
    </w:p>
    <w:p>
      <w:pPr>
        <w:pStyle w:val="Date"/>
      </w:pPr>
      <w:r>
        <w:t xml:space="preserve">2026-06-25</w:t>
      </w:r>
    </w:p>
    <w:bookmarkStart w:id="9" w:name="resumen"/>
    <w:p>
      <w:pPr>
        <w:pStyle w:val="Heading1"/>
      </w:pPr>
      <w:r>
        <w:t xml:space="preserve">Resumen</w:t>
      </w:r>
    </w:p>
    <w:p>
      <w:pPr>
        <w:pStyle w:val="FirstParagraph"/>
      </w:pPr>
      <w:r>
        <w:t xml:space="preserve">La dependencia de rentas extractivas en diez países de América del Sur (2001-2023) responde a factores fiscales y financieros. Un panel balanceado estimado mediante efectos fijos y mínimos cuadrados generalizados factibles (FGLS) evalúa el impacto de los ingresos impositivos, el crédito privado, la inversión extranjera directa y las reservas internacionales. Los ingresos impositivos muestran una elasticidad de transmisión positiva y significativa. Esto evidencia el carácter rentista de las finanzas públicas en la región. En contraste, el crédito doméstico privado mitiga la dependencia extractiva. Su efectividad depende del patrón de especialización productiva. El impacto es significativo únicamente en economías exportadoras de hidrocarburos.</w:t>
      </w:r>
    </w:p>
    <w:p>
      <w:pPr>
        <w:pStyle w:val="BodyText"/>
      </w:pPr>
      <w:r>
        <w:rPr>
          <w:b/>
          <w:bCs/>
        </w:rPr>
        <w:t xml:space="preserve">Palabras clave:</w:t>
      </w:r>
      <w:r>
        <w:t xml:space="preserve"> </w:t>
      </w:r>
      <w:r>
        <w:t xml:space="preserve">Dependencia de Rentas Extractivas, Ingresos Impositivos, América del Sur, Datos de Panel, Efectos Fijos, Mínimos Cuadrados Generalizados Factibles.</w:t>
      </w:r>
    </w:p>
    <w:p>
      <w:pPr>
        <w:pStyle w:val="BodyText"/>
      </w:pPr>
      <w:r>
        <w:rPr>
          <w:b/>
          <w:bCs/>
        </w:rPr>
        <w:t xml:space="preserve">Clasificación JEL:</w:t>
      </w:r>
      <w:r>
        <w:t xml:space="preserve"> </w:t>
      </w:r>
      <w:r>
        <w:t xml:space="preserve">C23, H21, Q32, Q38, O54.</w:t>
      </w:r>
    </w:p>
    <w:bookmarkEnd w:id="9"/>
    <w:bookmarkStart w:id="10" w:name="introducción"/>
    <w:p>
      <w:pPr>
        <w:pStyle w:val="Heading1"/>
      </w:pPr>
      <w:r>
        <w:t xml:space="preserve">1. Introducción</w:t>
      </w:r>
    </w:p>
    <w:p>
      <w:pPr>
        <w:pStyle w:val="FirstParagraph"/>
      </w:pPr>
      <w:r>
        <w:t xml:space="preserve">Las economías de América del Sur dependen estructuralmente de la exportación de materias primas. Esta especialización expone las balanzas de pagos y presupuestos fiscales a la volatilidad de los mercados globales. La estimación con datos de panel controla la heterogeneidad no observada por país. Así, supera las limitaciones metodológicas de los análisis agregados de sección cruzada o series de tiempo aisladas.</w:t>
      </w:r>
    </w:p>
    <w:bookmarkEnd w:id="10"/>
    <w:bookmarkStart w:id="11" w:name="planteamiento-del-problema"/>
    <w:p>
      <w:pPr>
        <w:pStyle w:val="Heading1"/>
      </w:pPr>
      <w:r>
        <w:t xml:space="preserve">2. Planteamiento del Problema</w:t>
      </w:r>
    </w:p>
    <w:p>
      <w:pPr>
        <w:pStyle w:val="FirstParagraph"/>
      </w:pPr>
      <w:r>
        <w:t xml:space="preserve">La dependencia estructural de recursos naturales en América del Sur genera una primarización económica que compromete la estabilidad regional. Los presupuestos fiscales y la liquidez doméstica fluctúan según el ciclo internacional de los commodities. Durante los auges de precios, los ingresos tributarios aumentan de forma acelerada y alientan un gasto público procíclico. En las fases de caída, los presupuestos colapsan. El canal de transmisión fiscal interactúa con sistemas financieros locales poco profundos, incapaces de aislar al sector productivo interno mediante el crédito. El problema central consiste en cuantificar en qué medida el canal fiscal y el desarrollo financiero determinan la dependencia de las rentas extractivas bajo distintas estructuras exportadoras.</w:t>
      </w:r>
    </w:p>
    <w:bookmarkEnd w:id="11"/>
    <w:bookmarkStart w:id="12" w:name="justificación"/>
    <w:p>
      <w:pPr>
        <w:pStyle w:val="Heading1"/>
      </w:pPr>
      <w:r>
        <w:t xml:space="preserve">3. Justificación</w:t>
      </w:r>
    </w:p>
    <w:p>
      <w:pPr>
        <w:pStyle w:val="FirstParagraph"/>
      </w:pPr>
      <w:r>
        <w:t xml:space="preserve">América del Sur no es un bloque homogéneo. Esta realidad exige evidencia empírica diferenciada. Evaluar el impacto de shocks fiscales y financieros según la especialización del país (distinguiendo entre exportadores de hidrocarburos y economías minero-agropecuarias) es crucial para la política macroeconómica. La estimación de elasticidades de transmisión para diez países (2001-2023) determina si el crédito privado local amortigua la primarización económica o si el ajuste frente a perturbaciones externas recae exclusivamente en el presupuesto estatal.</w:t>
      </w:r>
    </w:p>
    <w:bookmarkEnd w:id="12"/>
    <w:bookmarkStart w:id="15" w:name="revisión-de-la-literatura"/>
    <w:p>
      <w:pPr>
        <w:pStyle w:val="Heading1"/>
      </w:pPr>
      <w:r>
        <w:t xml:space="preserve">4. Revisión de la Literatura</w:t>
      </w:r>
    </w:p>
    <w:bookmarkStart w:id="13" w:name="marco-teórico"/>
    <w:p>
      <w:pPr>
        <w:pStyle w:val="Heading2"/>
      </w:pPr>
      <w:r>
        <w:t xml:space="preserve">4.1 Marco Teórico</w:t>
      </w:r>
    </w:p>
    <w:p>
      <w:pPr>
        <w:pStyle w:val="FirstParagraph"/>
      </w:pPr>
      <w:r>
        <w:t xml:space="preserve">El análisis se fundamenta en la teoría del efecto voracidad de</w:t>
      </w:r>
      <w:r>
        <w:t xml:space="preserve"> </w:t>
      </w:r>
      <w:r>
        <w:t xml:space="preserve">Tornell y Lane (</w:t>
      </w:r>
      <w:hyperlink w:anchor="ref-tornell1999voracity">
        <w:r>
          <w:rPr>
            <w:rStyle w:val="Hyperlink"/>
          </w:rPr>
          <w:t xml:space="preserve">1999</w:t>
        </w:r>
      </w:hyperlink>
      <w:r>
        <w:t xml:space="preserve">)</w:t>
      </w:r>
      <w:r>
        <w:t xml:space="preserve">. En economías con instituciones débiles y grupos de interés fragmentados, un aumento temporal en los precios de exportación genera una expansión más que proporcional del gasto público corriente. Este fenómeno opera mediante un problema de común acceso al fondo fiscal. Cada grupo de interés presiona por transferencias estatales e internaliza solo una fracción del costo marginal de su gasto, beneficiándose de la apropiación total. Este comportamiento induce un presupuesto público procíclico. La consecuencia es una mayor dependencia fiscal de las rentas extractivas, lo cual desincentiva la acumulación de capital productivo y eleva la vulnerabilidad macroeconómica ante shocks externos de precios.</w:t>
      </w:r>
    </w:p>
    <w:bookmarkEnd w:id="13"/>
    <w:bookmarkStart w:id="14" w:name="evidencia-empírica"/>
    <w:p>
      <w:pPr>
        <w:pStyle w:val="Heading2"/>
      </w:pPr>
      <w:r>
        <w:t xml:space="preserve">4.2 Evidencia Empírica</w:t>
      </w:r>
    </w:p>
    <w:p>
      <w:pPr>
        <w:pStyle w:val="FirstParagraph"/>
      </w:pPr>
      <w:r>
        <w:t xml:space="preserve">La evidencia empírica valida el predominio del canal fiscal en países exportadores de recursos naturales. Para América Latina,</w:t>
      </w:r>
      <w:r>
        <w:t xml:space="preserve"> </w:t>
      </w:r>
      <w:r>
        <w:t xml:space="preserve">Frankel et al. (</w:t>
      </w:r>
      <w:hyperlink w:anchor="ref-frankel2013graduation">
        <w:r>
          <w:rPr>
            <w:rStyle w:val="Hyperlink"/>
          </w:rPr>
          <w:t xml:space="preserve">2013</w:t>
        </w:r>
      </w:hyperlink>
      <w:r>
        <w:t xml:space="preserve">)</w:t>
      </w:r>
      <w:r>
        <w:t xml:space="preserve"> </w:t>
      </w:r>
      <w:r>
        <w:t xml:space="preserve">corroboran que las reformas estructurales e institucionales buscan atenuar la prociclicidad del gasto durante los ciclos expansivos. En Ecuador,</w:t>
      </w:r>
      <w:r>
        <w:t xml:space="preserve"> </w:t>
      </w:r>
      <w:r>
        <w:t xml:space="preserve">Baculima-Cuesta et al. (</w:t>
      </w:r>
      <w:hyperlink w:anchor="ref-baculima2026">
        <w:r>
          <w:rPr>
            <w:rStyle w:val="Hyperlink"/>
          </w:rPr>
          <w:t xml:space="preserve">2026</w:t>
        </w:r>
      </w:hyperlink>
      <w:r>
        <w:t xml:space="preserve">)</w:t>
      </w:r>
      <w:r>
        <w:t xml:space="preserve"> </w:t>
      </w:r>
      <w:r>
        <w:t xml:space="preserve">aplican un modelo de cambio de régimen de Markov para evaluar la sostenibilidad fiscal. Sus resultados confirman la alternancia entre periodos de disciplina fiscal y fases de alta vulnerabilidad en la gestión de las finanzas públicas.</w:t>
      </w:r>
    </w:p>
    <w:bookmarkEnd w:id="14"/>
    <w:bookmarkEnd w:id="15"/>
    <w:bookmarkStart w:id="26" w:name="metodología"/>
    <w:p>
      <w:pPr>
        <w:pStyle w:val="Heading1"/>
      </w:pPr>
      <w:r>
        <w:t xml:space="preserve">5. Metodología</w:t>
      </w:r>
    </w:p>
    <w:p>
      <w:pPr>
        <w:pStyle w:val="FirstParagraph"/>
      </w:pPr>
      <w:r>
        <w:t xml:space="preserve">La estimación emplea un modelo macroeconómico de transmisión fiscal y financiera en forma reducida. Esta especificación calcula las elasticidades sin imponer restricciones sobre las funciones de utilidad del sector público.</w:t>
      </w:r>
    </w:p>
    <w:p>
      <w:pPr>
        <w:pStyle w:val="BodyText"/>
      </w:pPr>
      <w:r>
        <w:t xml:space="preserve">El diseño metodológico se basa en la teoría del efecto voracidad de</w:t>
      </w:r>
      <w:r>
        <w:t xml:space="preserve"> </w:t>
      </w:r>
      <w:r>
        <w:t xml:space="preserve">Tornell y Lane (</w:t>
      </w:r>
      <w:hyperlink w:anchor="ref-tornell1999voracity">
        <w:r>
          <w:rPr>
            <w:rStyle w:val="Hyperlink"/>
          </w:rPr>
          <w:t xml:space="preserve">1999</w:t>
        </w:r>
      </w:hyperlink>
      <w:r>
        <w:t xml:space="preserve">)</w:t>
      </w:r>
      <w:r>
        <w:t xml:space="preserve"> </w:t>
      </w:r>
      <w:r>
        <w:t xml:space="preserve">y el problema de común acceso al fondo fiscal. Bajo este marco, el canal impositivo y el desarrollo financiero determinan la dependencia de rentas extractivas mediante tres mecanismos.</w:t>
      </w:r>
    </w:p>
    <w:p>
      <w:pPr>
        <w:pStyle w:val="BodyText"/>
      </w:pPr>
      <w:r>
        <w:t xml:space="preserve">Primero, la voracidad fiscal predice que la recaudación originada en recursos naturales incrementa el gasto público corriente y profundiza la dependencia fiscal.</w:t>
      </w:r>
    </w:p>
    <w:p>
      <w:pPr>
        <w:pStyle w:val="BodyText"/>
      </w:pPr>
      <w:r>
        <w:t xml:space="preserve">Segundo, la profundidad del crédito privado local proporciona liquidez a los sectores no extractivos, reduciendo la vulnerabilidad productiva interna.</w:t>
      </w:r>
    </w:p>
    <w:p>
      <w:pPr>
        <w:pStyle w:val="BodyText"/>
      </w:pPr>
      <w:r>
        <w:t xml:space="preserve">Tercero, las reservas internacionales operan como autoseguro macroeconómico frente a perturbaciones de la cuenta externa.</w:t>
      </w:r>
    </w:p>
    <w:bookmarkStart w:id="17" w:name="especificación-del-modelo"/>
    <w:p>
      <w:pPr>
        <w:pStyle w:val="Heading2"/>
      </w:pPr>
      <w:r>
        <w:t xml:space="preserve">5.1 Especificación del Modelo</w:t>
      </w:r>
    </w:p>
    <w:p>
      <w:pPr>
        <w:pStyle w:val="FirstParagraph"/>
      </w:pPr>
      <w:r>
        <w:t xml:space="preserve">La relación doble logarítmica estima las elasticidades de transmisión:</w:t>
      </w:r>
    </w:p>
    <w:p>
      <w:pPr>
        <w:pStyle w:val="BodyText"/>
      </w:pPr>
      <w:bookmarkStart w:id="16" w:name="eq-modelo"/>
      <m:oMathPara>
        <m:oMathParaPr>
          <m:jc m:val="center"/>
        </m:oMathParaPr>
        <m:oMath>
          <m:r>
            <m:rPr>
              <m:sty m:val="p"/>
            </m:rPr>
            <m:t>ln</m:t>
          </m:r>
          <m:r>
            <m:rPr>
              <m:sty m:val="p"/>
            </m:rPr>
            <m:t>(</m:t>
          </m:r>
          <m:sSub>
            <m:e>
              <m:r>
                <m:rPr>
                  <m:nor/>
                  <m:sty m:val="p"/>
                </m:rPr>
                <m:t>VE</m:t>
              </m:r>
            </m:e>
            <m:sub>
              <m:r>
                <m:t>i</m:t>
              </m:r>
              <m:r>
                <m:t>t</m:t>
              </m:r>
            </m:sub>
          </m:sSub>
          <m:r>
            <m:rPr>
              <m:sty m:val="p"/>
            </m:rPr>
            <m:t>)</m:t>
          </m:r>
          <m:r>
            <m:rPr>
              <m:sty m:val="p"/>
            </m:rPr>
            <m:t>=</m:t>
          </m:r>
          <m:sSub>
            <m:e>
              <m:r>
                <m:t>β</m:t>
              </m:r>
            </m:e>
            <m:sub>
              <m:r>
                <m:t>0</m:t>
              </m:r>
            </m:sub>
          </m:sSub>
          <m:r>
            <m:rPr>
              <m:sty m:val="p"/>
            </m:rPr>
            <m:t>+</m:t>
          </m:r>
          <m:sSub>
            <m:e>
              <m:r>
                <m:t>β</m:t>
              </m:r>
            </m:e>
            <m:sub>
              <m:r>
                <m:t>1</m:t>
              </m:r>
            </m:sub>
          </m:sSub>
          <m:r>
            <m:rPr>
              <m:sty m:val="p"/>
            </m:rPr>
            <m:t>ln</m:t>
          </m:r>
          <m:r>
            <m:rPr>
              <m:sty m:val="p"/>
            </m:rPr>
            <m:t>(</m:t>
          </m:r>
          <m:sSub>
            <m:e>
              <m:r>
                <m:rPr>
                  <m:nor/>
                  <m:sty m:val="p"/>
                </m:rPr>
                <m:t>PF</m:t>
              </m:r>
            </m:e>
            <m:sub>
              <m:r>
                <m:t>i</m:t>
              </m:r>
              <m:r>
                <m:t>t</m:t>
              </m:r>
            </m:sub>
          </m:sSub>
          <m:r>
            <m:rPr>
              <m:sty m:val="p"/>
            </m:rPr>
            <m:t>)</m:t>
          </m:r>
          <m:r>
            <m:rPr>
              <m:sty m:val="p"/>
            </m:rPr>
            <m:t>+</m:t>
          </m:r>
          <m:sSub>
            <m:e>
              <m:r>
                <m:t>β</m:t>
              </m:r>
            </m:e>
            <m:sub>
              <m:r>
                <m:t>2</m:t>
              </m:r>
            </m:sub>
          </m:sSub>
          <m:r>
            <m:rPr>
              <m:sty m:val="p"/>
            </m:rPr>
            <m:t>ln</m:t>
          </m:r>
          <m:r>
            <m:rPr>
              <m:sty m:val="p"/>
            </m:rPr>
            <m:t>(</m:t>
          </m:r>
          <m:sSub>
            <m:e>
              <m:r>
                <m:rPr>
                  <m:nor/>
                  <m:sty m:val="p"/>
                </m:rPr>
                <m:t>IE</m:t>
              </m:r>
            </m:e>
            <m:sub>
              <m:r>
                <m:t>i</m:t>
              </m:r>
              <m:r>
                <m:t>t</m:t>
              </m:r>
            </m:sub>
          </m:sSub>
          <m:r>
            <m:rPr>
              <m:sty m:val="p"/>
            </m:rPr>
            <m:t>)</m:t>
          </m:r>
          <m:r>
            <m:rPr>
              <m:sty m:val="p"/>
            </m:rPr>
            <m:t>+</m:t>
          </m:r>
          <m:sSub>
            <m:e>
              <m:r>
                <m:t>β</m:t>
              </m:r>
            </m:e>
            <m:sub>
              <m:r>
                <m:t>3</m:t>
              </m:r>
            </m:sub>
          </m:sSub>
          <m:r>
            <m:rPr>
              <m:sty m:val="p"/>
            </m:rPr>
            <m:t>ln</m:t>
          </m:r>
          <m:r>
            <m:rPr>
              <m:sty m:val="p"/>
            </m:rPr>
            <m:t>(</m:t>
          </m:r>
          <m:sSub>
            <m:e>
              <m:r>
                <m:rPr>
                  <m:nor/>
                  <m:sty m:val="p"/>
                </m:rPr>
                <m:t>AN</m:t>
              </m:r>
            </m:e>
            <m:sub>
              <m:r>
                <m:t>i</m:t>
              </m:r>
              <m:r>
                <m:t>t</m:t>
              </m:r>
            </m:sub>
          </m:sSub>
          <m:r>
            <m:rPr>
              <m:sty m:val="p"/>
            </m:rPr>
            <m:t>)</m:t>
          </m:r>
          <m:r>
            <m:rPr>
              <m:sty m:val="p"/>
            </m:rPr>
            <m:t>+</m:t>
          </m:r>
          <m:sSub>
            <m:e>
              <m:r>
                <m:t>β</m:t>
              </m:r>
            </m:e>
            <m:sub>
              <m:r>
                <m:t>4</m:t>
              </m:r>
            </m:sub>
          </m:sSub>
          <m:r>
            <m:rPr>
              <m:sty m:val="p"/>
            </m:rPr>
            <m:t>ln</m:t>
          </m:r>
          <m:r>
            <m:rPr>
              <m:sty m:val="p"/>
            </m:rPr>
            <m:t>(</m:t>
          </m:r>
          <m:sSub>
            <m:e>
              <m:r>
                <m:rPr>
                  <m:nor/>
                  <m:sty m:val="p"/>
                </m:rPr>
                <m:t>RI</m:t>
              </m:r>
            </m:e>
            <m:sub>
              <m:r>
                <m:t>i</m:t>
              </m:r>
              <m:r>
                <m:t>t</m:t>
              </m:r>
            </m:sub>
          </m:sSub>
          <m:r>
            <m:rPr>
              <m:sty m:val="p"/>
            </m:rPr>
            <m:t>)</m:t>
          </m:r>
          <m:r>
            <m:rPr>
              <m:sty m:val="p"/>
            </m:rPr>
            <m:t>+</m:t>
          </m:r>
          <m:sSub>
            <m:e>
              <m:r>
                <m:t>α</m:t>
              </m:r>
            </m:e>
            <m:sub>
              <m:r>
                <m:t>i</m:t>
              </m:r>
            </m:sub>
          </m:sSub>
          <m:r>
            <m:rPr>
              <m:sty m:val="p"/>
            </m:rPr>
            <m:t>+</m:t>
          </m:r>
          <m:sSub>
            <m:e>
              <m:r>
                <m:t>u</m:t>
              </m:r>
            </m:e>
            <m:sub>
              <m:r>
                <m:t>i</m:t>
              </m:r>
              <m:r>
                <m:t>t</m:t>
              </m:r>
            </m:sub>
          </m:sSub>
          <m:r>
            <m:t>  </m:t>
          </m:r>
          <m:r>
            <m:rPr>
              <m:sty m:val="p"/>
            </m:rPr>
            <m:t>(</m:t>
          </m:r>
          <m:r>
            <m:t>1</m:t>
          </m:r>
          <m:r>
            <m:rPr>
              <m:sty m:val="p"/>
            </m:rPr>
            <m:t>)</m:t>
          </m:r>
        </m:oMath>
      </m:oMathPara>
      <w:bookmarkEnd w:id="16"/>
    </w:p>
    <w:p>
      <w:pPr>
        <w:pStyle w:val="FirstParagraph"/>
      </w:pPr>
      <w:r>
        <w:t xml:space="preserve">Donde</w:t>
      </w:r>
      <w:r>
        <w:t xml:space="preserve"> </w:t>
      </w:r>
      <m:oMath>
        <m:sSub>
          <m:e>
            <m:r>
              <m:rPr>
                <m:nor/>
                <m:sty m:val="p"/>
              </m:rPr>
              <m:t>VE</m:t>
            </m:r>
          </m:e>
          <m:sub>
            <m:r>
              <m:t>i</m:t>
            </m:r>
            <m:r>
              <m:t>t</m:t>
            </m:r>
          </m:sub>
        </m:sSub>
      </m:oMath>
      <w:r>
        <w:t xml:space="preserve"> </w:t>
      </w:r>
      <w:r>
        <w:t xml:space="preserve">representa la Dependencia de Rentas Extractivas medida a través de las rentas totales de recursos naturales (% del PIB);</w:t>
      </w:r>
      <w:r>
        <w:t xml:space="preserve"> </w:t>
      </w:r>
      <m:oMath>
        <m:sSub>
          <m:e>
            <m:r>
              <m:rPr>
                <m:nor/>
                <m:sty m:val="p"/>
              </m:rPr>
              <m:t>PF</m:t>
            </m:r>
          </m:e>
          <m:sub>
            <m:r>
              <m:t>i</m:t>
            </m:r>
            <m:r>
              <m:t>t</m:t>
            </m:r>
          </m:sub>
        </m:sSub>
      </m:oMath>
      <w:r>
        <w:t xml:space="preserve"> </w:t>
      </w:r>
      <w:r>
        <w:t xml:space="preserve">son los ingresos impositivos del gobierno central (% del PIB);</w:t>
      </w:r>
      <w:r>
        <w:t xml:space="preserve"> </w:t>
      </w:r>
      <m:oMath>
        <m:sSub>
          <m:e>
            <m:r>
              <m:rPr>
                <m:nor/>
                <m:sty m:val="p"/>
              </m:rPr>
              <m:t>IE</m:t>
            </m:r>
          </m:e>
          <m:sub>
            <m:r>
              <m:t>i</m:t>
            </m:r>
            <m:r>
              <m:t>t</m:t>
            </m:r>
          </m:sub>
        </m:sSub>
      </m:oMath>
      <w:r>
        <w:t xml:space="preserve"> </w:t>
      </w:r>
      <w:r>
        <w:t xml:space="preserve">son los flujos netos de inversión extranjera directa (% del PIB);</w:t>
      </w:r>
      <w:r>
        <w:t xml:space="preserve"> </w:t>
      </w:r>
      <m:oMath>
        <m:sSub>
          <m:e>
            <m:r>
              <m:rPr>
                <m:nor/>
                <m:sty m:val="p"/>
              </m:rPr>
              <m:t>AN</m:t>
            </m:r>
          </m:e>
          <m:sub>
            <m:r>
              <m:t>i</m:t>
            </m:r>
            <m:r>
              <m:t>t</m:t>
            </m:r>
          </m:sub>
        </m:sSub>
      </m:oMath>
      <w:r>
        <w:t xml:space="preserve"> </w:t>
      </w:r>
      <w:r>
        <w:t xml:space="preserve">es el crédito privado de la banca comercial (% del PIB);</w:t>
      </w:r>
      <w:r>
        <w:t xml:space="preserve"> </w:t>
      </w:r>
      <m:oMath>
        <m:sSub>
          <m:e>
            <m:r>
              <m:rPr>
                <m:nor/>
                <m:sty m:val="p"/>
              </m:rPr>
              <m:t>RI</m:t>
            </m:r>
          </m:e>
          <m:sub>
            <m:r>
              <m:t>i</m:t>
            </m:r>
            <m:r>
              <m:t>t</m:t>
            </m:r>
          </m:sub>
        </m:sSub>
      </m:oMath>
      <w:r>
        <w:t xml:space="preserve"> </w:t>
      </w:r>
      <w:r>
        <w:t xml:space="preserve">representa las reservas internacionales (% del PIB);</w:t>
      </w:r>
      <w:r>
        <w:t xml:space="preserve"> </w:t>
      </w:r>
      <m:oMath>
        <m:sSub>
          <m:e>
            <m:r>
              <m:t>α</m:t>
            </m:r>
          </m:e>
          <m:sub>
            <m:r>
              <m:t>i</m:t>
            </m:r>
          </m:sub>
        </m:sSub>
      </m:oMath>
      <w:r>
        <w:t xml:space="preserve"> </w:t>
      </w:r>
      <w:r>
        <w:t xml:space="preserve">captura la heterogeneidad no observada e invariable por país; y</w:t>
      </w:r>
      <w:r>
        <w:t xml:space="preserve"> </w:t>
      </w:r>
      <m:oMath>
        <m:sSub>
          <m:e>
            <m:r>
              <m:t>u</m:t>
            </m:r>
          </m:e>
          <m:sub>
            <m:r>
              <m:t>i</m:t>
            </m:r>
            <m:r>
              <m:t>t</m:t>
            </m:r>
          </m:sub>
        </m:sSub>
      </m:oMath>
      <w:r>
        <w:t xml:space="preserve"> </w:t>
      </w:r>
      <w:r>
        <w:t xml:space="preserve">es el error estocástico idiosincrático.</w:t>
      </w:r>
    </w:p>
    <w:bookmarkEnd w:id="17"/>
    <w:bookmarkStart w:id="24" w:name="variables"/>
    <w:p>
      <w:pPr>
        <w:pStyle w:val="Heading2"/>
      </w:pPr>
      <w:r>
        <w:t xml:space="preserve">5.2 Variables</w:t>
      </w:r>
    </w:p>
    <w:p>
      <w:pPr>
        <w:pStyle w:val="FirstParagraph"/>
      </w:pPr>
      <w:r>
        <w:t xml:space="preserve">La</w:t>
      </w:r>
      <w:r>
        <w:t xml:space="preserve"> </w:t>
      </w:r>
      <w:hyperlink w:anchor="tbl-variables">
        <w:r>
          <w:rPr>
            <w:rStyle w:val="Hyperlink"/>
          </w:rPr>
          <w:t xml:space="preserve">Tabla 1</w:t>
        </w:r>
      </w:hyperlink>
      <w:r>
        <w:t xml:space="preserve"> </w:t>
      </w:r>
      <w:r>
        <w:t xml:space="preserve">define las variables del modelo y sus fuentes:</w:t>
      </w:r>
    </w:p>
    <w:tbl>
      <w:tblPr>
        <w:tblStyle w:val="Table"/>
        <w:tblW w:type="pct" w:w="5000"/>
        <w:tblLayout w:type="fixed"/>
        <w:tblLook w:firstRow="0" w:lastRow="0" w:firstColumn="0" w:lastColumn="0" w:noHBand="0" w:noVBand="0" w:val="0000"/>
      </w:tblPr>
      <w:tblGrid>
        <w:gridCol w:w="7920"/>
      </w:tblGrid>
      <w:tr>
        <w:tc>
          <w:tcPr/>
          <w:bookmarkStart w:id="23" w:name="tbl-variables"/>
          <w:p>
            <w:pPr>
              <w:jc w:val="center"/>
            </w:pPr>
            <w:pPr>
              <w:jc w:val="left"/>
              <w:spacing w:before="200"/>
              <w:pStyle w:val="ImageCaption"/>
            </w:pPr>
            <w:r>
              <w:t xml:space="preserve">Tabla 1: Definición de Variables y Fuentes de Información</w:t>
            </w:r>
          </w:p>
          <w:tbl>
            <w:tblPr>
              <w:tblStyle w:val="Table"/>
              <w:tblW w:type="pct" w:w="5000"/>
              <w:tblLayout w:type="fixed"/>
              <w:tblLook w:firstRow="1" w:lastRow="0" w:firstColumn="0" w:lastColumn="0" w:noHBand="0" w:noVBand="0" w:val="0020"/>
            </w:tblPr>
            <w:tblGrid>
              <w:gridCol w:w="792"/>
              <w:gridCol w:w="1584"/>
              <w:gridCol w:w="2772"/>
              <w:gridCol w:w="1188"/>
              <w:gridCol w:w="1584"/>
            </w:tblGrid>
            <w:tr>
              <w:trPr>
                <w:tblHeader w:val="on"/>
              </w:trPr>
              <w:tc>
                <w:tcPr/>
                <w:p>
                  <w:pPr>
                    <w:pStyle w:val="Compact"/>
                    <w:jc w:val="center"/>
                    <w:jc w:val="center"/>
                  </w:pPr>
                  <w:r>
                    <w:t xml:space="preserve">Código</w:t>
                  </w:r>
                </w:p>
              </w:tc>
              <w:tc>
                <w:tcPr/>
                <w:p>
                  <w:pPr>
                    <w:pStyle w:val="Compact"/>
                    <w:jc w:val="left"/>
                    <w:jc w:val="center"/>
                  </w:pPr>
                  <w:r>
                    <w:t xml:space="preserve">Variable</w:t>
                  </w:r>
                </w:p>
              </w:tc>
              <w:tc>
                <w:tcPr/>
                <w:p>
                  <w:pPr>
                    <w:pStyle w:val="Compact"/>
                    <w:jc w:val="left"/>
                    <w:jc w:val="center"/>
                  </w:pPr>
                  <w:r>
                    <w:t xml:space="preserve">Definición</w:t>
                  </w:r>
                </w:p>
              </w:tc>
              <w:tc>
                <w:tcPr/>
                <w:p>
                  <w:pPr>
                    <w:pStyle w:val="Compact"/>
                    <w:jc w:val="left"/>
                    <w:jc w:val="center"/>
                  </w:pPr>
                  <w:r>
                    <w:t xml:space="preserve">Unidad</w:t>
                  </w:r>
                </w:p>
              </w:tc>
              <w:tc>
                <w:tcPr/>
                <w:p>
                  <w:pPr>
                    <w:pStyle w:val="Compact"/>
                    <w:jc w:val="left"/>
                    <w:jc w:val="center"/>
                  </w:pPr>
                  <w:r>
                    <w:t xml:space="preserve">Fuente y Enlace</w:t>
                  </w:r>
                </w:p>
              </w:tc>
            </w:tr>
            <w:tr>
              <w:tc>
                <w:tcPr/>
                <w:p>
                  <w:pPr>
                    <w:pStyle w:val="Compact"/>
                    <w:jc w:val="center"/>
                    <w:jc w:val="center"/>
                  </w:pPr>
                  <w:r>
                    <w:rPr>
                      <w:b/>
                      <w:bCs/>
                    </w:rPr>
                    <w:t xml:space="preserve">VE</w:t>
                  </w:r>
                </w:p>
              </w:tc>
              <w:tc>
                <w:tcPr/>
                <w:p>
                  <w:pPr>
                    <w:pStyle w:val="Compact"/>
                    <w:jc w:val="left"/>
                    <w:jc w:val="center"/>
                  </w:pPr>
                  <w:r>
                    <w:t xml:space="preserve">Dependencia de Rentas Extractivas</w:t>
                  </w:r>
                </w:p>
              </w:tc>
              <w:tc>
                <w:tcPr/>
                <w:p>
                  <w:pPr>
                    <w:pStyle w:val="Compact"/>
                    <w:jc w:val="left"/>
                    <w:jc w:val="center"/>
                  </w:pPr>
                  <w:r>
                    <w:t xml:space="preserve">Total natural resources rents (% of GDP)</w:t>
                  </w:r>
                </w:p>
              </w:tc>
              <w:tc>
                <w:tcPr/>
                <w:p>
                  <w:pPr>
                    <w:pStyle w:val="Compact"/>
                    <w:jc w:val="left"/>
                    <w:jc w:val="center"/>
                  </w:pPr>
                  <w:r>
                    <w:t xml:space="preserve">Logaritmo del % del PIB</w:t>
                  </w:r>
                </w:p>
              </w:tc>
              <w:tc>
                <w:tcPr/>
                <w:p>
                  <w:pPr>
                    <w:pStyle w:val="Compact"/>
                    <w:jc w:val="left"/>
                    <w:jc w:val="center"/>
                  </w:pPr>
                  <w:hyperlink r:id="rId18">
                    <w:r>
                      <w:rPr>
                        <w:rStyle w:val="Hyperlink"/>
                      </w:rPr>
                      <w:t xml:space="preserve">Banco Mundial (WDI)</w:t>
                    </w:r>
                  </w:hyperlink>
                </w:p>
              </w:tc>
            </w:tr>
            <w:tr>
              <w:tc>
                <w:tcPr/>
                <w:p>
                  <w:pPr>
                    <w:pStyle w:val="Compact"/>
                    <w:jc w:val="center"/>
                    <w:jc w:val="center"/>
                  </w:pPr>
                  <w:r>
                    <w:rPr>
                      <w:b/>
                      <w:bCs/>
                    </w:rPr>
                    <w:t xml:space="preserve">PF</w:t>
                  </w:r>
                </w:p>
              </w:tc>
              <w:tc>
                <w:tcPr/>
                <w:p>
                  <w:pPr>
                    <w:pStyle w:val="Compact"/>
                    <w:jc w:val="left"/>
                    <w:jc w:val="center"/>
                  </w:pPr>
                  <w:r>
                    <w:t xml:space="preserve">Ingresos impositivos</w:t>
                  </w:r>
                </w:p>
              </w:tc>
              <w:tc>
                <w:tcPr/>
                <w:p>
                  <w:pPr>
                    <w:pStyle w:val="Compact"/>
                    <w:jc w:val="left"/>
                    <w:jc w:val="center"/>
                  </w:pPr>
                  <w:r>
                    <w:t xml:space="preserve">Tax revenue (% of GDP)</w:t>
                  </w:r>
                </w:p>
              </w:tc>
              <w:tc>
                <w:tcPr/>
                <w:p>
                  <w:pPr>
                    <w:pStyle w:val="Compact"/>
                    <w:jc w:val="left"/>
                    <w:jc w:val="center"/>
                  </w:pPr>
                  <w:r>
                    <w:t xml:space="preserve">Logaritmo del % del PIB</w:t>
                  </w:r>
                </w:p>
              </w:tc>
              <w:tc>
                <w:tcPr/>
                <w:p>
                  <w:pPr>
                    <w:pStyle w:val="Compact"/>
                    <w:jc w:val="left"/>
                    <w:jc w:val="center"/>
                  </w:pPr>
                  <w:hyperlink r:id="rId19">
                    <w:r>
                      <w:rPr>
                        <w:rStyle w:val="Hyperlink"/>
                      </w:rPr>
                      <w:t xml:space="preserve">Banco Mundial (WDI)</w:t>
                    </w:r>
                  </w:hyperlink>
                  <w:r>
                    <w:t xml:space="preserve"> </w:t>
                  </w:r>
                  <w:r>
                    <w:t xml:space="preserve">(IMF GFS)</w:t>
                  </w:r>
                </w:p>
              </w:tc>
            </w:tr>
            <w:tr>
              <w:tc>
                <w:tcPr/>
                <w:p>
                  <w:pPr>
                    <w:pStyle w:val="Compact"/>
                    <w:jc w:val="center"/>
                    <w:jc w:val="center"/>
                  </w:pPr>
                  <w:r>
                    <w:rPr>
                      <w:b/>
                      <w:bCs/>
                    </w:rPr>
                    <w:t xml:space="preserve">IE</w:t>
                  </w:r>
                </w:p>
              </w:tc>
              <w:tc>
                <w:tcPr/>
                <w:p>
                  <w:pPr>
                    <w:pStyle w:val="Compact"/>
                    <w:jc w:val="left"/>
                    <w:jc w:val="center"/>
                  </w:pPr>
                  <w:r>
                    <w:t xml:space="preserve">Inversión extranjera directa</w:t>
                  </w:r>
                </w:p>
              </w:tc>
              <w:tc>
                <w:tcPr/>
                <w:p>
                  <w:pPr>
                    <w:pStyle w:val="Compact"/>
                    <w:jc w:val="left"/>
                    <w:jc w:val="center"/>
                  </w:pPr>
                  <w:r>
                    <w:t xml:space="preserve">Foreign direct investment, net inflows (% of GDP)</w:t>
                  </w:r>
                </w:p>
              </w:tc>
              <w:tc>
                <w:tcPr/>
                <w:p>
                  <w:pPr>
                    <w:pStyle w:val="Compact"/>
                    <w:jc w:val="left"/>
                    <w:jc w:val="center"/>
                  </w:pPr>
                  <w:r>
                    <w:t xml:space="preserve">Logaritmo del % del PIB</w:t>
                  </w:r>
                </w:p>
              </w:tc>
              <w:tc>
                <w:tcPr/>
                <w:p>
                  <w:pPr>
                    <w:pStyle w:val="Compact"/>
                    <w:jc w:val="left"/>
                    <w:jc w:val="center"/>
                  </w:pPr>
                  <w:hyperlink r:id="rId20">
                    <w:r>
                      <w:rPr>
                        <w:rStyle w:val="Hyperlink"/>
                      </w:rPr>
                      <w:t xml:space="preserve">Banco Mundial (WDI)</w:t>
                    </w:r>
                  </w:hyperlink>
                </w:p>
              </w:tc>
            </w:tr>
            <w:tr>
              <w:tc>
                <w:tcPr/>
                <w:p>
                  <w:pPr>
                    <w:pStyle w:val="Compact"/>
                    <w:jc w:val="center"/>
                    <w:jc w:val="center"/>
                  </w:pPr>
                  <w:r>
                    <w:rPr>
                      <w:b/>
                      <w:bCs/>
                    </w:rPr>
                    <w:t xml:space="preserve">AN</w:t>
                  </w:r>
                </w:p>
              </w:tc>
              <w:tc>
                <w:tcPr/>
                <w:p>
                  <w:pPr>
                    <w:pStyle w:val="Compact"/>
                    <w:jc w:val="left"/>
                    <w:jc w:val="center"/>
                  </w:pPr>
                  <w:r>
                    <w:t xml:space="preserve">Crédito doméstico</w:t>
                  </w:r>
                </w:p>
              </w:tc>
              <w:tc>
                <w:tcPr/>
                <w:p>
                  <w:pPr>
                    <w:pStyle w:val="Compact"/>
                    <w:jc w:val="left"/>
                    <w:jc w:val="center"/>
                  </w:pPr>
                  <w:r>
                    <w:t xml:space="preserve">Domestic credit to private sector (% of GDP)</w:t>
                  </w:r>
                </w:p>
              </w:tc>
              <w:tc>
                <w:tcPr/>
                <w:p>
                  <w:pPr>
                    <w:pStyle w:val="Compact"/>
                    <w:jc w:val="left"/>
                    <w:jc w:val="center"/>
                  </w:pPr>
                  <w:r>
                    <w:t xml:space="preserve">Logaritmo del % del PIB</w:t>
                  </w:r>
                </w:p>
              </w:tc>
              <w:tc>
                <w:tcPr/>
                <w:p>
                  <w:pPr>
                    <w:pStyle w:val="Compact"/>
                    <w:jc w:val="left"/>
                    <w:jc w:val="center"/>
                  </w:pPr>
                  <w:hyperlink r:id="rId21">
                    <w:r>
                      <w:rPr>
                        <w:rStyle w:val="Hyperlink"/>
                      </w:rPr>
                      <w:t xml:space="preserve">Banco Mundial (WDI)</w:t>
                    </w:r>
                  </w:hyperlink>
                </w:p>
              </w:tc>
            </w:tr>
            <w:tr>
              <w:tc>
                <w:tcPr/>
                <w:p>
                  <w:pPr>
                    <w:pStyle w:val="Compact"/>
                    <w:jc w:val="center"/>
                    <w:jc w:val="center"/>
                  </w:pPr>
                  <w:r>
                    <w:rPr>
                      <w:b/>
                      <w:bCs/>
                    </w:rPr>
                    <w:t xml:space="preserve">RI</w:t>
                  </w:r>
                </w:p>
              </w:tc>
              <w:tc>
                <w:tcPr/>
                <w:p>
                  <w:pPr>
                    <w:pStyle w:val="Compact"/>
                    <w:jc w:val="left"/>
                    <w:jc w:val="center"/>
                  </w:pPr>
                  <w:r>
                    <w:t xml:space="preserve">Reservas internacionales</w:t>
                  </w:r>
                </w:p>
              </w:tc>
              <w:tc>
                <w:tcPr/>
                <w:p>
                  <w:pPr>
                    <w:pStyle w:val="Compact"/>
                    <w:jc w:val="left"/>
                    <w:jc w:val="center"/>
                  </w:pPr>
                  <w:r>
                    <w:t xml:space="preserve">Total reserves includes gold (% of GDP)</w:t>
                  </w:r>
                </w:p>
              </w:tc>
              <w:tc>
                <w:tcPr/>
                <w:p>
                  <w:pPr>
                    <w:pStyle w:val="Compact"/>
                    <w:jc w:val="left"/>
                    <w:jc w:val="center"/>
                  </w:pPr>
                  <w:r>
                    <w:t xml:space="preserve">Logaritmo del % del PIB</w:t>
                  </w:r>
                </w:p>
              </w:tc>
              <w:tc>
                <w:tcPr/>
                <w:p>
                  <w:pPr>
                    <w:pStyle w:val="Compact"/>
                    <w:jc w:val="left"/>
                    <w:jc w:val="center"/>
                  </w:pPr>
                  <w:hyperlink r:id="rId22">
                    <w:r>
                      <w:rPr>
                        <w:rStyle w:val="Hyperlink"/>
                      </w:rPr>
                      <w:t xml:space="preserve">Banco Mundial (WDI)</w:t>
                    </w:r>
                  </w:hyperlink>
                </w:p>
              </w:tc>
            </w:tr>
          </w:tbl>
          <w:bookmarkEnd w:id="23"/>
          <w:p/>
        </w:tc>
      </w:tr>
    </w:tbl>
    <w:bookmarkEnd w:id="24"/>
    <w:bookmarkStart w:id="25" w:name="modelos-y-diagnósticos"/>
    <w:p>
      <w:pPr>
        <w:pStyle w:val="Heading2"/>
      </w:pPr>
      <w:r>
        <w:t xml:space="preserve">5.3 Modelos y Diagnósticos</w:t>
      </w:r>
    </w:p>
    <w:p>
      <w:pPr>
        <w:pStyle w:val="FirstParagraph"/>
      </w:pPr>
      <w:r>
        <w:t xml:space="preserve">La comparación de consistencia entre los estimadores de Efectos Fijos (FE) y Efectos Aleatorios (RE) se realiza mediante la prueba de Hausman robusta (</w:t>
      </w:r>
      <w:r>
        <w:t xml:space="preserve">Hausman (</w:t>
      </w:r>
      <w:hyperlink w:anchor="ref-hausman1978specification">
        <w:r>
          <w:rPr>
            <w:rStyle w:val="Hyperlink"/>
          </w:rPr>
          <w:t xml:space="preserve">1978</w:t>
        </w:r>
      </w:hyperlink>
      <w:r>
        <w:t xml:space="preserve">)</w:t>
      </w:r>
      <w:r>
        <w:t xml:space="preserve">), con base teórica en</w:t>
      </w:r>
      <w:r>
        <w:t xml:space="preserve"> </w:t>
      </w:r>
      <w:r>
        <w:t xml:space="preserve">Wooldridge (</w:t>
      </w:r>
      <w:hyperlink w:anchor="ref-wooldridge2010econometric">
        <w:r>
          <w:rPr>
            <w:rStyle w:val="Hyperlink"/>
          </w:rPr>
          <w:t xml:space="preserve">2010</w:t>
        </w:r>
      </w:hyperlink>
      <w:r>
        <w:t xml:space="preserve">)</w:t>
      </w:r>
      <w:r>
        <w:t xml:space="preserve">,</w:t>
      </w:r>
      <w:r>
        <w:t xml:space="preserve"> </w:t>
      </w:r>
      <w:r>
        <w:t xml:space="preserve">Baltagi (</w:t>
      </w:r>
      <w:hyperlink w:anchor="ref-baltagi2021econometric">
        <w:r>
          <w:rPr>
            <w:rStyle w:val="Hyperlink"/>
          </w:rPr>
          <w:t xml:space="preserve">2021</w:t>
        </w:r>
      </w:hyperlink>
      <w:r>
        <w:t xml:space="preserve">)</w:t>
      </w:r>
      <w:r>
        <w:t xml:space="preserve"> </w:t>
      </w:r>
      <w:r>
        <w:t xml:space="preserve">y</w:t>
      </w:r>
      <w:r>
        <w:t xml:space="preserve"> </w:t>
      </w:r>
      <w:r>
        <w:t xml:space="preserve">Hsiao (</w:t>
      </w:r>
      <w:hyperlink w:anchor="ref-hsiao2014analysis">
        <w:r>
          <w:rPr>
            <w:rStyle w:val="Hyperlink"/>
          </w:rPr>
          <w:t xml:space="preserve">2014</w:t>
        </w:r>
      </w:hyperlink>
      <w:r>
        <w:t xml:space="preserve">)</w:t>
      </w:r>
      <w:r>
        <w:t xml:space="preserve">.</w:t>
      </w:r>
    </w:p>
    <w:p>
      <w:pPr>
        <w:pStyle w:val="BodyText"/>
      </w:pPr>
      <w:r>
        <w:t xml:space="preserve">El análisis de los residuos comprende tres pruebas de diagnóstico:</w:t>
      </w:r>
      <w:r>
        <w:t xml:space="preserve"> </w:t>
      </w:r>
      <w:r>
        <w:t xml:space="preserve">1. Multicolinealidad: Factor de Inflación de la Varianza (VIF).</w:t>
      </w:r>
      <w:r>
        <w:t xml:space="preserve"> </w:t>
      </w:r>
      <w:r>
        <w:t xml:space="preserve">2. Autocorrelación Serial: Test de Wooldridge bajo las directrices de</w:t>
      </w:r>
      <w:r>
        <w:t xml:space="preserve"> </w:t>
      </w:r>
      <w:r>
        <w:t xml:space="preserve">Arellano y Bond (</w:t>
      </w:r>
      <w:hyperlink w:anchor="ref-arellano1991some">
        <w:r>
          <w:rPr>
            <w:rStyle w:val="Hyperlink"/>
          </w:rPr>
          <w:t xml:space="preserve">1991</w:t>
        </w:r>
      </w:hyperlink>
      <w:r>
        <w:t xml:space="preserve">)</w:t>
      </w:r>
      <w:r>
        <w:t xml:space="preserve">.</w:t>
      </w:r>
      <w:r>
        <w:t xml:space="preserve"> </w:t>
      </w:r>
      <w:r>
        <w:t xml:space="preserve">3. Heterocedasticidad: Prueba de Wald modificada para efectos fijos.</w:t>
      </w:r>
    </w:p>
    <w:p>
      <w:pPr>
        <w:pStyle w:val="BodyText"/>
      </w:pPr>
      <w:r>
        <w:t xml:space="preserve">La presencia simultánea de autocorrelación y heterocedasticidad grupal requiere la estimación por Mínimos Cuadrados Generalizados Factibles (FGLS) para corregir las perturbaciones residuales.</w:t>
      </w:r>
    </w:p>
    <w:p>
      <w:pPr>
        <w:pStyle w:val="BodyText"/>
      </w:pPr>
      <w:r>
        <w:t xml:space="preserve">La prueba de homogeneidad de pendientes evalúa si las elasticidades son constantes entre secciones transversales. Si se rechaza la homogeneidad, la muestra se divide en subgrupos según el patrón de especialización productiva dominante. La segmentación adapta la clasificación de la Comisión Económica para América Latina y el Caribe (</w:t>
      </w:r>
      <w:r>
        <w:t xml:space="preserve">Paiva y Bacha (</w:t>
      </w:r>
      <w:hyperlink w:anchor="ref-paiva2019participacion">
        <w:r>
          <w:rPr>
            <w:rStyle w:val="Hyperlink"/>
          </w:rPr>
          <w:t xml:space="preserve">2019</w:t>
        </w:r>
      </w:hyperlink>
      <w:r>
        <w:t xml:space="preserve">)</w:t>
      </w:r>
      <w:r>
        <w:t xml:space="preserve">). El primer subgrupo asocia a los países con orientación minera e hidrocarburífera: Bolivia, Colombia, Ecuador y Venezuela. El segundo subgrupo reúne a las economías con perfil agropecuario y agroindustrial: Argentina, Brasil, Chile, Paraguay, Perú y Uruguay. Esta partición previene el sesgo por agregación.</w:t>
      </w:r>
    </w:p>
    <w:bookmarkEnd w:id="25"/>
    <w:bookmarkEnd w:id="26"/>
    <w:bookmarkStart w:id="42" w:name="resultados-y-discusión"/>
    <w:p>
      <w:pPr>
        <w:pStyle w:val="Heading1"/>
      </w:pPr>
      <w:r>
        <w:t xml:space="preserve">6. Resultados y Discusión</w:t>
      </w:r>
    </w:p>
    <w:bookmarkStart w:id="34" w:name="resultados-preliminares"/>
    <w:p>
      <w:pPr>
        <w:pStyle w:val="Heading2"/>
      </w:pPr>
      <w:r>
        <w:t xml:space="preserve">6.1 Resultados Preliminares</w:t>
      </w:r>
    </w:p>
    <w:bookmarkStart w:id="29" w:name="estadísticos-descriptivos"/>
    <w:p>
      <w:pPr>
        <w:pStyle w:val="Heading3"/>
      </w:pPr>
      <w:r>
        <w:t xml:space="preserve">6.1.1 Estadísticos Descriptivos</w:t>
      </w:r>
    </w:p>
    <w:p>
      <w:pPr>
        <w:pStyle w:val="FirstParagraph"/>
      </w:pPr>
      <w:r>
        <w:t xml:space="preserve">Los estadísticos descriptivos del panel balanceado (2001-2023) constan en la</w:t>
      </w:r>
      <w:r>
        <w:t xml:space="preserve"> </w:t>
      </w:r>
      <w:hyperlink w:anchor="tbl-descriptives">
        <w:r>
          <w:rPr>
            <w:rStyle w:val="Hyperlink"/>
          </w:rPr>
          <w:t xml:space="preserve">Tabla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7" w:name="tbl-descriptives"/>
          <w:p>
            <w:pPr>
              <w:jc w:val="center"/>
            </w:pPr>
            <w:pPr>
              <w:jc w:val="left"/>
              <w:spacing w:before="200"/>
              <w:pStyle w:val="ImageCaption"/>
            </w:pPr>
            <w:r>
              <w:t xml:space="preserve">Tabla 2: Estadísticos Descriptivos del Panel de América del Sur (2001-2023)</w:t>
            </w:r>
          </w:p>
          <w:tbl>
            <w:tblPr>
              <w:tblStyle w:val="Table"/>
              <w:tblW w:type="pct" w:w="5000"/>
              <w:tblLayout w:type="fixed"/>
              <w:tblLook w:firstRow="1" w:lastRow="0" w:firstColumn="0" w:lastColumn="0" w:noHBand="0" w:noVBand="0" w:val="0020"/>
            </w:tblPr>
            <w:tblGrid>
              <w:gridCol w:w="4350"/>
              <w:gridCol w:w="669"/>
              <w:gridCol w:w="780"/>
              <w:gridCol w:w="892"/>
              <w:gridCol w:w="1227"/>
            </w:tblGrid>
            <w:tr>
              <w:trPr>
                <w:tblHeader w:val="on"/>
              </w:trPr>
              <w:tc>
                <w:tcPr/>
                <w:p>
                  <w:pPr>
                    <w:pStyle w:val="Compact"/>
                    <w:jc w:val="left"/>
                    <w:jc w:val="center"/>
                  </w:pPr>
                  <w:r>
                    <w:t xml:space="preserve">Variable</w:t>
                  </w:r>
                </w:p>
              </w:tc>
              <w:tc>
                <w:tcPr/>
                <w:p>
                  <w:pPr>
                    <w:pStyle w:val="Compact"/>
                    <w:jc w:val="right"/>
                    <w:jc w:val="center"/>
                  </w:pPr>
                  <w:r>
                    <w:t xml:space="preserve">Min</w:t>
                  </w:r>
                </w:p>
              </w:tc>
              <w:tc>
                <w:tcPr/>
                <w:p>
                  <w:pPr>
                    <w:pStyle w:val="Compact"/>
                    <w:jc w:val="right"/>
                    <w:jc w:val="center"/>
                  </w:pPr>
                  <w:r>
                    <w:t xml:space="preserve">Media</w:t>
                  </w:r>
                </w:p>
              </w:tc>
              <w:tc>
                <w:tcPr/>
                <w:p>
                  <w:pPr>
                    <w:pStyle w:val="Compact"/>
                    <w:jc w:val="right"/>
                    <w:jc w:val="center"/>
                  </w:pPr>
                  <w:r>
                    <w:t xml:space="preserve">Max</w:t>
                  </w:r>
                </w:p>
              </w:tc>
              <w:tc>
                <w:tcPr/>
                <w:p>
                  <w:pPr>
                    <w:pStyle w:val="Compact"/>
                    <w:jc w:val="right"/>
                    <w:jc w:val="center"/>
                  </w:pPr>
                  <w:r>
                    <w:t xml:space="preserve">Desv. Est.</w:t>
                  </w:r>
                </w:p>
              </w:tc>
            </w:tr>
            <w:tr>
              <w:tc>
                <w:tcPr/>
                <w:p>
                  <w:pPr>
                    <w:pStyle w:val="Compact"/>
                    <w:jc w:val="left"/>
                    <w:jc w:val="center"/>
                  </w:pPr>
                  <w:r>
                    <w:t xml:space="preserve">VE (Dependencia de Rentas Extractivas)</w:t>
                  </w:r>
                </w:p>
              </w:tc>
              <w:tc>
                <w:tcPr/>
                <w:p>
                  <w:pPr>
                    <w:pStyle w:val="Compact"/>
                    <w:jc w:val="right"/>
                    <w:jc w:val="center"/>
                  </w:pPr>
                  <w:r>
                    <w:t xml:space="preserve">0.217</w:t>
                  </w:r>
                </w:p>
              </w:tc>
              <w:tc>
                <w:tcPr/>
                <w:p>
                  <w:pPr>
                    <w:pStyle w:val="Compact"/>
                    <w:jc w:val="right"/>
                    <w:jc w:val="center"/>
                  </w:pPr>
                  <w:r>
                    <w:t xml:space="preserve">6.852</w:t>
                  </w:r>
                </w:p>
              </w:tc>
              <w:tc>
                <w:tcPr/>
                <w:p>
                  <w:pPr>
                    <w:pStyle w:val="Compact"/>
                    <w:jc w:val="right"/>
                    <w:jc w:val="center"/>
                  </w:pPr>
                  <w:r>
                    <w:t xml:space="preserve">29.223</w:t>
                  </w:r>
                </w:p>
              </w:tc>
              <w:tc>
                <w:tcPr/>
                <w:p>
                  <w:pPr>
                    <w:pStyle w:val="Compact"/>
                    <w:jc w:val="right"/>
                    <w:jc w:val="center"/>
                  </w:pPr>
                  <w:r>
                    <w:t xml:space="preserve">5.706</w:t>
                  </w:r>
                </w:p>
              </w:tc>
            </w:tr>
            <w:tr>
              <w:tc>
                <w:tcPr/>
                <w:p>
                  <w:pPr>
                    <w:pStyle w:val="Compact"/>
                    <w:jc w:val="left"/>
                    <w:jc w:val="center"/>
                  </w:pPr>
                  <w:r>
                    <w:t xml:space="preserve">PF (Ingresos Impositivos)</w:t>
                  </w:r>
                </w:p>
              </w:tc>
              <w:tc>
                <w:tcPr/>
                <w:p>
                  <w:pPr>
                    <w:pStyle w:val="Compact"/>
                    <w:jc w:val="right"/>
                    <w:jc w:val="center"/>
                  </w:pPr>
                  <w:r>
                    <w:t xml:space="preserve">7.838</w:t>
                  </w:r>
                </w:p>
              </w:tc>
              <w:tc>
                <w:tcPr/>
                <w:p>
                  <w:pPr>
                    <w:pStyle w:val="Compact"/>
                    <w:jc w:val="right"/>
                    <w:jc w:val="center"/>
                  </w:pPr>
                  <w:r>
                    <w:t xml:space="preserve">14.386</w:t>
                  </w:r>
                </w:p>
              </w:tc>
              <w:tc>
                <w:tcPr/>
                <w:p>
                  <w:pPr>
                    <w:pStyle w:val="Compact"/>
                    <w:jc w:val="right"/>
                    <w:jc w:val="center"/>
                  </w:pPr>
                  <w:r>
                    <w:t xml:space="preserve">21.732</w:t>
                  </w:r>
                </w:p>
              </w:tc>
              <w:tc>
                <w:tcPr/>
                <w:p>
                  <w:pPr>
                    <w:pStyle w:val="Compact"/>
                    <w:jc w:val="right"/>
                    <w:jc w:val="center"/>
                  </w:pPr>
                  <w:r>
                    <w:t xml:space="preserve">2.789</w:t>
                  </w:r>
                </w:p>
              </w:tc>
            </w:tr>
            <w:tr>
              <w:tc>
                <w:tcPr/>
                <w:p>
                  <w:pPr>
                    <w:pStyle w:val="Compact"/>
                    <w:jc w:val="left"/>
                    <w:jc w:val="center"/>
                  </w:pPr>
                  <w:r>
                    <w:t xml:space="preserve">IE (Inversión Extranjera Directa)</w:t>
                  </w:r>
                </w:p>
              </w:tc>
              <w:tc>
                <w:tcPr/>
                <w:p>
                  <w:pPr>
                    <w:pStyle w:val="Compact"/>
                    <w:jc w:val="right"/>
                    <w:jc w:val="center"/>
                  </w:pPr>
                  <w:r>
                    <w:t xml:space="preserve">7.700</w:t>
                  </w:r>
                </w:p>
              </w:tc>
              <w:tc>
                <w:tcPr/>
                <w:p>
                  <w:pPr>
                    <w:pStyle w:val="Compact"/>
                    <w:jc w:val="right"/>
                    <w:jc w:val="center"/>
                  </w:pPr>
                  <w:r>
                    <w:t xml:space="preserve">31.343</w:t>
                  </w:r>
                </w:p>
              </w:tc>
              <w:tc>
                <w:tcPr/>
                <w:p>
                  <w:pPr>
                    <w:pStyle w:val="Compact"/>
                    <w:jc w:val="right"/>
                    <w:jc w:val="center"/>
                  </w:pPr>
                  <w:r>
                    <w:t xml:space="preserve">69.800</w:t>
                  </w:r>
                </w:p>
              </w:tc>
              <w:tc>
                <w:tcPr/>
                <w:p>
                  <w:pPr>
                    <w:pStyle w:val="Compact"/>
                    <w:jc w:val="right"/>
                    <w:jc w:val="center"/>
                  </w:pPr>
                  <w:r>
                    <w:t xml:space="preserve">17.055</w:t>
                  </w:r>
                </w:p>
              </w:tc>
            </w:tr>
            <w:tr>
              <w:tc>
                <w:tcPr/>
                <w:p>
                  <w:pPr>
                    <w:pStyle w:val="Compact"/>
                    <w:jc w:val="left"/>
                    <w:jc w:val="center"/>
                  </w:pPr>
                  <w:r>
                    <w:t xml:space="preserve">AN (Crédito Privado)</w:t>
                  </w:r>
                </w:p>
              </w:tc>
              <w:tc>
                <w:tcPr/>
                <w:p>
                  <w:pPr>
                    <w:pStyle w:val="Compact"/>
                    <w:jc w:val="right"/>
                    <w:jc w:val="center"/>
                  </w:pPr>
                  <w:r>
                    <w:t xml:space="preserve">8.906</w:t>
                  </w:r>
                </w:p>
              </w:tc>
              <w:tc>
                <w:tcPr/>
                <w:p>
                  <w:pPr>
                    <w:pStyle w:val="Compact"/>
                    <w:jc w:val="right"/>
                    <w:jc w:val="center"/>
                  </w:pPr>
                  <w:r>
                    <w:t xml:space="preserve">39.744</w:t>
                  </w:r>
                </w:p>
              </w:tc>
              <w:tc>
                <w:tcPr/>
                <w:p>
                  <w:pPr>
                    <w:pStyle w:val="Compact"/>
                    <w:jc w:val="right"/>
                    <w:jc w:val="center"/>
                  </w:pPr>
                  <w:r>
                    <w:t xml:space="preserve">123.562</w:t>
                  </w:r>
                </w:p>
              </w:tc>
              <w:tc>
                <w:tcPr/>
                <w:p>
                  <w:pPr>
                    <w:pStyle w:val="Compact"/>
                    <w:jc w:val="right"/>
                    <w:jc w:val="center"/>
                  </w:pPr>
                  <w:r>
                    <w:t xml:space="preserve">25.286</w:t>
                  </w:r>
                </w:p>
              </w:tc>
            </w:tr>
            <w:tr>
              <w:tc>
                <w:tcPr/>
                <w:p>
                  <w:pPr>
                    <w:pStyle w:val="Compact"/>
                    <w:jc w:val="left"/>
                    <w:jc w:val="center"/>
                  </w:pPr>
                  <w:r>
                    <w:t xml:space="preserve">RI (Reservas Internacionales)</w:t>
                  </w:r>
                </w:p>
              </w:tc>
              <w:tc>
                <w:tcPr/>
                <w:p>
                  <w:pPr>
                    <w:pStyle w:val="Compact"/>
                    <w:jc w:val="right"/>
                    <w:jc w:val="center"/>
                  </w:pPr>
                  <w:r>
                    <w:t xml:space="preserve">2.008</w:t>
                  </w:r>
                </w:p>
              </w:tc>
              <w:tc>
                <w:tcPr/>
                <w:p>
                  <w:pPr>
                    <w:pStyle w:val="Compact"/>
                    <w:jc w:val="right"/>
                    <w:jc w:val="center"/>
                  </w:pPr>
                  <w:r>
                    <w:t xml:space="preserve">16.130</w:t>
                  </w:r>
                </w:p>
              </w:tc>
              <w:tc>
                <w:tcPr/>
                <w:p>
                  <w:pPr>
                    <w:pStyle w:val="Compact"/>
                    <w:jc w:val="right"/>
                    <w:jc w:val="center"/>
                  </w:pPr>
                  <w:r>
                    <w:t xml:space="preserve">51.411</w:t>
                  </w:r>
                </w:p>
              </w:tc>
              <w:tc>
                <w:tcPr/>
                <w:p>
                  <w:pPr>
                    <w:pStyle w:val="Compact"/>
                    <w:jc w:val="right"/>
                    <w:jc w:val="center"/>
                  </w:pPr>
                  <w:r>
                    <w:t xml:space="preserve">9.664</w:t>
                  </w:r>
                </w:p>
              </w:tc>
            </w:tr>
          </w:tbl>
          <w:bookmarkEnd w:id="27"/>
          <w:p/>
        </w:tc>
      </w:tr>
    </w:tbl>
    <w:p>
      <w:pPr>
        <w:pStyle w:val="BodyText"/>
      </w:pPr>
      <w:r>
        <w:t xml:space="preserve">La varianza temporal e interindividual del panel consta en la</w:t>
      </w:r>
      <w:r>
        <w:t xml:space="preserve"> </w:t>
      </w:r>
      <w:hyperlink w:anchor="tbl-xtsum">
        <w:r>
          <w:rPr>
            <w:rStyle w:val="Hyperlink"/>
          </w:rPr>
          <w:t xml:space="preserve">Tabla 3</w:t>
        </w:r>
      </w:hyperlink>
      <w:r>
        <w:t xml:space="preserve">. La dependencia de rentas extractivas (</w:t>
      </w:r>
      <w:r>
        <w:rPr>
          <w:rStyle w:val="VerbatimChar"/>
        </w:rPr>
        <w:t xml:space="preserve">log_VE</w:t>
      </w:r>
      <w:r>
        <w:t xml:space="preserve">) y los ingresos impositivos (</w:t>
      </w:r>
      <w:r>
        <w:rPr>
          <w:rStyle w:val="VerbatimChar"/>
        </w:rPr>
        <w:t xml:space="preserve">log_PF</w:t>
      </w:r>
      <w:r>
        <w:t xml:space="preserve">) varían sobre todo entre países. La variación longitudinal es menor. Esta estructura espacial justifica el uso de efectos individuales.</w:t>
      </w:r>
    </w:p>
    <w:tbl>
      <w:tblPr>
        <w:tblStyle w:val="Table"/>
        <w:tblW w:type="pct" w:w="5000"/>
        <w:tblLayout w:type="fixed"/>
        <w:tblLook w:firstRow="0" w:lastRow="0" w:firstColumn="0" w:lastColumn="0" w:noHBand="0" w:noVBand="0" w:val="0000"/>
      </w:tblPr>
      <w:tblGrid>
        <w:gridCol w:w="7920"/>
      </w:tblGrid>
      <w:tr>
        <w:tc>
          <w:tcPr/>
          <w:bookmarkStart w:id="28" w:name="tbl-xtsum"/>
          <w:p>
            <w:pPr>
              <w:jc w:val="center"/>
            </w:pPr>
            <w:pPr>
              <w:jc w:val="left"/>
              <w:spacing w:before="200"/>
              <w:pStyle w:val="ImageCaption"/>
            </w:pPr>
            <w:r>
              <w:t xml:space="preserve">Tabla 3: Descomposición de Varianza de las Variables</w:t>
            </w:r>
          </w:p>
          <w:tbl>
            <w:tblPr>
              <w:tblStyle w:val="Table"/>
              <w:tblW w:type="pct" w:w="5000"/>
              <w:tblLayout w:type="fixed"/>
              <w:tblLook w:firstRow="1" w:lastRow="0" w:firstColumn="0" w:lastColumn="0" w:noHBand="0" w:noVBand="0" w:val="0020"/>
            </w:tblPr>
            <w:tblGrid>
              <w:gridCol w:w="960"/>
              <w:gridCol w:w="960"/>
              <w:gridCol w:w="1200"/>
              <w:gridCol w:w="1200"/>
              <w:gridCol w:w="1200"/>
              <w:gridCol w:w="1200"/>
              <w:gridCol w:w="1200"/>
            </w:tblGrid>
            <w:tr>
              <w:trPr>
                <w:tblHeader w:val="on"/>
              </w:trPr>
              <w:tc>
                <w:tcPr/>
                <w:p>
                  <w:pPr>
                    <w:pStyle w:val="Compact"/>
                    <w:jc w:val="left"/>
                    <w:jc w:val="center"/>
                  </w:pPr>
                  <w:r>
                    <w:t xml:space="preserve">Variable</w:t>
                  </w:r>
                </w:p>
              </w:tc>
              <w:tc>
                <w:tcPr/>
                <w:p>
                  <w:pPr>
                    <w:pStyle w:val="Compact"/>
                    <w:jc w:val="left"/>
                    <w:jc w:val="center"/>
                  </w:pPr>
                  <w:r>
                    <w:t xml:space="preserve">Variación</w:t>
                  </w:r>
                </w:p>
              </w:tc>
              <w:tc>
                <w:tcPr/>
                <w:p>
                  <w:pPr>
                    <w:pStyle w:val="Compact"/>
                    <w:jc w:val="center"/>
                    <w:jc w:val="center"/>
                  </w:pPr>
                  <w:r>
                    <w:t xml:space="preserve">Media</w:t>
                  </w:r>
                </w:p>
              </w:tc>
              <w:tc>
                <w:tcPr/>
                <w:p>
                  <w:pPr>
                    <w:pStyle w:val="Compact"/>
                    <w:jc w:val="center"/>
                    <w:jc w:val="center"/>
                  </w:pPr>
                  <w:r>
                    <w:t xml:space="preserve">Desv. Est.</w:t>
                  </w:r>
                </w:p>
              </w:tc>
              <w:tc>
                <w:tcPr/>
                <w:p>
                  <w:pPr>
                    <w:pStyle w:val="Compact"/>
                    <w:jc w:val="center"/>
                    <w:jc w:val="center"/>
                  </w:pPr>
                  <w:r>
                    <w:t xml:space="preserve">Mínimo</w:t>
                  </w:r>
                </w:p>
              </w:tc>
              <w:tc>
                <w:tcPr/>
                <w:p>
                  <w:pPr>
                    <w:pStyle w:val="Compact"/>
                    <w:jc w:val="center"/>
                    <w:jc w:val="center"/>
                  </w:pPr>
                  <w:r>
                    <w:t xml:space="preserve">Máximo</w:t>
                  </w:r>
                </w:p>
              </w:tc>
              <w:tc>
                <w:tcPr/>
                <w:p>
                  <w:pPr>
                    <w:pStyle w:val="Compact"/>
                    <w:jc w:val="center"/>
                    <w:jc w:val="center"/>
                  </w:pPr>
                  <w:r>
                    <w:t xml:space="preserve">Observaciones</w:t>
                  </w:r>
                </w:p>
              </w:tc>
            </w:tr>
            <w:tr>
              <w:tc>
                <w:tcPr/>
                <w:p>
                  <w:pPr>
                    <w:pStyle w:val="Compact"/>
                    <w:jc w:val="left"/>
                    <w:jc w:val="center"/>
                  </w:pPr>
                  <w:r>
                    <w:rPr>
                      <w:rStyle w:val="VerbatimChar"/>
                      <w:b/>
                      <w:bCs/>
                    </w:rPr>
                    <w:t xml:space="preserve">log_VE</w:t>
                  </w:r>
                </w:p>
              </w:tc>
              <w:tc>
                <w:tcPr/>
                <w:p>
                  <w:pPr>
                    <w:pStyle w:val="Compact"/>
                    <w:jc w:val="left"/>
                    <w:jc w:val="center"/>
                  </w:pPr>
                  <w:r>
                    <w:t xml:space="preserve">General</w:t>
                  </w:r>
                </w:p>
              </w:tc>
              <w:tc>
                <w:tcPr/>
                <w:p>
                  <w:pPr>
                    <w:pStyle w:val="Compact"/>
                    <w:jc w:val="center"/>
                    <w:jc w:val="center"/>
                  </w:pPr>
                  <w:r>
                    <w:t xml:space="preserve">1.569</w:t>
                  </w:r>
                </w:p>
              </w:tc>
              <w:tc>
                <w:tcPr/>
                <w:p>
                  <w:pPr>
                    <w:pStyle w:val="Compact"/>
                    <w:jc w:val="center"/>
                    <w:jc w:val="center"/>
                  </w:pPr>
                  <w:r>
                    <w:t xml:space="preserve">0.889</w:t>
                  </w:r>
                </w:p>
              </w:tc>
              <w:tc>
                <w:tcPr/>
                <w:p>
                  <w:pPr>
                    <w:pStyle w:val="Compact"/>
                    <w:jc w:val="center"/>
                    <w:jc w:val="center"/>
                  </w:pPr>
                  <w:r>
                    <w:t xml:space="preserve">-1.528</w:t>
                  </w:r>
                </w:p>
              </w:tc>
              <w:tc>
                <w:tcPr/>
                <w:p>
                  <w:pPr>
                    <w:pStyle w:val="Compact"/>
                    <w:jc w:val="center"/>
                    <w:jc w:val="center"/>
                  </w:pPr>
                  <w:r>
                    <w:t xml:space="preserve">3.375</w:t>
                  </w:r>
                </w:p>
              </w:tc>
              <w:tc>
                <w:tcPr/>
                <w:p>
                  <w:pPr>
                    <w:pStyle w:val="Compact"/>
                    <w:jc w:val="center"/>
                    <w:jc w:val="center"/>
                  </w:pPr>
                  <m:oMath>
                    <m:r>
                      <m:t>N</m:t>
                    </m:r>
                    <m:r>
                      <m:rPr>
                        <m:sty m:val="p"/>
                      </m:rPr>
                      <m:t>=</m:t>
                    </m:r>
                    <m:r>
                      <m:t>230</m:t>
                    </m:r>
                  </m:oMath>
                </w:p>
              </w:tc>
            </w:tr>
            <w:tr>
              <w:tc>
                <w:tcPr/>
                <w:p>
                  <w:pPr>
                    <w:pStyle w:val="Compact"/>
                  </w:pPr>
                </w:p>
              </w:tc>
              <w:tc>
                <w:tcPr/>
                <w:p>
                  <w:pPr>
                    <w:pStyle w:val="Compact"/>
                    <w:jc w:val="left"/>
                    <w:jc w:val="center"/>
                  </w:pPr>
                  <w:r>
                    <w:t xml:space="preserve">Entre países</w:t>
                  </w:r>
                </w:p>
              </w:tc>
              <w:tc>
                <w:tcPr/>
                <w:p>
                  <w:pPr>
                    <w:pStyle w:val="Compact"/>
                  </w:pPr>
                </w:p>
              </w:tc>
              <w:tc>
                <w:tcPr/>
                <w:p>
                  <w:pPr>
                    <w:pStyle w:val="Compact"/>
                    <w:jc w:val="center"/>
                    <w:jc w:val="center"/>
                  </w:pPr>
                  <w:r>
                    <w:t xml:space="preserve">0.791</w:t>
                  </w:r>
                </w:p>
              </w:tc>
              <w:tc>
                <w:tcPr/>
                <w:p>
                  <w:pPr>
                    <w:pStyle w:val="Compact"/>
                    <w:jc w:val="center"/>
                    <w:jc w:val="center"/>
                  </w:pPr>
                  <w:r>
                    <w:t xml:space="preserve">0.242</w:t>
                  </w:r>
                </w:p>
              </w:tc>
              <w:tc>
                <w:tcPr/>
                <w:p>
                  <w:pPr>
                    <w:pStyle w:val="Compact"/>
                    <w:jc w:val="center"/>
                    <w:jc w:val="center"/>
                  </w:pPr>
                  <w:r>
                    <w:t xml:space="preserve">2.764</w:t>
                  </w:r>
                </w:p>
              </w:tc>
              <w:tc>
                <w:tcPr/>
                <w:p>
                  <w:pPr>
                    <w:pStyle w:val="Compact"/>
                    <w:jc w:val="center"/>
                    <w:jc w:val="center"/>
                  </w:pPr>
                  <m:oMath>
                    <m:r>
                      <m:t>n</m:t>
                    </m:r>
                    <m:r>
                      <m:rPr>
                        <m:sty m:val="p"/>
                      </m:rPr>
                      <m:t>=</m:t>
                    </m:r>
                    <m:r>
                      <m:t>10</m:t>
                    </m:r>
                  </m:oMath>
                </w:p>
              </w:tc>
            </w:tr>
            <w:tr>
              <w:tc>
                <w:tcPr/>
                <w:p>
                  <w:pPr>
                    <w:pStyle w:val="Compact"/>
                  </w:pPr>
                </w:p>
              </w:tc>
              <w:tc>
                <w:tcPr/>
                <w:p>
                  <w:pPr>
                    <w:pStyle w:val="Compact"/>
                    <w:jc w:val="left"/>
                    <w:jc w:val="center"/>
                  </w:pPr>
                  <w:r>
                    <w:t xml:space="preserve">Temporal</w:t>
                  </w:r>
                </w:p>
              </w:tc>
              <w:tc>
                <w:tcPr/>
                <w:p>
                  <w:pPr>
                    <w:pStyle w:val="Compact"/>
                  </w:pPr>
                </w:p>
              </w:tc>
              <w:tc>
                <w:tcPr/>
                <w:p>
                  <w:pPr>
                    <w:pStyle w:val="Compact"/>
                    <w:jc w:val="center"/>
                    <w:jc w:val="center"/>
                  </w:pPr>
                  <w:r>
                    <w:t xml:space="preserve">0.473</w:t>
                  </w:r>
                </w:p>
              </w:tc>
              <w:tc>
                <w:tcPr/>
                <w:p>
                  <w:pPr>
                    <w:pStyle w:val="Compact"/>
                    <w:jc w:val="center"/>
                    <w:jc w:val="center"/>
                  </w:pPr>
                  <w:r>
                    <w:t xml:space="preserve">-0.201</w:t>
                  </w:r>
                </w:p>
              </w:tc>
              <w:tc>
                <w:tcPr/>
                <w:p>
                  <w:pPr>
                    <w:pStyle w:val="Compact"/>
                    <w:jc w:val="center"/>
                    <w:jc w:val="center"/>
                  </w:pPr>
                  <w:r>
                    <w:t xml:space="preserve">2.360</w:t>
                  </w:r>
                </w:p>
              </w:tc>
              <w:tc>
                <w:tcPr/>
                <w:p>
                  <w:pPr>
                    <w:pStyle w:val="Compact"/>
                    <w:jc w:val="center"/>
                    <w:jc w:val="center"/>
                  </w:pPr>
                  <m:oMath>
                    <m:r>
                      <m:t>T</m:t>
                    </m:r>
                    <m:r>
                      <m:rPr>
                        <m:sty m:val="p"/>
                      </m:rPr>
                      <m:t>=</m:t>
                    </m:r>
                    <m:r>
                      <m:t>23</m:t>
                    </m:r>
                  </m:oMath>
                </w:p>
              </w:tc>
            </w:tr>
            <w:tr>
              <w:tc>
                <w:tcPr/>
                <w:p>
                  <w:pPr>
                    <w:pStyle w:val="Compact"/>
                    <w:jc w:val="left"/>
                    <w:jc w:val="center"/>
                  </w:pPr>
                  <w:r>
                    <w:rPr>
                      <w:rStyle w:val="VerbatimChar"/>
                      <w:b/>
                      <w:bCs/>
                    </w:rPr>
                    <w:t xml:space="preserve">log_PF</w:t>
                  </w:r>
                </w:p>
              </w:tc>
              <w:tc>
                <w:tcPr/>
                <w:p>
                  <w:pPr>
                    <w:pStyle w:val="Compact"/>
                    <w:jc w:val="left"/>
                    <w:jc w:val="center"/>
                  </w:pPr>
                  <w:r>
                    <w:t xml:space="preserve">General</w:t>
                  </w:r>
                </w:p>
              </w:tc>
              <w:tc>
                <w:tcPr/>
                <w:p>
                  <w:pPr>
                    <w:pStyle w:val="Compact"/>
                    <w:jc w:val="center"/>
                    <w:jc w:val="center"/>
                  </w:pPr>
                  <w:r>
                    <w:t xml:space="preserve">2.646</w:t>
                  </w:r>
                </w:p>
              </w:tc>
              <w:tc>
                <w:tcPr/>
                <w:p>
                  <w:pPr>
                    <w:pStyle w:val="Compact"/>
                    <w:jc w:val="center"/>
                    <w:jc w:val="center"/>
                  </w:pPr>
                  <w:r>
                    <w:t xml:space="preserve">0.209</w:t>
                  </w:r>
                </w:p>
              </w:tc>
              <w:tc>
                <w:tcPr/>
                <w:p>
                  <w:pPr>
                    <w:pStyle w:val="Compact"/>
                    <w:jc w:val="center"/>
                    <w:jc w:val="center"/>
                  </w:pPr>
                  <w:r>
                    <w:t xml:space="preserve">2.059</w:t>
                  </w:r>
                </w:p>
              </w:tc>
              <w:tc>
                <w:tcPr/>
                <w:p>
                  <w:pPr>
                    <w:pStyle w:val="Compact"/>
                    <w:jc w:val="center"/>
                    <w:jc w:val="center"/>
                  </w:pPr>
                  <w:r>
                    <w:t xml:space="preserve">3.079</w:t>
                  </w:r>
                </w:p>
              </w:tc>
              <w:tc>
                <w:tcPr/>
                <w:p>
                  <w:pPr>
                    <w:pStyle w:val="Compact"/>
                    <w:jc w:val="center"/>
                    <w:jc w:val="center"/>
                  </w:pPr>
                  <m:oMath>
                    <m:r>
                      <m:t>N</m:t>
                    </m:r>
                    <m:r>
                      <m:rPr>
                        <m:sty m:val="p"/>
                      </m:rPr>
                      <m:t>=</m:t>
                    </m:r>
                    <m:r>
                      <m:t>230</m:t>
                    </m:r>
                  </m:oMath>
                </w:p>
              </w:tc>
            </w:tr>
            <w:tr>
              <w:tc>
                <w:tcPr/>
                <w:p>
                  <w:pPr>
                    <w:pStyle w:val="Compact"/>
                  </w:pPr>
                </w:p>
              </w:tc>
              <w:tc>
                <w:tcPr/>
                <w:p>
                  <w:pPr>
                    <w:pStyle w:val="Compact"/>
                    <w:jc w:val="left"/>
                    <w:jc w:val="center"/>
                  </w:pPr>
                  <w:r>
                    <w:t xml:space="preserve">Entre países</w:t>
                  </w:r>
                </w:p>
              </w:tc>
              <w:tc>
                <w:tcPr/>
                <w:p>
                  <w:pPr>
                    <w:pStyle w:val="Compact"/>
                  </w:pPr>
                </w:p>
              </w:tc>
              <w:tc>
                <w:tcPr/>
                <w:p>
                  <w:pPr>
                    <w:pStyle w:val="Compact"/>
                    <w:jc w:val="center"/>
                    <w:jc w:val="center"/>
                  </w:pPr>
                  <w:r>
                    <w:t xml:space="preserve">0.201</w:t>
                  </w:r>
                </w:p>
              </w:tc>
              <w:tc>
                <w:tcPr/>
                <w:p>
                  <w:pPr>
                    <w:pStyle w:val="Compact"/>
                    <w:jc w:val="center"/>
                    <w:jc w:val="center"/>
                  </w:pPr>
                  <w:r>
                    <w:t xml:space="preserve">2.204</w:t>
                  </w:r>
                </w:p>
              </w:tc>
              <w:tc>
                <w:tcPr/>
                <w:p>
                  <w:pPr>
                    <w:pStyle w:val="Compact"/>
                    <w:jc w:val="center"/>
                    <w:jc w:val="center"/>
                  </w:pPr>
                  <w:r>
                    <w:t xml:space="preserve">2.886</w:t>
                  </w:r>
                </w:p>
              </w:tc>
              <w:tc>
                <w:tcPr/>
                <w:p>
                  <w:pPr>
                    <w:pStyle w:val="Compact"/>
                    <w:jc w:val="center"/>
                    <w:jc w:val="center"/>
                  </w:pPr>
                  <m:oMath>
                    <m:r>
                      <m:t>n</m:t>
                    </m:r>
                    <m:r>
                      <m:rPr>
                        <m:sty m:val="p"/>
                      </m:rPr>
                      <m:t>=</m:t>
                    </m:r>
                    <m:r>
                      <m:t>10</m:t>
                    </m:r>
                  </m:oMath>
                </w:p>
              </w:tc>
            </w:tr>
            <w:tr>
              <w:tc>
                <w:tcPr/>
                <w:p>
                  <w:pPr>
                    <w:pStyle w:val="Compact"/>
                  </w:pPr>
                </w:p>
              </w:tc>
              <w:tc>
                <w:tcPr/>
                <w:p>
                  <w:pPr>
                    <w:pStyle w:val="Compact"/>
                    <w:jc w:val="left"/>
                    <w:jc w:val="center"/>
                  </w:pPr>
                  <w:r>
                    <w:t xml:space="preserve">Temporal</w:t>
                  </w:r>
                </w:p>
              </w:tc>
              <w:tc>
                <w:tcPr/>
                <w:p>
                  <w:pPr>
                    <w:pStyle w:val="Compact"/>
                  </w:pPr>
                </w:p>
              </w:tc>
              <w:tc>
                <w:tcPr/>
                <w:p>
                  <w:pPr>
                    <w:pStyle w:val="Compact"/>
                    <w:jc w:val="center"/>
                    <w:jc w:val="center"/>
                  </w:pPr>
                  <w:r>
                    <w:t xml:space="preserve">0.084</w:t>
                  </w:r>
                </w:p>
              </w:tc>
              <w:tc>
                <w:tcPr/>
                <w:p>
                  <w:pPr>
                    <w:pStyle w:val="Compact"/>
                    <w:jc w:val="center"/>
                    <w:jc w:val="center"/>
                  </w:pPr>
                  <w:r>
                    <w:t xml:space="preserve">2.327</w:t>
                  </w:r>
                </w:p>
              </w:tc>
              <w:tc>
                <w:tcPr/>
                <w:p>
                  <w:pPr>
                    <w:pStyle w:val="Compact"/>
                    <w:jc w:val="center"/>
                    <w:jc w:val="center"/>
                  </w:pPr>
                  <w:r>
                    <w:t xml:space="preserve">2.906</w:t>
                  </w:r>
                </w:p>
              </w:tc>
              <w:tc>
                <w:tcPr/>
                <w:p>
                  <w:pPr>
                    <w:pStyle w:val="Compact"/>
                    <w:jc w:val="center"/>
                    <w:jc w:val="center"/>
                  </w:pPr>
                  <m:oMath>
                    <m:r>
                      <m:t>T</m:t>
                    </m:r>
                    <m:r>
                      <m:rPr>
                        <m:sty m:val="p"/>
                      </m:rPr>
                      <m:t>=</m:t>
                    </m:r>
                    <m:r>
                      <m:t>23</m:t>
                    </m:r>
                  </m:oMath>
                </w:p>
              </w:tc>
            </w:tr>
            <w:tr>
              <w:tc>
                <w:tcPr/>
                <w:p>
                  <w:pPr>
                    <w:pStyle w:val="Compact"/>
                    <w:jc w:val="left"/>
                    <w:jc w:val="center"/>
                  </w:pPr>
                  <w:r>
                    <w:rPr>
                      <w:rStyle w:val="VerbatimChar"/>
                      <w:b/>
                      <w:bCs/>
                    </w:rPr>
                    <w:t xml:space="preserve">log_IE</w:t>
                  </w:r>
                </w:p>
              </w:tc>
              <w:tc>
                <w:tcPr/>
                <w:p>
                  <w:pPr>
                    <w:pStyle w:val="Compact"/>
                    <w:jc w:val="left"/>
                    <w:jc w:val="center"/>
                  </w:pPr>
                  <w:r>
                    <w:t xml:space="preserve">General</w:t>
                  </w:r>
                </w:p>
              </w:tc>
              <w:tc>
                <w:tcPr/>
                <w:p>
                  <w:pPr>
                    <w:pStyle w:val="Compact"/>
                    <w:jc w:val="center"/>
                    <w:jc w:val="center"/>
                  </w:pPr>
                  <w:r>
                    <w:t xml:space="preserve">3.282</w:t>
                  </w:r>
                </w:p>
              </w:tc>
              <w:tc>
                <w:tcPr/>
                <w:p>
                  <w:pPr>
                    <w:pStyle w:val="Compact"/>
                    <w:jc w:val="center"/>
                    <w:jc w:val="center"/>
                  </w:pPr>
                  <w:r>
                    <w:t xml:space="preserve">0.594</w:t>
                  </w:r>
                </w:p>
              </w:tc>
              <w:tc>
                <w:tcPr/>
                <w:p>
                  <w:pPr>
                    <w:pStyle w:val="Compact"/>
                    <w:jc w:val="center"/>
                    <w:jc w:val="center"/>
                  </w:pPr>
                  <w:r>
                    <w:t xml:space="preserve">2.041</w:t>
                  </w:r>
                </w:p>
              </w:tc>
              <w:tc>
                <w:tcPr/>
                <w:p>
                  <w:pPr>
                    <w:pStyle w:val="Compact"/>
                    <w:jc w:val="center"/>
                    <w:jc w:val="center"/>
                  </w:pPr>
                  <w:r>
                    <w:t xml:space="preserve">4.246</w:t>
                  </w:r>
                </w:p>
              </w:tc>
              <w:tc>
                <w:tcPr/>
                <w:p>
                  <w:pPr>
                    <w:pStyle w:val="Compact"/>
                    <w:jc w:val="center"/>
                    <w:jc w:val="center"/>
                  </w:pPr>
                  <m:oMath>
                    <m:r>
                      <m:t>N</m:t>
                    </m:r>
                    <m:r>
                      <m:rPr>
                        <m:sty m:val="p"/>
                      </m:rPr>
                      <m:t>=</m:t>
                    </m:r>
                    <m:r>
                      <m:t>230</m:t>
                    </m:r>
                  </m:oMath>
                </w:p>
              </w:tc>
            </w:tr>
            <w:tr>
              <w:tc>
                <w:tcPr/>
                <w:p>
                  <w:pPr>
                    <w:pStyle w:val="Compact"/>
                  </w:pPr>
                </w:p>
              </w:tc>
              <w:tc>
                <w:tcPr/>
                <w:p>
                  <w:pPr>
                    <w:pStyle w:val="Compact"/>
                    <w:jc w:val="left"/>
                    <w:jc w:val="center"/>
                  </w:pPr>
                  <w:r>
                    <w:t xml:space="preserve">Entre países</w:t>
                  </w:r>
                </w:p>
              </w:tc>
              <w:tc>
                <w:tcPr/>
                <w:p>
                  <w:pPr>
                    <w:pStyle w:val="Compact"/>
                  </w:pPr>
                </w:p>
              </w:tc>
              <w:tc>
                <w:tcPr/>
                <w:p>
                  <w:pPr>
                    <w:pStyle w:val="Compact"/>
                    <w:jc w:val="center"/>
                    <w:jc w:val="center"/>
                  </w:pPr>
                  <w:r>
                    <w:t xml:space="preserve">0.599</w:t>
                  </w:r>
                </w:p>
              </w:tc>
              <w:tc>
                <w:tcPr/>
                <w:p>
                  <w:pPr>
                    <w:pStyle w:val="Compact"/>
                    <w:jc w:val="center"/>
                    <w:jc w:val="center"/>
                  </w:pPr>
                  <w:r>
                    <w:t xml:space="preserve">2.247</w:t>
                  </w:r>
                </w:p>
              </w:tc>
              <w:tc>
                <w:tcPr/>
                <w:p>
                  <w:pPr>
                    <w:pStyle w:val="Compact"/>
                    <w:jc w:val="center"/>
                    <w:jc w:val="center"/>
                  </w:pPr>
                  <w:r>
                    <w:t xml:space="preserve">4.150</w:t>
                  </w:r>
                </w:p>
              </w:tc>
              <w:tc>
                <w:tcPr/>
                <w:p>
                  <w:pPr>
                    <w:pStyle w:val="Compact"/>
                    <w:jc w:val="center"/>
                    <w:jc w:val="center"/>
                  </w:pPr>
                  <m:oMath>
                    <m:r>
                      <m:t>n</m:t>
                    </m:r>
                    <m:r>
                      <m:rPr>
                        <m:sty m:val="p"/>
                      </m:rPr>
                      <m:t>=</m:t>
                    </m:r>
                    <m:r>
                      <m:t>10</m:t>
                    </m:r>
                  </m:oMath>
                </w:p>
              </w:tc>
            </w:tr>
            <w:tr>
              <w:tc>
                <w:tcPr/>
                <w:p>
                  <w:pPr>
                    <w:pStyle w:val="Compact"/>
                  </w:pPr>
                </w:p>
              </w:tc>
              <w:tc>
                <w:tcPr/>
                <w:p>
                  <w:pPr>
                    <w:pStyle w:val="Compact"/>
                    <w:jc w:val="left"/>
                    <w:jc w:val="center"/>
                  </w:pPr>
                  <w:r>
                    <w:t xml:space="preserve">Temporal</w:t>
                  </w:r>
                </w:p>
              </w:tc>
              <w:tc>
                <w:tcPr/>
                <w:p>
                  <w:pPr>
                    <w:pStyle w:val="Compact"/>
                  </w:pPr>
                </w:p>
              </w:tc>
              <w:tc>
                <w:tcPr/>
                <w:p>
                  <w:pPr>
                    <w:pStyle w:val="Compact"/>
                    <w:jc w:val="center"/>
                    <w:jc w:val="center"/>
                  </w:pPr>
                  <w:r>
                    <w:t xml:space="preserve">0.167</w:t>
                  </w:r>
                </w:p>
              </w:tc>
              <w:tc>
                <w:tcPr/>
                <w:p>
                  <w:pPr>
                    <w:pStyle w:val="Compact"/>
                    <w:jc w:val="center"/>
                    <w:jc w:val="center"/>
                  </w:pPr>
                  <w:r>
                    <w:t xml:space="preserve">2.933</w:t>
                  </w:r>
                </w:p>
              </w:tc>
              <w:tc>
                <w:tcPr/>
                <w:p>
                  <w:pPr>
                    <w:pStyle w:val="Compact"/>
                    <w:jc w:val="center"/>
                    <w:jc w:val="center"/>
                  </w:pPr>
                  <w:r>
                    <w:t xml:space="preserve">3.977</w:t>
                  </w:r>
                </w:p>
              </w:tc>
              <w:tc>
                <w:tcPr/>
                <w:p>
                  <w:pPr>
                    <w:pStyle w:val="Compact"/>
                    <w:jc w:val="center"/>
                    <w:jc w:val="center"/>
                  </w:pPr>
                  <m:oMath>
                    <m:r>
                      <m:t>T</m:t>
                    </m:r>
                    <m:r>
                      <m:rPr>
                        <m:sty m:val="p"/>
                      </m:rPr>
                      <m:t>=</m:t>
                    </m:r>
                    <m:r>
                      <m:t>23</m:t>
                    </m:r>
                  </m:oMath>
                </w:p>
              </w:tc>
            </w:tr>
            <w:tr>
              <w:tc>
                <w:tcPr/>
                <w:p>
                  <w:pPr>
                    <w:pStyle w:val="Compact"/>
                    <w:jc w:val="left"/>
                    <w:jc w:val="center"/>
                  </w:pPr>
                  <w:r>
                    <w:rPr>
                      <w:rStyle w:val="VerbatimChar"/>
                      <w:b/>
                      <w:bCs/>
                    </w:rPr>
                    <w:t xml:space="preserve">log_AN</w:t>
                  </w:r>
                </w:p>
              </w:tc>
              <w:tc>
                <w:tcPr/>
                <w:p>
                  <w:pPr>
                    <w:pStyle w:val="Compact"/>
                    <w:jc w:val="left"/>
                    <w:jc w:val="center"/>
                  </w:pPr>
                  <w:r>
                    <w:t xml:space="preserve">General</w:t>
                  </w:r>
                </w:p>
              </w:tc>
              <w:tc>
                <w:tcPr/>
                <w:p>
                  <w:pPr>
                    <w:pStyle w:val="Compact"/>
                    <w:jc w:val="center"/>
                    <w:jc w:val="center"/>
                  </w:pPr>
                  <w:r>
                    <w:t xml:space="preserve">3.504</w:t>
                  </w:r>
                </w:p>
              </w:tc>
              <w:tc>
                <w:tcPr/>
                <w:p>
                  <w:pPr>
                    <w:pStyle w:val="Compact"/>
                    <w:jc w:val="center"/>
                    <w:jc w:val="center"/>
                  </w:pPr>
                  <w:r>
                    <w:t xml:space="preserve">0.597</w:t>
                  </w:r>
                </w:p>
              </w:tc>
              <w:tc>
                <w:tcPr/>
                <w:p>
                  <w:pPr>
                    <w:pStyle w:val="Compact"/>
                    <w:jc w:val="center"/>
                    <w:jc w:val="center"/>
                  </w:pPr>
                  <w:r>
                    <w:t xml:space="preserve">2.187</w:t>
                  </w:r>
                </w:p>
              </w:tc>
              <w:tc>
                <w:tcPr/>
                <w:p>
                  <w:pPr>
                    <w:pStyle w:val="Compact"/>
                    <w:jc w:val="center"/>
                    <w:jc w:val="center"/>
                  </w:pPr>
                  <w:r>
                    <w:t xml:space="preserve">4.817</w:t>
                  </w:r>
                </w:p>
              </w:tc>
              <w:tc>
                <w:tcPr/>
                <w:p>
                  <w:pPr>
                    <w:pStyle w:val="Compact"/>
                    <w:jc w:val="center"/>
                    <w:jc w:val="center"/>
                  </w:pPr>
                  <m:oMath>
                    <m:r>
                      <m:t>N</m:t>
                    </m:r>
                    <m:r>
                      <m:rPr>
                        <m:sty m:val="p"/>
                      </m:rPr>
                      <m:t>=</m:t>
                    </m:r>
                    <m:r>
                      <m:t>230</m:t>
                    </m:r>
                  </m:oMath>
                </w:p>
              </w:tc>
            </w:tr>
            <w:tr>
              <w:tc>
                <w:tcPr/>
                <w:p>
                  <w:pPr>
                    <w:pStyle w:val="Compact"/>
                  </w:pPr>
                </w:p>
              </w:tc>
              <w:tc>
                <w:tcPr/>
                <w:p>
                  <w:pPr>
                    <w:pStyle w:val="Compact"/>
                    <w:jc w:val="left"/>
                    <w:jc w:val="center"/>
                  </w:pPr>
                  <w:r>
                    <w:t xml:space="preserve">Entre países</w:t>
                  </w:r>
                </w:p>
              </w:tc>
              <w:tc>
                <w:tcPr/>
                <w:p>
                  <w:pPr>
                    <w:pStyle w:val="Compact"/>
                  </w:pPr>
                </w:p>
              </w:tc>
              <w:tc>
                <w:tcPr/>
                <w:p>
                  <w:pPr>
                    <w:pStyle w:val="Compact"/>
                    <w:jc w:val="center"/>
                    <w:jc w:val="center"/>
                  </w:pPr>
                  <w:r>
                    <w:t xml:space="preserve">0.530</w:t>
                  </w:r>
                </w:p>
              </w:tc>
              <w:tc>
                <w:tcPr/>
                <w:p>
                  <w:pPr>
                    <w:pStyle w:val="Compact"/>
                    <w:jc w:val="center"/>
                    <w:jc w:val="center"/>
                  </w:pPr>
                  <w:r>
                    <w:t xml:space="preserve">2.618</w:t>
                  </w:r>
                </w:p>
              </w:tc>
              <w:tc>
                <w:tcPr/>
                <w:p>
                  <w:pPr>
                    <w:pStyle w:val="Compact"/>
                    <w:jc w:val="center"/>
                    <w:jc w:val="center"/>
                  </w:pPr>
                  <w:r>
                    <w:t xml:space="preserve">4.585</w:t>
                  </w:r>
                </w:p>
              </w:tc>
              <w:tc>
                <w:tcPr/>
                <w:p>
                  <w:pPr>
                    <w:pStyle w:val="Compact"/>
                    <w:jc w:val="center"/>
                    <w:jc w:val="center"/>
                  </w:pPr>
                  <m:oMath>
                    <m:r>
                      <m:t>n</m:t>
                    </m:r>
                    <m:r>
                      <m:rPr>
                        <m:sty m:val="p"/>
                      </m:rPr>
                      <m:t>=</m:t>
                    </m:r>
                    <m:r>
                      <m:t>10</m:t>
                    </m:r>
                  </m:oMath>
                </w:p>
              </w:tc>
            </w:tr>
            <w:tr>
              <w:tc>
                <w:tcPr/>
                <w:p>
                  <w:pPr>
                    <w:pStyle w:val="Compact"/>
                  </w:pPr>
                </w:p>
              </w:tc>
              <w:tc>
                <w:tcPr/>
                <w:p>
                  <w:pPr>
                    <w:pStyle w:val="Compact"/>
                    <w:jc w:val="left"/>
                    <w:jc w:val="center"/>
                  </w:pPr>
                  <w:r>
                    <w:t xml:space="preserve">Temporal</w:t>
                  </w:r>
                </w:p>
              </w:tc>
              <w:tc>
                <w:tcPr/>
                <w:p>
                  <w:pPr>
                    <w:pStyle w:val="Compact"/>
                  </w:pPr>
                </w:p>
              </w:tc>
              <w:tc>
                <w:tcPr/>
                <w:p>
                  <w:pPr>
                    <w:pStyle w:val="Compact"/>
                    <w:jc w:val="center"/>
                    <w:jc w:val="center"/>
                  </w:pPr>
                  <w:r>
                    <w:t xml:space="preserve">0.319</w:t>
                  </w:r>
                </w:p>
              </w:tc>
              <w:tc>
                <w:tcPr/>
                <w:p>
                  <w:pPr>
                    <w:pStyle w:val="Compact"/>
                    <w:jc w:val="center"/>
                    <w:jc w:val="center"/>
                  </w:pPr>
                  <w:r>
                    <w:t xml:space="preserve">2.627</w:t>
                  </w:r>
                </w:p>
              </w:tc>
              <w:tc>
                <w:tcPr/>
                <w:p>
                  <w:pPr>
                    <w:pStyle w:val="Compact"/>
                    <w:jc w:val="center"/>
                    <w:jc w:val="center"/>
                  </w:pPr>
                  <w:r>
                    <w:t xml:space="preserve">4.455</w:t>
                  </w:r>
                </w:p>
              </w:tc>
              <w:tc>
                <w:tcPr/>
                <w:p>
                  <w:pPr>
                    <w:pStyle w:val="Compact"/>
                    <w:jc w:val="center"/>
                    <w:jc w:val="center"/>
                  </w:pPr>
                  <m:oMath>
                    <m:r>
                      <m:t>T</m:t>
                    </m:r>
                    <m:r>
                      <m:rPr>
                        <m:sty m:val="p"/>
                      </m:rPr>
                      <m:t>=</m:t>
                    </m:r>
                    <m:r>
                      <m:t>23</m:t>
                    </m:r>
                  </m:oMath>
                </w:p>
              </w:tc>
            </w:tr>
            <w:tr>
              <w:tc>
                <w:tcPr/>
                <w:p>
                  <w:pPr>
                    <w:pStyle w:val="Compact"/>
                    <w:jc w:val="left"/>
                    <w:jc w:val="center"/>
                  </w:pPr>
                  <w:r>
                    <w:rPr>
                      <w:rStyle w:val="VerbatimChar"/>
                      <w:b/>
                      <w:bCs/>
                    </w:rPr>
                    <w:t xml:space="preserve">log_RI</w:t>
                  </w:r>
                </w:p>
              </w:tc>
              <w:tc>
                <w:tcPr/>
                <w:p>
                  <w:pPr>
                    <w:pStyle w:val="Compact"/>
                    <w:jc w:val="left"/>
                    <w:jc w:val="center"/>
                  </w:pPr>
                  <w:r>
                    <w:t xml:space="preserve">General</w:t>
                  </w:r>
                </w:p>
              </w:tc>
              <w:tc>
                <w:tcPr/>
                <w:p>
                  <w:pPr>
                    <w:pStyle w:val="Compact"/>
                    <w:jc w:val="center"/>
                    <w:jc w:val="center"/>
                  </w:pPr>
                  <w:r>
                    <w:t xml:space="preserve">2.601</w:t>
                  </w:r>
                </w:p>
              </w:tc>
              <w:tc>
                <w:tcPr/>
                <w:p>
                  <w:pPr>
                    <w:pStyle w:val="Compact"/>
                    <w:jc w:val="center"/>
                    <w:jc w:val="center"/>
                  </w:pPr>
                  <w:r>
                    <w:t xml:space="preserve">0.629</w:t>
                  </w:r>
                </w:p>
              </w:tc>
              <w:tc>
                <w:tcPr/>
                <w:p>
                  <w:pPr>
                    <w:pStyle w:val="Compact"/>
                    <w:jc w:val="center"/>
                    <w:jc w:val="center"/>
                  </w:pPr>
                  <w:r>
                    <w:t xml:space="preserve">0.697</w:t>
                  </w:r>
                </w:p>
              </w:tc>
              <w:tc>
                <w:tcPr/>
                <w:p>
                  <w:pPr>
                    <w:pStyle w:val="Compact"/>
                    <w:jc w:val="center"/>
                    <w:jc w:val="center"/>
                  </w:pPr>
                  <w:r>
                    <w:t xml:space="preserve">3.940</w:t>
                  </w:r>
                </w:p>
              </w:tc>
              <w:tc>
                <w:tcPr/>
                <w:p>
                  <w:pPr>
                    <w:pStyle w:val="Compact"/>
                    <w:jc w:val="center"/>
                    <w:jc w:val="center"/>
                  </w:pPr>
                  <m:oMath>
                    <m:r>
                      <m:t>N</m:t>
                    </m:r>
                    <m:r>
                      <m:rPr>
                        <m:sty m:val="p"/>
                      </m:rPr>
                      <m:t>=</m:t>
                    </m:r>
                    <m:r>
                      <m:t>230</m:t>
                    </m:r>
                  </m:oMath>
                </w:p>
              </w:tc>
            </w:tr>
            <w:tr>
              <w:tc>
                <w:tcPr/>
                <w:p>
                  <w:pPr>
                    <w:pStyle w:val="Compact"/>
                  </w:pPr>
                </w:p>
              </w:tc>
              <w:tc>
                <w:tcPr/>
                <w:p>
                  <w:pPr>
                    <w:pStyle w:val="Compact"/>
                    <w:jc w:val="left"/>
                    <w:jc w:val="center"/>
                  </w:pPr>
                  <w:r>
                    <w:t xml:space="preserve">Entre países</w:t>
                  </w:r>
                </w:p>
              </w:tc>
              <w:tc>
                <w:tcPr/>
                <w:p>
                  <w:pPr>
                    <w:pStyle w:val="Compact"/>
                  </w:pPr>
                </w:p>
              </w:tc>
              <w:tc>
                <w:tcPr/>
                <w:p>
                  <w:pPr>
                    <w:pStyle w:val="Compact"/>
                    <w:jc w:val="center"/>
                    <w:jc w:val="center"/>
                  </w:pPr>
                  <w:r>
                    <w:t xml:space="preserve">0.523</w:t>
                  </w:r>
                </w:p>
              </w:tc>
              <w:tc>
                <w:tcPr/>
                <w:p>
                  <w:pPr>
                    <w:pStyle w:val="Compact"/>
                    <w:jc w:val="center"/>
                    <w:jc w:val="center"/>
                  </w:pPr>
                  <w:r>
                    <w:t xml:space="preserve">1.444</w:t>
                  </w:r>
                </w:p>
              </w:tc>
              <w:tc>
                <w:tcPr/>
                <w:p>
                  <w:pPr>
                    <w:pStyle w:val="Compact"/>
                    <w:jc w:val="center"/>
                    <w:jc w:val="center"/>
                  </w:pPr>
                  <w:r>
                    <w:t xml:space="preserve">3.277</w:t>
                  </w:r>
                </w:p>
              </w:tc>
              <w:tc>
                <w:tcPr/>
                <w:p>
                  <w:pPr>
                    <w:pStyle w:val="Compact"/>
                    <w:jc w:val="center"/>
                    <w:jc w:val="center"/>
                  </w:pPr>
                  <m:oMath>
                    <m:r>
                      <m:t>n</m:t>
                    </m:r>
                    <m:r>
                      <m:rPr>
                        <m:sty m:val="p"/>
                      </m:rPr>
                      <m:t>=</m:t>
                    </m:r>
                    <m:r>
                      <m:t>10</m:t>
                    </m:r>
                  </m:oMath>
                </w:p>
              </w:tc>
            </w:tr>
            <w:tr>
              <w:tc>
                <w:tcPr/>
                <w:p>
                  <w:pPr>
                    <w:pStyle w:val="Compact"/>
                  </w:pPr>
                </w:p>
              </w:tc>
              <w:tc>
                <w:tcPr/>
                <w:p>
                  <w:pPr>
                    <w:pStyle w:val="Compact"/>
                    <w:jc w:val="left"/>
                    <w:jc w:val="center"/>
                  </w:pPr>
                  <w:r>
                    <w:t xml:space="preserve">Temporal</w:t>
                  </w:r>
                </w:p>
              </w:tc>
              <w:tc>
                <w:tcPr/>
                <w:p>
                  <w:pPr>
                    <w:pStyle w:val="Compact"/>
                  </w:pPr>
                </w:p>
              </w:tc>
              <w:tc>
                <w:tcPr/>
                <w:p>
                  <w:pPr>
                    <w:pStyle w:val="Compact"/>
                    <w:jc w:val="center"/>
                    <w:jc w:val="center"/>
                  </w:pPr>
                  <w:r>
                    <w:t xml:space="preserve">0.385</w:t>
                  </w:r>
                </w:p>
              </w:tc>
              <w:tc>
                <w:tcPr/>
                <w:p>
                  <w:pPr>
                    <w:pStyle w:val="Compact"/>
                    <w:jc w:val="center"/>
                    <w:jc w:val="center"/>
                  </w:pPr>
                  <w:r>
                    <w:t xml:space="preserve">0.742</w:t>
                  </w:r>
                </w:p>
              </w:tc>
              <w:tc>
                <w:tcPr/>
                <w:p>
                  <w:pPr>
                    <w:pStyle w:val="Compact"/>
                    <w:jc w:val="center"/>
                    <w:jc w:val="center"/>
                  </w:pPr>
                  <w:r>
                    <w:t xml:space="preserve">3.446</w:t>
                  </w:r>
                </w:p>
              </w:tc>
              <w:tc>
                <w:tcPr/>
                <w:p>
                  <w:pPr>
                    <w:pStyle w:val="Compact"/>
                    <w:jc w:val="center"/>
                    <w:jc w:val="center"/>
                  </w:pPr>
                  <m:oMath>
                    <m:r>
                      <m:t>T</m:t>
                    </m:r>
                    <m:r>
                      <m:rPr>
                        <m:sty m:val="p"/>
                      </m:rPr>
                      <m:t>=</m:t>
                    </m:r>
                    <m:r>
                      <m:t>23</m:t>
                    </m:r>
                  </m:oMath>
                </w:p>
              </w:tc>
            </w:tr>
          </w:tbl>
          <w:bookmarkEnd w:id="28"/>
          <w:p/>
        </w:tc>
      </w:tr>
    </w:tbl>
    <w:bookmarkEnd w:id="29"/>
    <w:bookmarkStart w:id="33" w:name="pruebas-de-diagnóstico"/>
    <w:p>
      <w:pPr>
        <w:pStyle w:val="Heading3"/>
      </w:pPr>
      <w:r>
        <w:t xml:space="preserve">6.1.2 Pruebas de Diagnóstico</w:t>
      </w:r>
    </w:p>
    <w:p>
      <w:pPr>
        <w:pStyle w:val="FirstParagraph"/>
      </w:pPr>
      <w:r>
        <w:t xml:space="preserve">Las matrices de correlación de Pearson para la muestra global y los subgrupos constan en la</w:t>
      </w:r>
      <w:r>
        <w:t xml:space="preserve"> </w:t>
      </w:r>
      <w:hyperlink w:anchor="tbl-correlation">
        <w:r>
          <w:rPr>
            <w:rStyle w:val="Hyperlink"/>
          </w:rPr>
          <w:t xml:space="preserve">Tabla 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0" w:name="tbl-correlation"/>
          <w:p>
            <w:pPr>
              <w:jc w:val="center"/>
            </w:pPr>
            <w:pPr>
              <w:jc w:val="left"/>
              <w:spacing w:before="200"/>
              <w:pStyle w:val="ImageCaption"/>
            </w:pPr>
            <w:r>
              <w:t xml:space="preserve">Tabla 4: Matrices de Correlación de Pearson con Niveles de Significancia (2001-2023)</w:t>
            </w:r>
          </w:p>
          <w:p>
            <w:pPr>
              <w:pStyle w:val="Heading2"/>
              <w:jc w:val="center"/>
            </w:pPr>
            <w:r>
              <w:t xml:space="preserve">Global</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jc w:val="center"/>
                  </w:pPr>
                  <w:r>
                    <w:t xml:space="preserve">VE</w:t>
                  </w:r>
                </w:p>
              </w:tc>
              <w:tc>
                <w:tcPr/>
                <w:p>
                  <w:pPr>
                    <w:pStyle w:val="Compact"/>
                    <w:jc w:val="left"/>
                    <w:jc w:val="center"/>
                  </w:pPr>
                  <w:r>
                    <w:t xml:space="preserve">PF</w:t>
                  </w:r>
                </w:p>
              </w:tc>
              <w:tc>
                <w:tcPr/>
                <w:p>
                  <w:pPr>
                    <w:pStyle w:val="Compact"/>
                    <w:jc w:val="left"/>
                    <w:jc w:val="center"/>
                  </w:pPr>
                  <w:r>
                    <w:t xml:space="preserve">IE</w:t>
                  </w:r>
                </w:p>
              </w:tc>
              <w:tc>
                <w:tcPr/>
                <w:p>
                  <w:pPr>
                    <w:pStyle w:val="Compact"/>
                    <w:jc w:val="left"/>
                    <w:jc w:val="center"/>
                  </w:pPr>
                  <w:r>
                    <w:t xml:space="preserve">AN</w:t>
                  </w:r>
                </w:p>
              </w:tc>
              <w:tc>
                <w:tcPr/>
                <w:p>
                  <w:pPr>
                    <w:pStyle w:val="Compact"/>
                    <w:jc w:val="left"/>
                    <w:jc w:val="center"/>
                  </w:pPr>
                  <w:r>
                    <w:t xml:space="preserve">RI</w:t>
                  </w:r>
                </w:p>
              </w:tc>
            </w:tr>
            <w:tr>
              <w:tc>
                <w:tcPr/>
                <w:p>
                  <w:pPr>
                    <w:pStyle w:val="Compact"/>
                    <w:jc w:val="left"/>
                    <w:jc w:val="center"/>
                  </w:pPr>
                  <w:r>
                    <w:t xml:space="preserve">VE</w:t>
                  </w:r>
                </w:p>
              </w:tc>
              <w:tc>
                <w:tcPr/>
                <w:p>
                  <w:pPr>
                    <w:pStyle w:val="Compact"/>
                    <w:jc w:val="left"/>
                    <w:jc w:val="center"/>
                  </w:pPr>
                  <w:r>
                    <w:t xml:space="preserve">1.000</w:t>
                  </w:r>
                </w:p>
              </w:tc>
              <w:tc>
                <w:tcPr/>
                <w:p>
                  <w:pPr>
                    <w:pStyle w:val="Compact"/>
                    <w:jc w:val="left"/>
                    <w:jc w:val="center"/>
                  </w:pPr>
                  <w:r>
                    <w:t xml:space="preserve">0.267***</w:t>
                  </w:r>
                </w:p>
              </w:tc>
              <w:tc>
                <w:tcPr/>
                <w:p>
                  <w:pPr>
                    <w:pStyle w:val="Compact"/>
                    <w:jc w:val="left"/>
                    <w:jc w:val="center"/>
                  </w:pPr>
                  <w:r>
                    <w:t xml:space="preserve">-0.479***</w:t>
                  </w:r>
                </w:p>
              </w:tc>
              <w:tc>
                <w:tcPr/>
                <w:p>
                  <w:pPr>
                    <w:pStyle w:val="Compact"/>
                    <w:jc w:val="left"/>
                    <w:jc w:val="center"/>
                  </w:pPr>
                  <w:r>
                    <w:t xml:space="preserve">0.011</w:t>
                  </w:r>
                </w:p>
              </w:tc>
              <w:tc>
                <w:tcPr/>
                <w:p>
                  <w:pPr>
                    <w:pStyle w:val="Compact"/>
                    <w:jc w:val="left"/>
                    <w:jc w:val="center"/>
                  </w:pPr>
                  <w:r>
                    <w:t xml:space="preserve">-0.003</w:t>
                  </w:r>
                </w:p>
              </w:tc>
            </w:tr>
            <w:tr>
              <w:tc>
                <w:tcPr/>
                <w:p>
                  <w:pPr>
                    <w:pStyle w:val="Compact"/>
                    <w:jc w:val="left"/>
                    <w:jc w:val="center"/>
                  </w:pPr>
                  <w:r>
                    <w:t xml:space="preserve">PF</w:t>
                  </w:r>
                </w:p>
              </w:tc>
              <w:tc>
                <w:tcPr/>
                <w:p>
                  <w:pPr>
                    <w:pStyle w:val="Compact"/>
                    <w:jc w:val="left"/>
                    <w:jc w:val="center"/>
                  </w:pPr>
                  <w:r>
                    <w:t xml:space="preserve">0.267***</w:t>
                  </w:r>
                </w:p>
              </w:tc>
              <w:tc>
                <w:tcPr/>
                <w:p>
                  <w:pPr>
                    <w:pStyle w:val="Compact"/>
                    <w:jc w:val="left"/>
                    <w:jc w:val="center"/>
                  </w:pPr>
                  <w:r>
                    <w:t xml:space="preserve">1.000</w:t>
                  </w:r>
                </w:p>
              </w:tc>
              <w:tc>
                <w:tcPr/>
                <w:p>
                  <w:pPr>
                    <w:pStyle w:val="Compact"/>
                    <w:jc w:val="left"/>
                    <w:jc w:val="center"/>
                  </w:pPr>
                  <w:r>
                    <w:t xml:space="preserve">-0.174***</w:t>
                  </w:r>
                </w:p>
              </w:tc>
              <w:tc>
                <w:tcPr/>
                <w:p>
                  <w:pPr>
                    <w:pStyle w:val="Compact"/>
                    <w:jc w:val="left"/>
                    <w:jc w:val="center"/>
                  </w:pPr>
                  <w:r>
                    <w:t xml:space="preserve">0.430***</w:t>
                  </w:r>
                </w:p>
              </w:tc>
              <w:tc>
                <w:tcPr/>
                <w:p>
                  <w:pPr>
                    <w:pStyle w:val="Compact"/>
                    <w:jc w:val="left"/>
                    <w:jc w:val="center"/>
                  </w:pPr>
                  <w:r>
                    <w:t xml:space="preserve">0.311***</w:t>
                  </w:r>
                </w:p>
              </w:tc>
            </w:tr>
            <w:tr>
              <w:tc>
                <w:tcPr/>
                <w:p>
                  <w:pPr>
                    <w:pStyle w:val="Compact"/>
                    <w:jc w:val="left"/>
                    <w:jc w:val="center"/>
                  </w:pPr>
                  <w:r>
                    <w:t xml:space="preserve">IE</w:t>
                  </w:r>
                </w:p>
              </w:tc>
              <w:tc>
                <w:tcPr/>
                <w:p>
                  <w:pPr>
                    <w:pStyle w:val="Compact"/>
                    <w:jc w:val="left"/>
                    <w:jc w:val="center"/>
                  </w:pPr>
                  <w:r>
                    <w:t xml:space="preserve">-0.479***</w:t>
                  </w:r>
                </w:p>
              </w:tc>
              <w:tc>
                <w:tcPr/>
                <w:p>
                  <w:pPr>
                    <w:pStyle w:val="Compact"/>
                    <w:jc w:val="left"/>
                    <w:jc w:val="center"/>
                  </w:pPr>
                  <w:r>
                    <w:t xml:space="preserve">-0.174***</w:t>
                  </w:r>
                </w:p>
              </w:tc>
              <w:tc>
                <w:tcPr/>
                <w:p>
                  <w:pPr>
                    <w:pStyle w:val="Compact"/>
                    <w:jc w:val="left"/>
                    <w:jc w:val="center"/>
                  </w:pPr>
                  <w:r>
                    <w:t xml:space="preserve">1.000</w:t>
                  </w:r>
                </w:p>
              </w:tc>
              <w:tc>
                <w:tcPr/>
                <w:p>
                  <w:pPr>
                    <w:pStyle w:val="Compact"/>
                    <w:jc w:val="left"/>
                    <w:jc w:val="center"/>
                  </w:pPr>
                  <w:r>
                    <w:t xml:space="preserve">0.057</w:t>
                  </w:r>
                </w:p>
              </w:tc>
              <w:tc>
                <w:tcPr/>
                <w:p>
                  <w:pPr>
                    <w:pStyle w:val="Compact"/>
                    <w:jc w:val="left"/>
                    <w:jc w:val="center"/>
                  </w:pPr>
                  <w:r>
                    <w:t xml:space="preserve">0.202***</w:t>
                  </w:r>
                </w:p>
              </w:tc>
            </w:tr>
            <w:tr>
              <w:tc>
                <w:tcPr/>
                <w:p>
                  <w:pPr>
                    <w:pStyle w:val="Compact"/>
                    <w:jc w:val="left"/>
                    <w:jc w:val="center"/>
                  </w:pPr>
                  <w:r>
                    <w:t xml:space="preserve">AN</w:t>
                  </w:r>
                </w:p>
              </w:tc>
              <w:tc>
                <w:tcPr/>
                <w:p>
                  <w:pPr>
                    <w:pStyle w:val="Compact"/>
                    <w:jc w:val="left"/>
                    <w:jc w:val="center"/>
                  </w:pPr>
                  <w:r>
                    <w:t xml:space="preserve">0.011</w:t>
                  </w:r>
                </w:p>
              </w:tc>
              <w:tc>
                <w:tcPr/>
                <w:p>
                  <w:pPr>
                    <w:pStyle w:val="Compact"/>
                    <w:jc w:val="left"/>
                    <w:jc w:val="center"/>
                  </w:pPr>
                  <w:r>
                    <w:t xml:space="preserve">0.430***</w:t>
                  </w:r>
                </w:p>
              </w:tc>
              <w:tc>
                <w:tcPr/>
                <w:p>
                  <w:pPr>
                    <w:pStyle w:val="Compact"/>
                    <w:jc w:val="left"/>
                    <w:jc w:val="center"/>
                  </w:pPr>
                  <w:r>
                    <w:t xml:space="preserve">0.057</w:t>
                  </w:r>
                </w:p>
              </w:tc>
              <w:tc>
                <w:tcPr/>
                <w:p>
                  <w:pPr>
                    <w:pStyle w:val="Compact"/>
                    <w:jc w:val="left"/>
                    <w:jc w:val="center"/>
                  </w:pPr>
                  <w:r>
                    <w:t xml:space="preserve">1.000</w:t>
                  </w:r>
                </w:p>
              </w:tc>
              <w:tc>
                <w:tcPr/>
                <w:p>
                  <w:pPr>
                    <w:pStyle w:val="Compact"/>
                    <w:jc w:val="left"/>
                    <w:jc w:val="center"/>
                  </w:pPr>
                  <w:r>
                    <w:t xml:space="preserve">0.099</w:t>
                  </w:r>
                </w:p>
              </w:tc>
            </w:tr>
            <w:tr>
              <w:tc>
                <w:tcPr/>
                <w:p>
                  <w:pPr>
                    <w:pStyle w:val="Compact"/>
                    <w:jc w:val="left"/>
                    <w:jc w:val="center"/>
                  </w:pPr>
                  <w:r>
                    <w:t xml:space="preserve">RI</w:t>
                  </w:r>
                </w:p>
              </w:tc>
              <w:tc>
                <w:tcPr/>
                <w:p>
                  <w:pPr>
                    <w:pStyle w:val="Compact"/>
                    <w:jc w:val="left"/>
                    <w:jc w:val="center"/>
                  </w:pPr>
                  <w:r>
                    <w:t xml:space="preserve">-0.003</w:t>
                  </w:r>
                </w:p>
              </w:tc>
              <w:tc>
                <w:tcPr/>
                <w:p>
                  <w:pPr>
                    <w:pStyle w:val="Compact"/>
                    <w:jc w:val="left"/>
                    <w:jc w:val="center"/>
                  </w:pPr>
                  <w:r>
                    <w:t xml:space="preserve">0.311***</w:t>
                  </w:r>
                </w:p>
              </w:tc>
              <w:tc>
                <w:tcPr/>
                <w:p>
                  <w:pPr>
                    <w:pStyle w:val="Compact"/>
                    <w:jc w:val="left"/>
                    <w:jc w:val="center"/>
                  </w:pPr>
                  <w:r>
                    <w:t xml:space="preserve">0.202***</w:t>
                  </w:r>
                </w:p>
              </w:tc>
              <w:tc>
                <w:tcPr/>
                <w:p>
                  <w:pPr>
                    <w:pStyle w:val="Compact"/>
                    <w:jc w:val="left"/>
                    <w:jc w:val="center"/>
                  </w:pPr>
                  <w:r>
                    <w:t xml:space="preserve">0.099</w:t>
                  </w:r>
                </w:p>
              </w:tc>
              <w:tc>
                <w:tcPr/>
                <w:p>
                  <w:pPr>
                    <w:pStyle w:val="Compact"/>
                    <w:jc w:val="left"/>
                    <w:jc w:val="center"/>
                  </w:pPr>
                  <w:r>
                    <w:t xml:space="preserve">1.000</w:t>
                  </w:r>
                </w:p>
              </w:tc>
            </w:tr>
          </w:tbl>
          <w:p>
            <w:pPr>
              <w:pStyle w:val="Heading2"/>
              <w:jc w:val="center"/>
            </w:pPr>
            <w:r>
              <w:t xml:space="preserve">Hidrocarburos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jc w:val="center"/>
                  </w:pPr>
                  <w:r>
                    <w:t xml:space="preserve">VE</w:t>
                  </w:r>
                </w:p>
              </w:tc>
              <w:tc>
                <w:tcPr/>
                <w:p>
                  <w:pPr>
                    <w:pStyle w:val="Compact"/>
                    <w:jc w:val="left"/>
                    <w:jc w:val="center"/>
                  </w:pPr>
                  <w:r>
                    <w:t xml:space="preserve">PF</w:t>
                  </w:r>
                </w:p>
              </w:tc>
              <w:tc>
                <w:tcPr/>
                <w:p>
                  <w:pPr>
                    <w:pStyle w:val="Compact"/>
                    <w:jc w:val="left"/>
                    <w:jc w:val="center"/>
                  </w:pPr>
                  <w:r>
                    <w:t xml:space="preserve">IE</w:t>
                  </w:r>
                </w:p>
              </w:tc>
              <w:tc>
                <w:tcPr/>
                <w:p>
                  <w:pPr>
                    <w:pStyle w:val="Compact"/>
                    <w:jc w:val="left"/>
                    <w:jc w:val="center"/>
                  </w:pPr>
                  <w:r>
                    <w:t xml:space="preserve">AN</w:t>
                  </w:r>
                </w:p>
              </w:tc>
              <w:tc>
                <w:tcPr/>
                <w:p>
                  <w:pPr>
                    <w:pStyle w:val="Compact"/>
                    <w:jc w:val="left"/>
                    <w:jc w:val="center"/>
                  </w:pPr>
                  <w:r>
                    <w:t xml:space="preserve">RI</w:t>
                  </w:r>
                </w:p>
              </w:tc>
            </w:tr>
            <w:tr>
              <w:tc>
                <w:tcPr/>
                <w:p>
                  <w:pPr>
                    <w:pStyle w:val="Compact"/>
                    <w:jc w:val="left"/>
                    <w:jc w:val="center"/>
                  </w:pPr>
                  <w:r>
                    <w:t xml:space="preserve">VE</w:t>
                  </w:r>
                </w:p>
              </w:tc>
              <w:tc>
                <w:tcPr/>
                <w:p>
                  <w:pPr>
                    <w:pStyle w:val="Compact"/>
                    <w:jc w:val="left"/>
                    <w:jc w:val="center"/>
                  </w:pPr>
                  <w:r>
                    <w:t xml:space="preserve">1.000</w:t>
                  </w:r>
                </w:p>
              </w:tc>
              <w:tc>
                <w:tcPr/>
                <w:p>
                  <w:pPr>
                    <w:pStyle w:val="Compact"/>
                    <w:jc w:val="left"/>
                    <w:jc w:val="center"/>
                  </w:pPr>
                  <w:r>
                    <w:t xml:space="preserve">0.045</w:t>
                  </w:r>
                </w:p>
              </w:tc>
              <w:tc>
                <w:tcPr/>
                <w:p>
                  <w:pPr>
                    <w:pStyle w:val="Compact"/>
                    <w:jc w:val="left"/>
                    <w:jc w:val="center"/>
                  </w:pPr>
                  <w:r>
                    <w:t xml:space="preserve">-0.448***</w:t>
                  </w:r>
                </w:p>
              </w:tc>
              <w:tc>
                <w:tcPr/>
                <w:p>
                  <w:pPr>
                    <w:pStyle w:val="Compact"/>
                    <w:jc w:val="left"/>
                    <w:jc w:val="center"/>
                  </w:pPr>
                  <w:r>
                    <w:t xml:space="preserve">-0.630***</w:t>
                  </w:r>
                </w:p>
              </w:tc>
              <w:tc>
                <w:tcPr/>
                <w:p>
                  <w:pPr>
                    <w:pStyle w:val="Compact"/>
                    <w:jc w:val="left"/>
                    <w:jc w:val="center"/>
                  </w:pPr>
                  <w:r>
                    <w:t xml:space="preserve">0.046</w:t>
                  </w:r>
                </w:p>
              </w:tc>
            </w:tr>
            <w:tr>
              <w:tc>
                <w:tcPr/>
                <w:p>
                  <w:pPr>
                    <w:pStyle w:val="Compact"/>
                    <w:jc w:val="left"/>
                    <w:jc w:val="center"/>
                  </w:pPr>
                  <w:r>
                    <w:t xml:space="preserve">PF</w:t>
                  </w:r>
                </w:p>
              </w:tc>
              <w:tc>
                <w:tcPr/>
                <w:p>
                  <w:pPr>
                    <w:pStyle w:val="Compact"/>
                    <w:jc w:val="left"/>
                    <w:jc w:val="center"/>
                  </w:pPr>
                  <w:r>
                    <w:t xml:space="preserve">0.045</w:t>
                  </w:r>
                </w:p>
              </w:tc>
              <w:tc>
                <w:tcPr/>
                <w:p>
                  <w:pPr>
                    <w:pStyle w:val="Compact"/>
                    <w:jc w:val="left"/>
                    <w:jc w:val="center"/>
                  </w:pPr>
                  <w:r>
                    <w:t xml:space="preserve">1.000</w:t>
                  </w:r>
                </w:p>
              </w:tc>
              <w:tc>
                <w:tcPr/>
                <w:p>
                  <w:pPr>
                    <w:pStyle w:val="Compact"/>
                    <w:jc w:val="left"/>
                    <w:jc w:val="center"/>
                  </w:pPr>
                  <w:r>
                    <w:t xml:space="preserve">-0.292***</w:t>
                  </w:r>
                </w:p>
              </w:tc>
              <w:tc>
                <w:tcPr/>
                <w:p>
                  <w:pPr>
                    <w:pStyle w:val="Compact"/>
                    <w:jc w:val="left"/>
                    <w:jc w:val="center"/>
                  </w:pPr>
                  <w:r>
                    <w:t xml:space="preserve">0.416***</w:t>
                  </w:r>
                </w:p>
              </w:tc>
              <w:tc>
                <w:tcPr/>
                <w:p>
                  <w:pPr>
                    <w:pStyle w:val="Compact"/>
                    <w:jc w:val="left"/>
                    <w:jc w:val="center"/>
                  </w:pPr>
                  <w:r>
                    <w:t xml:space="preserve">0.538***</w:t>
                  </w:r>
                </w:p>
              </w:tc>
            </w:tr>
            <w:tr>
              <w:tc>
                <w:tcPr/>
                <w:p>
                  <w:pPr>
                    <w:pStyle w:val="Compact"/>
                    <w:jc w:val="left"/>
                    <w:jc w:val="center"/>
                  </w:pPr>
                  <w:r>
                    <w:t xml:space="preserve">IE</w:t>
                  </w:r>
                </w:p>
              </w:tc>
              <w:tc>
                <w:tcPr/>
                <w:p>
                  <w:pPr>
                    <w:pStyle w:val="Compact"/>
                    <w:jc w:val="left"/>
                    <w:jc w:val="center"/>
                  </w:pPr>
                  <w:r>
                    <w:t xml:space="preserve">-0.448***</w:t>
                  </w:r>
                </w:p>
              </w:tc>
              <w:tc>
                <w:tcPr/>
                <w:p>
                  <w:pPr>
                    <w:pStyle w:val="Compact"/>
                    <w:jc w:val="left"/>
                    <w:jc w:val="center"/>
                  </w:pPr>
                  <w:r>
                    <w:t xml:space="preserve">-0.292***</w:t>
                  </w:r>
                </w:p>
              </w:tc>
              <w:tc>
                <w:tcPr/>
                <w:p>
                  <w:pPr>
                    <w:pStyle w:val="Compact"/>
                    <w:jc w:val="left"/>
                    <w:jc w:val="center"/>
                  </w:pPr>
                  <w:r>
                    <w:t xml:space="preserve">1.000</w:t>
                  </w:r>
                </w:p>
              </w:tc>
              <w:tc>
                <w:tcPr/>
                <w:p>
                  <w:pPr>
                    <w:pStyle w:val="Compact"/>
                    <w:jc w:val="left"/>
                    <w:jc w:val="center"/>
                  </w:pPr>
                  <w:r>
                    <w:t xml:space="preserve">0.166</w:t>
                  </w:r>
                </w:p>
              </w:tc>
              <w:tc>
                <w:tcPr/>
                <w:p>
                  <w:pPr>
                    <w:pStyle w:val="Compact"/>
                    <w:jc w:val="left"/>
                    <w:jc w:val="center"/>
                  </w:pPr>
                  <w:r>
                    <w:t xml:space="preserve">0.019</w:t>
                  </w:r>
                </w:p>
              </w:tc>
            </w:tr>
            <w:tr>
              <w:tc>
                <w:tcPr/>
                <w:p>
                  <w:pPr>
                    <w:pStyle w:val="Compact"/>
                    <w:jc w:val="left"/>
                    <w:jc w:val="center"/>
                  </w:pPr>
                  <w:r>
                    <w:t xml:space="preserve">AN</w:t>
                  </w:r>
                </w:p>
              </w:tc>
              <w:tc>
                <w:tcPr/>
                <w:p>
                  <w:pPr>
                    <w:pStyle w:val="Compact"/>
                    <w:jc w:val="left"/>
                    <w:jc w:val="center"/>
                  </w:pPr>
                  <w:r>
                    <w:t xml:space="preserve">-0.630***</w:t>
                  </w:r>
                </w:p>
              </w:tc>
              <w:tc>
                <w:tcPr/>
                <w:p>
                  <w:pPr>
                    <w:pStyle w:val="Compact"/>
                    <w:jc w:val="left"/>
                    <w:jc w:val="center"/>
                  </w:pPr>
                  <w:r>
                    <w:t xml:space="preserve">0.416***</w:t>
                  </w:r>
                </w:p>
              </w:tc>
              <w:tc>
                <w:tcPr/>
                <w:p>
                  <w:pPr>
                    <w:pStyle w:val="Compact"/>
                    <w:jc w:val="left"/>
                    <w:jc w:val="center"/>
                  </w:pPr>
                  <w:r>
                    <w:t xml:space="preserve">0.166</w:t>
                  </w:r>
                </w:p>
              </w:tc>
              <w:tc>
                <w:tcPr/>
                <w:p>
                  <w:pPr>
                    <w:pStyle w:val="Compact"/>
                    <w:jc w:val="left"/>
                    <w:jc w:val="center"/>
                  </w:pPr>
                  <w:r>
                    <w:t xml:space="preserve">1.000</w:t>
                  </w:r>
                </w:p>
              </w:tc>
              <w:tc>
                <w:tcPr/>
                <w:p>
                  <w:pPr>
                    <w:pStyle w:val="Compact"/>
                    <w:jc w:val="left"/>
                    <w:jc w:val="center"/>
                  </w:pPr>
                  <w:r>
                    <w:t xml:space="preserve">0.167</w:t>
                  </w:r>
                </w:p>
              </w:tc>
            </w:tr>
            <w:tr>
              <w:tc>
                <w:tcPr/>
                <w:p>
                  <w:pPr>
                    <w:pStyle w:val="Compact"/>
                    <w:jc w:val="left"/>
                    <w:jc w:val="center"/>
                  </w:pPr>
                  <w:r>
                    <w:t xml:space="preserve">RI</w:t>
                  </w:r>
                </w:p>
              </w:tc>
              <w:tc>
                <w:tcPr/>
                <w:p>
                  <w:pPr>
                    <w:pStyle w:val="Compact"/>
                    <w:jc w:val="left"/>
                    <w:jc w:val="center"/>
                  </w:pPr>
                  <w:r>
                    <w:t xml:space="preserve">0.046</w:t>
                  </w:r>
                </w:p>
              </w:tc>
              <w:tc>
                <w:tcPr/>
                <w:p>
                  <w:pPr>
                    <w:pStyle w:val="Compact"/>
                    <w:jc w:val="left"/>
                    <w:jc w:val="center"/>
                  </w:pPr>
                  <w:r>
                    <w:t xml:space="preserve">0.538***</w:t>
                  </w:r>
                </w:p>
              </w:tc>
              <w:tc>
                <w:tcPr/>
                <w:p>
                  <w:pPr>
                    <w:pStyle w:val="Compact"/>
                    <w:jc w:val="left"/>
                    <w:jc w:val="center"/>
                  </w:pPr>
                  <w:r>
                    <w:t xml:space="preserve">0.019</w:t>
                  </w:r>
                </w:p>
              </w:tc>
              <w:tc>
                <w:tcPr/>
                <w:p>
                  <w:pPr>
                    <w:pStyle w:val="Compact"/>
                    <w:jc w:val="left"/>
                    <w:jc w:val="center"/>
                  </w:pPr>
                  <w:r>
                    <w:t xml:space="preserve">0.167</w:t>
                  </w:r>
                </w:p>
              </w:tc>
              <w:tc>
                <w:tcPr/>
                <w:p>
                  <w:pPr>
                    <w:pStyle w:val="Compact"/>
                    <w:jc w:val="left"/>
                    <w:jc w:val="center"/>
                  </w:pPr>
                  <w:r>
                    <w:t xml:space="preserve">1.000</w:t>
                  </w:r>
                </w:p>
              </w:tc>
            </w:tr>
          </w:tbl>
          <w:p>
            <w:pPr>
              <w:pStyle w:val="Heading2"/>
              <w:jc w:val="center"/>
            </w:pPr>
            <w:r>
              <w:t xml:space="preserve">Minero-Agropecuario</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jc w:val="center"/>
                  </w:pPr>
                  <w:r>
                    <w:t xml:space="preserve">VE</w:t>
                  </w:r>
                </w:p>
              </w:tc>
              <w:tc>
                <w:tcPr/>
                <w:p>
                  <w:pPr>
                    <w:pStyle w:val="Compact"/>
                    <w:jc w:val="left"/>
                    <w:jc w:val="center"/>
                  </w:pPr>
                  <w:r>
                    <w:t xml:space="preserve">PF</w:t>
                  </w:r>
                </w:p>
              </w:tc>
              <w:tc>
                <w:tcPr/>
                <w:p>
                  <w:pPr>
                    <w:pStyle w:val="Compact"/>
                    <w:jc w:val="left"/>
                    <w:jc w:val="center"/>
                  </w:pPr>
                  <w:r>
                    <w:t xml:space="preserve">IE</w:t>
                  </w:r>
                </w:p>
              </w:tc>
              <w:tc>
                <w:tcPr/>
                <w:p>
                  <w:pPr>
                    <w:pStyle w:val="Compact"/>
                    <w:jc w:val="left"/>
                    <w:jc w:val="center"/>
                  </w:pPr>
                  <w:r>
                    <w:t xml:space="preserve">AN</w:t>
                  </w:r>
                </w:p>
              </w:tc>
              <w:tc>
                <w:tcPr/>
                <w:p>
                  <w:pPr>
                    <w:pStyle w:val="Compact"/>
                    <w:jc w:val="left"/>
                    <w:jc w:val="center"/>
                  </w:pPr>
                  <w:r>
                    <w:t xml:space="preserve">RI</w:t>
                  </w:r>
                </w:p>
              </w:tc>
            </w:tr>
            <w:tr>
              <w:tc>
                <w:tcPr/>
                <w:p>
                  <w:pPr>
                    <w:pStyle w:val="Compact"/>
                    <w:jc w:val="left"/>
                    <w:jc w:val="center"/>
                  </w:pPr>
                  <w:r>
                    <w:t xml:space="preserve">VE</w:t>
                  </w:r>
                </w:p>
              </w:tc>
              <w:tc>
                <w:tcPr/>
                <w:p>
                  <w:pPr>
                    <w:pStyle w:val="Compact"/>
                    <w:jc w:val="left"/>
                    <w:jc w:val="center"/>
                  </w:pPr>
                  <w:r>
                    <w:t xml:space="preserve">1.000</w:t>
                  </w:r>
                </w:p>
              </w:tc>
              <w:tc>
                <w:tcPr/>
                <w:p>
                  <w:pPr>
                    <w:pStyle w:val="Compact"/>
                    <w:jc w:val="left"/>
                    <w:jc w:val="center"/>
                  </w:pPr>
                  <w:r>
                    <w:t xml:space="preserve">0.441***</w:t>
                  </w:r>
                </w:p>
              </w:tc>
              <w:tc>
                <w:tcPr/>
                <w:p>
                  <w:pPr>
                    <w:pStyle w:val="Compact"/>
                    <w:jc w:val="left"/>
                    <w:jc w:val="center"/>
                  </w:pPr>
                  <w:r>
                    <w:t xml:space="preserve">-0.320***</w:t>
                  </w:r>
                </w:p>
              </w:tc>
              <w:tc>
                <w:tcPr/>
                <w:p>
                  <w:pPr>
                    <w:pStyle w:val="Compact"/>
                    <w:jc w:val="left"/>
                    <w:jc w:val="center"/>
                  </w:pPr>
                  <w:r>
                    <w:t xml:space="preserve">0.464***</w:t>
                  </w:r>
                </w:p>
              </w:tc>
              <w:tc>
                <w:tcPr/>
                <w:p>
                  <w:pPr>
                    <w:pStyle w:val="Compact"/>
                    <w:jc w:val="left"/>
                    <w:jc w:val="center"/>
                  </w:pPr>
                  <w:r>
                    <w:t xml:space="preserve">0.156*</w:t>
                  </w:r>
                </w:p>
              </w:tc>
            </w:tr>
            <w:tr>
              <w:tc>
                <w:tcPr/>
                <w:p>
                  <w:pPr>
                    <w:pStyle w:val="Compact"/>
                    <w:jc w:val="left"/>
                    <w:jc w:val="center"/>
                  </w:pPr>
                  <w:r>
                    <w:t xml:space="preserve">PF</w:t>
                  </w:r>
                </w:p>
              </w:tc>
              <w:tc>
                <w:tcPr/>
                <w:p>
                  <w:pPr>
                    <w:pStyle w:val="Compact"/>
                    <w:jc w:val="left"/>
                    <w:jc w:val="center"/>
                  </w:pPr>
                  <w:r>
                    <w:t xml:space="preserve">0.441***</w:t>
                  </w:r>
                </w:p>
              </w:tc>
              <w:tc>
                <w:tcPr/>
                <w:p>
                  <w:pPr>
                    <w:pStyle w:val="Compact"/>
                    <w:jc w:val="left"/>
                    <w:jc w:val="center"/>
                  </w:pPr>
                  <w:r>
                    <w:t xml:space="preserve">1.000</w:t>
                  </w:r>
                </w:p>
              </w:tc>
              <w:tc>
                <w:tcPr/>
                <w:p>
                  <w:pPr>
                    <w:pStyle w:val="Compact"/>
                    <w:jc w:val="left"/>
                    <w:jc w:val="center"/>
                  </w:pPr>
                  <w:r>
                    <w:t xml:space="preserve">-0.155*</w:t>
                  </w:r>
                </w:p>
              </w:tc>
              <w:tc>
                <w:tcPr/>
                <w:p>
                  <w:pPr>
                    <w:pStyle w:val="Compact"/>
                    <w:jc w:val="left"/>
                    <w:jc w:val="center"/>
                  </w:pPr>
                  <w:r>
                    <w:t xml:space="preserve">0.453***</w:t>
                  </w:r>
                </w:p>
              </w:tc>
              <w:tc>
                <w:tcPr/>
                <w:p>
                  <w:pPr>
                    <w:pStyle w:val="Compact"/>
                    <w:jc w:val="left"/>
                    <w:jc w:val="center"/>
                  </w:pPr>
                  <w:r>
                    <w:t xml:space="preserve">0.303***</w:t>
                  </w:r>
                </w:p>
              </w:tc>
            </w:tr>
            <w:tr>
              <w:tc>
                <w:tcPr/>
                <w:p>
                  <w:pPr>
                    <w:pStyle w:val="Compact"/>
                    <w:jc w:val="left"/>
                    <w:jc w:val="center"/>
                  </w:pPr>
                  <w:r>
                    <w:t xml:space="preserve">IE</w:t>
                  </w:r>
                </w:p>
              </w:tc>
              <w:tc>
                <w:tcPr/>
                <w:p>
                  <w:pPr>
                    <w:pStyle w:val="Compact"/>
                    <w:jc w:val="left"/>
                    <w:jc w:val="center"/>
                  </w:pPr>
                  <w:r>
                    <w:t xml:space="preserve">-0.320***</w:t>
                  </w:r>
                </w:p>
              </w:tc>
              <w:tc>
                <w:tcPr/>
                <w:p>
                  <w:pPr>
                    <w:pStyle w:val="Compact"/>
                    <w:jc w:val="left"/>
                    <w:jc w:val="center"/>
                  </w:pPr>
                  <w:r>
                    <w:t xml:space="preserve">-0.155*</w:t>
                  </w:r>
                </w:p>
              </w:tc>
              <w:tc>
                <w:tcPr/>
                <w:p>
                  <w:pPr>
                    <w:pStyle w:val="Compact"/>
                    <w:jc w:val="left"/>
                    <w:jc w:val="center"/>
                  </w:pPr>
                  <w:r>
                    <w:t xml:space="preserve">1.000</w:t>
                  </w:r>
                </w:p>
              </w:tc>
              <w:tc>
                <w:tcPr/>
                <w:p>
                  <w:pPr>
                    <w:pStyle w:val="Compact"/>
                    <w:jc w:val="left"/>
                    <w:jc w:val="center"/>
                  </w:pPr>
                  <w:r>
                    <w:t xml:space="preserve">-0.067</w:t>
                  </w:r>
                </w:p>
              </w:tc>
              <w:tc>
                <w:tcPr/>
                <w:p>
                  <w:pPr>
                    <w:pStyle w:val="Compact"/>
                    <w:jc w:val="left"/>
                    <w:jc w:val="center"/>
                  </w:pPr>
                  <w:r>
                    <w:t xml:space="preserve">0.244***</w:t>
                  </w:r>
                </w:p>
              </w:tc>
            </w:tr>
            <w:tr>
              <w:tc>
                <w:tcPr/>
                <w:p>
                  <w:pPr>
                    <w:pStyle w:val="Compact"/>
                    <w:jc w:val="left"/>
                    <w:jc w:val="center"/>
                  </w:pPr>
                  <w:r>
                    <w:t xml:space="preserve">AN</w:t>
                  </w:r>
                </w:p>
              </w:tc>
              <w:tc>
                <w:tcPr/>
                <w:p>
                  <w:pPr>
                    <w:pStyle w:val="Compact"/>
                    <w:jc w:val="left"/>
                    <w:jc w:val="center"/>
                  </w:pPr>
                  <w:r>
                    <w:t xml:space="preserve">0.464***</w:t>
                  </w:r>
                </w:p>
              </w:tc>
              <w:tc>
                <w:tcPr/>
                <w:p>
                  <w:pPr>
                    <w:pStyle w:val="Compact"/>
                    <w:jc w:val="left"/>
                    <w:jc w:val="center"/>
                  </w:pPr>
                  <w:r>
                    <w:t xml:space="preserve">0.453***</w:t>
                  </w:r>
                </w:p>
              </w:tc>
              <w:tc>
                <w:tcPr/>
                <w:p>
                  <w:pPr>
                    <w:pStyle w:val="Compact"/>
                    <w:jc w:val="left"/>
                    <w:jc w:val="center"/>
                  </w:pPr>
                  <w:r>
                    <w:t xml:space="preserve">-0.067</w:t>
                  </w:r>
                </w:p>
              </w:tc>
              <w:tc>
                <w:tcPr/>
                <w:p>
                  <w:pPr>
                    <w:pStyle w:val="Compact"/>
                    <w:jc w:val="left"/>
                    <w:jc w:val="center"/>
                  </w:pPr>
                  <w:r>
                    <w:t xml:space="preserve">1.000</w:t>
                  </w:r>
                </w:p>
              </w:tc>
              <w:tc>
                <w:tcPr/>
                <w:p>
                  <w:pPr>
                    <w:pStyle w:val="Compact"/>
                    <w:jc w:val="left"/>
                    <w:jc w:val="center"/>
                  </w:pPr>
                  <w:r>
                    <w:t xml:space="preserve">0.048</w:t>
                  </w:r>
                </w:p>
              </w:tc>
            </w:tr>
            <w:tr>
              <w:tc>
                <w:tcPr/>
                <w:p>
                  <w:pPr>
                    <w:pStyle w:val="Compact"/>
                    <w:jc w:val="left"/>
                    <w:jc w:val="center"/>
                  </w:pPr>
                  <w:r>
                    <w:t xml:space="preserve">RI</w:t>
                  </w:r>
                </w:p>
              </w:tc>
              <w:tc>
                <w:tcPr/>
                <w:p>
                  <w:pPr>
                    <w:pStyle w:val="Compact"/>
                    <w:jc w:val="left"/>
                    <w:jc w:val="center"/>
                  </w:pPr>
                  <w:r>
                    <w:t xml:space="preserve">0.156*</w:t>
                  </w:r>
                </w:p>
              </w:tc>
              <w:tc>
                <w:tcPr/>
                <w:p>
                  <w:pPr>
                    <w:pStyle w:val="Compact"/>
                    <w:jc w:val="left"/>
                    <w:jc w:val="center"/>
                  </w:pPr>
                  <w:r>
                    <w:t xml:space="preserve">0.303***</w:t>
                  </w:r>
                </w:p>
              </w:tc>
              <w:tc>
                <w:tcPr/>
                <w:p>
                  <w:pPr>
                    <w:pStyle w:val="Compact"/>
                    <w:jc w:val="left"/>
                    <w:jc w:val="center"/>
                  </w:pPr>
                  <w:r>
                    <w:t xml:space="preserve">0.244***</w:t>
                  </w:r>
                </w:p>
              </w:tc>
              <w:tc>
                <w:tcPr/>
                <w:p>
                  <w:pPr>
                    <w:pStyle w:val="Compact"/>
                    <w:jc w:val="left"/>
                    <w:jc w:val="center"/>
                  </w:pPr>
                  <w:r>
                    <w:t xml:space="preserve">0.048</w:t>
                  </w:r>
                </w:p>
              </w:tc>
              <w:tc>
                <w:tcPr/>
                <w:p>
                  <w:pPr>
                    <w:pStyle w:val="Compact"/>
                    <w:jc w:val="left"/>
                    <w:jc w:val="center"/>
                  </w:pPr>
                  <w:r>
                    <w:t xml:space="preserve">1.000</w:t>
                  </w:r>
                </w:p>
              </w:tc>
            </w:tr>
          </w:tbl>
          <w:bookmarkEnd w:id="30"/>
          <w:p/>
        </w:tc>
      </w:tr>
    </w:tbl>
    <w:p>
      <w:pPr>
        <w:pStyle w:val="BodyText"/>
      </w:pPr>
      <w:r>
        <w:t xml:space="preserve">El factor de inflación de la varianza (</w:t>
      </w:r>
      <w:hyperlink w:anchor="tbl-vif">
        <w:r>
          <w:rPr>
            <w:rStyle w:val="Hyperlink"/>
          </w:rPr>
          <w:t xml:space="preserve">Tabla 5</w:t>
        </w:r>
      </w:hyperlink>
      <w:r>
        <w:t xml:space="preserve">) descarta problemas de multicolinealidad severa en el modelo global:</w:t>
      </w:r>
    </w:p>
    <w:tbl>
      <w:tblPr>
        <w:tblStyle w:val="Table"/>
        <w:tblW w:type="pct" w:w="5000"/>
        <w:tblLayout w:type="fixed"/>
        <w:tblLook w:firstRow="0" w:lastRow="0" w:firstColumn="0" w:lastColumn="0" w:noHBand="0" w:noVBand="0" w:val="0000"/>
      </w:tblPr>
      <w:tblGrid>
        <w:gridCol w:w="7920"/>
      </w:tblGrid>
      <w:tr>
        <w:tc>
          <w:tcPr/>
          <w:bookmarkStart w:id="31" w:name="tbl-vif"/>
          <w:p>
            <w:pPr>
              <w:jc w:val="center"/>
            </w:pPr>
            <w:pPr>
              <w:jc w:val="left"/>
              <w:spacing w:before="200"/>
              <w:pStyle w:val="ImageCaption"/>
            </w:pPr>
            <w:r>
              <w:t xml:space="preserve">Tabla 5: Diagnóstico de Multicolinealidad (VIF)</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Variable</w:t>
                  </w:r>
                </w:p>
              </w:tc>
              <w:tc>
                <w:tcPr/>
                <w:p>
                  <w:pPr>
                    <w:pStyle w:val="Compact"/>
                    <w:jc w:val="center"/>
                    <w:jc w:val="center"/>
                  </w:pPr>
                  <w:r>
                    <w:t xml:space="preserve">VIF</w:t>
                  </w:r>
                </w:p>
              </w:tc>
              <w:tc>
                <w:tcPr/>
                <w:p>
                  <w:pPr>
                    <w:pStyle w:val="Compact"/>
                    <w:jc w:val="center"/>
                    <w:jc w:val="center"/>
                  </w:pPr>
                  <w:r>
                    <w:t xml:space="preserve">Tolerancia</w:t>
                  </w:r>
                </w:p>
              </w:tc>
            </w:tr>
            <w:tr>
              <w:tc>
                <w:tcPr/>
                <w:p>
                  <w:pPr>
                    <w:pStyle w:val="Compact"/>
                    <w:jc w:val="left"/>
                    <w:jc w:val="center"/>
                  </w:pPr>
                  <w:r>
                    <w:rPr>
                      <w:rStyle w:val="VerbatimChar"/>
                      <w:b/>
                      <w:bCs/>
                    </w:rPr>
                    <w:t xml:space="preserve">log_IE</w:t>
                  </w:r>
                </w:p>
              </w:tc>
              <w:tc>
                <w:tcPr/>
                <w:p>
                  <w:pPr>
                    <w:pStyle w:val="Compact"/>
                    <w:jc w:val="center"/>
                    <w:jc w:val="center"/>
                  </w:pPr>
                  <w:r>
                    <w:t xml:space="preserve">1.43</w:t>
                  </w:r>
                </w:p>
              </w:tc>
              <w:tc>
                <w:tcPr/>
                <w:p>
                  <w:pPr>
                    <w:pStyle w:val="Compact"/>
                    <w:jc w:val="center"/>
                    <w:jc w:val="center"/>
                  </w:pPr>
                  <w:r>
                    <w:t xml:space="preserve">0.701</w:t>
                  </w:r>
                </w:p>
              </w:tc>
            </w:tr>
            <w:tr>
              <w:tc>
                <w:tcPr/>
                <w:p>
                  <w:pPr>
                    <w:pStyle w:val="Compact"/>
                    <w:jc w:val="left"/>
                    <w:jc w:val="center"/>
                  </w:pPr>
                  <w:r>
                    <w:rPr>
                      <w:rStyle w:val="VerbatimChar"/>
                      <w:b/>
                      <w:bCs/>
                    </w:rPr>
                    <w:t xml:space="preserve">log_PF</w:t>
                  </w:r>
                </w:p>
              </w:tc>
              <w:tc>
                <w:tcPr/>
                <w:p>
                  <w:pPr>
                    <w:pStyle w:val="Compact"/>
                    <w:jc w:val="center"/>
                    <w:jc w:val="center"/>
                  </w:pPr>
                  <w:r>
                    <w:t xml:space="preserve">1.42</w:t>
                  </w:r>
                </w:p>
              </w:tc>
              <w:tc>
                <w:tcPr/>
                <w:p>
                  <w:pPr>
                    <w:pStyle w:val="Compact"/>
                    <w:jc w:val="center"/>
                    <w:jc w:val="center"/>
                  </w:pPr>
                  <w:r>
                    <w:t xml:space="preserve">0.703</w:t>
                  </w:r>
                </w:p>
              </w:tc>
            </w:tr>
            <w:tr>
              <w:tc>
                <w:tcPr/>
                <w:p>
                  <w:pPr>
                    <w:pStyle w:val="Compact"/>
                    <w:jc w:val="left"/>
                    <w:jc w:val="center"/>
                  </w:pPr>
                  <w:r>
                    <w:rPr>
                      <w:rStyle w:val="VerbatimChar"/>
                      <w:b/>
                      <w:bCs/>
                    </w:rPr>
                    <w:t xml:space="preserve">log_AN</w:t>
                  </w:r>
                </w:p>
              </w:tc>
              <w:tc>
                <w:tcPr/>
                <w:p>
                  <w:pPr>
                    <w:pStyle w:val="Compact"/>
                    <w:jc w:val="center"/>
                    <w:jc w:val="center"/>
                  </w:pPr>
                  <w:r>
                    <w:t xml:space="preserve">1.42</w:t>
                  </w:r>
                </w:p>
              </w:tc>
              <w:tc>
                <w:tcPr/>
                <w:p>
                  <w:pPr>
                    <w:pStyle w:val="Compact"/>
                    <w:jc w:val="center"/>
                    <w:jc w:val="center"/>
                  </w:pPr>
                  <w:r>
                    <w:t xml:space="preserve">0.702</w:t>
                  </w:r>
                </w:p>
              </w:tc>
            </w:tr>
            <w:tr>
              <w:tc>
                <w:tcPr/>
                <w:p>
                  <w:pPr>
                    <w:pStyle w:val="Compact"/>
                    <w:jc w:val="left"/>
                    <w:jc w:val="center"/>
                  </w:pPr>
                  <w:r>
                    <w:rPr>
                      <w:rStyle w:val="VerbatimChar"/>
                      <w:b/>
                      <w:bCs/>
                    </w:rPr>
                    <w:t xml:space="preserve">log_RI</w:t>
                  </w:r>
                </w:p>
              </w:tc>
              <w:tc>
                <w:tcPr/>
                <w:p>
                  <w:pPr>
                    <w:pStyle w:val="Compact"/>
                    <w:jc w:val="center"/>
                    <w:jc w:val="center"/>
                  </w:pPr>
                  <w:r>
                    <w:t xml:space="preserve">1.31</w:t>
                  </w:r>
                </w:p>
              </w:tc>
              <w:tc>
                <w:tcPr/>
                <w:p>
                  <w:pPr>
                    <w:pStyle w:val="Compact"/>
                    <w:jc w:val="center"/>
                    <w:jc w:val="center"/>
                  </w:pPr>
                  <w:r>
                    <w:t xml:space="preserve">0.764</w:t>
                  </w:r>
                </w:p>
              </w:tc>
            </w:tr>
            <w:tr>
              <w:tc>
                <w:tcPr/>
                <w:p>
                  <w:pPr>
                    <w:pStyle w:val="Compact"/>
                    <w:jc w:val="left"/>
                    <w:jc w:val="center"/>
                  </w:pPr>
                  <w:r>
                    <w:rPr>
                      <w:b/>
                      <w:bCs/>
                    </w:rPr>
                    <w:t xml:space="preserve">Media VIF</w:t>
                  </w:r>
                </w:p>
              </w:tc>
              <w:tc>
                <w:tcPr/>
                <w:p>
                  <w:pPr>
                    <w:pStyle w:val="Compact"/>
                    <w:jc w:val="center"/>
                    <w:jc w:val="center"/>
                  </w:pPr>
                  <w:r>
                    <w:rPr>
                      <w:b/>
                      <w:bCs/>
                    </w:rPr>
                    <w:t xml:space="preserve">1.40</w:t>
                  </w:r>
                </w:p>
              </w:tc>
              <w:tc>
                <w:tcPr/>
                <w:p>
                  <w:pPr>
                    <w:pStyle w:val="Compact"/>
                  </w:pPr>
                </w:p>
              </w:tc>
            </w:tr>
          </w:tbl>
          <w:bookmarkEnd w:id="31"/>
          <w:p/>
        </w:tc>
      </w:tr>
    </w:tbl>
    <w:p>
      <w:pPr>
        <w:pStyle w:val="BodyText"/>
      </w:pPr>
      <w:r>
        <w:t xml:space="preserve">La prueba CD de Pesaran (</w:t>
      </w:r>
      <w:hyperlink w:anchor="tbl-cd-pesaran">
        <w:r>
          <w:rPr>
            <w:rStyle w:val="Hyperlink"/>
          </w:rPr>
          <w:t xml:space="preserve">Tabla 6</w:t>
        </w:r>
      </w:hyperlink>
      <w:r>
        <w:t xml:space="preserve">) evalúa la dependencia transversal. La dependencia de rentas extractivas (</w:t>
      </w:r>
      <w:r>
        <w:rPr>
          <w:rStyle w:val="VerbatimChar"/>
        </w:rPr>
        <w:t xml:space="preserve">log_VE</w:t>
      </w:r>
      <w:r>
        <w:t xml:space="preserve">), los ingresos impositivos (</w:t>
      </w:r>
      <w:r>
        <w:rPr>
          <w:rStyle w:val="VerbatimChar"/>
        </w:rPr>
        <w:t xml:space="preserve">log_PF</w:t>
      </w:r>
      <w:r>
        <w:t xml:space="preserve">) y el crédito privado (</w:t>
      </w:r>
      <w:r>
        <w:rPr>
          <w:rStyle w:val="VerbatimChar"/>
        </w:rPr>
        <w:t xml:space="preserve">log_AN</w:t>
      </w:r>
      <w:r>
        <w:t xml:space="preserve">) rechazan la hipótesis nula de independencia de sección cruzada (</w:t>
      </w:r>
      <m:oMath>
        <m:r>
          <m:t>p</m:t>
        </m:r>
        <m:r>
          <m:rPr>
            <m:sty m:val="p"/>
          </m:rPr>
          <m:t>&lt;</m:t>
        </m:r>
        <m:r>
          <m:t>0.01</m:t>
        </m:r>
      </m:oMath>
      <w:r>
        <w:t xml:space="preserve">).</w:t>
      </w:r>
    </w:p>
    <w:tbl>
      <w:tblPr>
        <w:tblStyle w:val="Table"/>
        <w:tblW w:type="pct" w:w="5000"/>
        <w:tblLayout w:type="fixed"/>
        <w:tblLook w:firstRow="0" w:lastRow="0" w:firstColumn="0" w:lastColumn="0" w:noHBand="0" w:noVBand="0" w:val="0000"/>
      </w:tblPr>
      <w:tblGrid>
        <w:gridCol w:w="7920"/>
      </w:tblGrid>
      <w:tr>
        <w:tc>
          <w:tcPr/>
          <w:bookmarkStart w:id="32" w:name="tbl-cd-pesaran"/>
          <w:p>
            <w:pPr>
              <w:jc w:val="center"/>
            </w:pPr>
            <w:pPr>
              <w:jc w:val="left"/>
              <w:spacing w:before="200"/>
              <w:pStyle w:val="ImageCaption"/>
            </w:pPr>
            <w:r>
              <w:t xml:space="preserve">Tabla 6: Resultados del Test de Dependencia Transversal (CD de Pesaran)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Variable</w:t>
                  </w:r>
                </w:p>
              </w:tc>
              <w:tc>
                <w:tcPr/>
                <w:p>
                  <w:pPr>
                    <w:pStyle w:val="Compact"/>
                    <w:jc w:val="center"/>
                    <w:jc w:val="center"/>
                  </w:pPr>
                  <w:r>
                    <w:t xml:space="preserve">CD-test</w:t>
                  </w:r>
                </w:p>
              </w:tc>
              <w:tc>
                <w:tcPr/>
                <w:p>
                  <w:pPr>
                    <w:pStyle w:val="Compact"/>
                    <w:jc w:val="center"/>
                    <w:jc w:val="center"/>
                  </w:pPr>
                  <w:r>
                    <w:t xml:space="preserve">p-valor</w:t>
                  </w:r>
                </w:p>
              </w:tc>
              <w:tc>
                <w:tcPr/>
                <w:p>
                  <w:pPr>
                    <w:pStyle w:val="Compact"/>
                    <w:jc w:val="center"/>
                    <w:jc w:val="center"/>
                  </w:pPr>
                  <w:r>
                    <w:t xml:space="preserve">promedio</w:t>
                  </w:r>
                  <w:r>
                    <w:t xml:space="preserve"> </w:t>
                  </w:r>
                  <m:oMath>
                    <m:r>
                      <m:t>ρ</m:t>
                    </m:r>
                  </m:oMath>
                </w:p>
              </w:tc>
            </w:tr>
            <w:tr>
              <w:tc>
                <w:tcPr/>
                <w:p>
                  <w:pPr>
                    <w:pStyle w:val="Compact"/>
                    <w:jc w:val="left"/>
                    <w:jc w:val="center"/>
                  </w:pPr>
                  <w:r>
                    <w:rPr>
                      <w:rStyle w:val="VerbatimChar"/>
                      <w:b/>
                      <w:bCs/>
                    </w:rPr>
                    <w:t xml:space="preserve">log_VE</w:t>
                  </w:r>
                </w:p>
              </w:tc>
              <w:tc>
                <w:tcPr/>
                <w:p>
                  <w:pPr>
                    <w:pStyle w:val="Compact"/>
                    <w:jc w:val="center"/>
                    <w:jc w:val="center"/>
                  </w:pPr>
                  <w:r>
                    <w:t xml:space="preserve">11.361</w:t>
                  </w:r>
                </w:p>
              </w:tc>
              <w:tc>
                <w:tcPr/>
                <w:p>
                  <w:pPr>
                    <w:pStyle w:val="Compact"/>
                    <w:jc w:val="center"/>
                    <w:jc w:val="center"/>
                  </w:pPr>
                  <w:r>
                    <w:t xml:space="preserve">0.000</w:t>
                  </w:r>
                </w:p>
              </w:tc>
              <w:tc>
                <w:tcPr/>
                <w:p>
                  <w:pPr>
                    <w:pStyle w:val="Compact"/>
                    <w:jc w:val="center"/>
                    <w:jc w:val="center"/>
                  </w:pPr>
                  <w:r>
                    <w:t xml:space="preserve">0.35</w:t>
                  </w:r>
                </w:p>
              </w:tc>
            </w:tr>
            <w:tr>
              <w:tc>
                <w:tcPr/>
                <w:p>
                  <w:pPr>
                    <w:pStyle w:val="Compact"/>
                    <w:jc w:val="left"/>
                    <w:jc w:val="center"/>
                  </w:pPr>
                  <w:r>
                    <w:rPr>
                      <w:rStyle w:val="VerbatimChar"/>
                      <w:b/>
                      <w:bCs/>
                    </w:rPr>
                    <w:t xml:space="preserve">log_PF</w:t>
                  </w:r>
                </w:p>
              </w:tc>
              <w:tc>
                <w:tcPr/>
                <w:p>
                  <w:pPr>
                    <w:pStyle w:val="Compact"/>
                    <w:jc w:val="center"/>
                    <w:jc w:val="center"/>
                  </w:pPr>
                  <w:r>
                    <w:t xml:space="preserve">8.446</w:t>
                  </w:r>
                </w:p>
              </w:tc>
              <w:tc>
                <w:tcPr/>
                <w:p>
                  <w:pPr>
                    <w:pStyle w:val="Compact"/>
                    <w:jc w:val="center"/>
                    <w:jc w:val="center"/>
                  </w:pPr>
                  <w:r>
                    <w:t xml:space="preserve">0.000</w:t>
                  </w:r>
                </w:p>
              </w:tc>
              <w:tc>
                <w:tcPr/>
                <w:p>
                  <w:pPr>
                    <w:pStyle w:val="Compact"/>
                    <w:jc w:val="center"/>
                    <w:jc w:val="center"/>
                  </w:pPr>
                  <w:r>
                    <w:t xml:space="preserve">0.26</w:t>
                  </w:r>
                </w:p>
              </w:tc>
            </w:tr>
            <w:tr>
              <w:tc>
                <w:tcPr/>
                <w:p>
                  <w:pPr>
                    <w:pStyle w:val="Compact"/>
                    <w:jc w:val="left"/>
                    <w:jc w:val="center"/>
                  </w:pPr>
                  <w:r>
                    <w:rPr>
                      <w:rStyle w:val="VerbatimChar"/>
                      <w:b/>
                      <w:bCs/>
                    </w:rPr>
                    <w:t xml:space="preserve">log_IE</w:t>
                  </w:r>
                </w:p>
              </w:tc>
              <w:tc>
                <w:tcPr/>
                <w:p>
                  <w:pPr>
                    <w:pStyle w:val="Compact"/>
                    <w:jc w:val="center"/>
                    <w:jc w:val="center"/>
                  </w:pPr>
                  <w:r>
                    <w:t xml:space="preserve">-0.168</w:t>
                  </w:r>
                </w:p>
              </w:tc>
              <w:tc>
                <w:tcPr/>
                <w:p>
                  <w:pPr>
                    <w:pStyle w:val="Compact"/>
                    <w:jc w:val="center"/>
                    <w:jc w:val="center"/>
                  </w:pPr>
                  <w:r>
                    <w:t xml:space="preserve">0.867</w:t>
                  </w:r>
                </w:p>
              </w:tc>
              <w:tc>
                <w:tcPr/>
                <w:p>
                  <w:pPr>
                    <w:pStyle w:val="Compact"/>
                    <w:jc w:val="center"/>
                    <w:jc w:val="center"/>
                  </w:pPr>
                  <w:r>
                    <w:t xml:space="preserve">-0.01</w:t>
                  </w:r>
                </w:p>
              </w:tc>
            </w:tr>
            <w:tr>
              <w:tc>
                <w:tcPr/>
                <w:p>
                  <w:pPr>
                    <w:pStyle w:val="Compact"/>
                    <w:jc w:val="left"/>
                    <w:jc w:val="center"/>
                  </w:pPr>
                  <w:r>
                    <w:rPr>
                      <w:rStyle w:val="VerbatimChar"/>
                      <w:b/>
                      <w:bCs/>
                    </w:rPr>
                    <w:t xml:space="preserve">log_AN</w:t>
                  </w:r>
                </w:p>
              </w:tc>
              <w:tc>
                <w:tcPr/>
                <w:p>
                  <w:pPr>
                    <w:pStyle w:val="Compact"/>
                    <w:jc w:val="center"/>
                    <w:jc w:val="center"/>
                  </w:pPr>
                  <w:r>
                    <w:t xml:space="preserve">16.581</w:t>
                  </w:r>
                </w:p>
              </w:tc>
              <w:tc>
                <w:tcPr/>
                <w:p>
                  <w:pPr>
                    <w:pStyle w:val="Compact"/>
                    <w:jc w:val="center"/>
                    <w:jc w:val="center"/>
                  </w:pPr>
                  <w:r>
                    <w:t xml:space="preserve">0.000</w:t>
                  </w:r>
                </w:p>
              </w:tc>
              <w:tc>
                <w:tcPr/>
                <w:p>
                  <w:pPr>
                    <w:pStyle w:val="Compact"/>
                    <w:jc w:val="center"/>
                    <w:jc w:val="center"/>
                  </w:pPr>
                  <w:r>
                    <w:t xml:space="preserve">0.52</w:t>
                  </w:r>
                </w:p>
              </w:tc>
            </w:tr>
            <w:tr>
              <w:tc>
                <w:tcPr/>
                <w:p>
                  <w:pPr>
                    <w:pStyle w:val="Compact"/>
                    <w:jc w:val="left"/>
                    <w:jc w:val="center"/>
                  </w:pPr>
                  <w:r>
                    <w:rPr>
                      <w:rStyle w:val="VerbatimChar"/>
                      <w:b/>
                      <w:bCs/>
                    </w:rPr>
                    <w:t xml:space="preserve">log_RI</w:t>
                  </w:r>
                </w:p>
              </w:tc>
              <w:tc>
                <w:tcPr/>
                <w:p>
                  <w:pPr>
                    <w:pStyle w:val="Compact"/>
                    <w:jc w:val="center"/>
                    <w:jc w:val="center"/>
                  </w:pPr>
                  <w:r>
                    <w:t xml:space="preserve">1.098</w:t>
                  </w:r>
                </w:p>
              </w:tc>
              <w:tc>
                <w:tcPr/>
                <w:p>
                  <w:pPr>
                    <w:pStyle w:val="Compact"/>
                    <w:jc w:val="center"/>
                    <w:jc w:val="center"/>
                  </w:pPr>
                  <w:r>
                    <w:t xml:space="preserve">0.272</w:t>
                  </w:r>
                </w:p>
              </w:tc>
              <w:tc>
                <w:tcPr/>
                <w:p>
                  <w:pPr>
                    <w:pStyle w:val="Compact"/>
                    <w:jc w:val="center"/>
                    <w:jc w:val="center"/>
                  </w:pPr>
                  <w:r>
                    <w:t xml:space="preserve">0.03</w:t>
                  </w:r>
                </w:p>
              </w:tc>
            </w:tr>
          </w:tbl>
          <w:bookmarkEnd w:id="32"/>
          <w:p/>
        </w:tc>
      </w:tr>
    </w:tbl>
    <w:p>
      <w:pPr>
        <w:pStyle w:val="BodyText"/>
      </w:pPr>
      <w:r>
        <w:t xml:space="preserve">La prueba de Pesaran y Yamagata descarta coeficientes homogéneos. El estadístico Delta (</w:t>
      </w:r>
      <m:oMath>
        <m:r>
          <m:rPr>
            <m:sty m:val="p"/>
          </m:rPr>
          <m:t>Δ</m:t>
        </m:r>
        <m:r>
          <m:rPr>
            <m:sty m:val="p"/>
          </m:rPr>
          <m:t>=</m:t>
        </m:r>
        <m:r>
          <m:t>7.088</m:t>
        </m:r>
      </m:oMath>
      <w:r>
        <w:t xml:space="preserve">,</w:t>
      </w:r>
      <w:r>
        <w:t xml:space="preserve"> </w:t>
      </w:r>
      <m:oMath>
        <m:r>
          <m:t>p</m:t>
        </m:r>
        <m:r>
          <m:rPr>
            <m:sty m:val="p"/>
          </m:rPr>
          <m:t>&lt;</m:t>
        </m:r>
        <m:r>
          <m:t>0.001</m:t>
        </m:r>
      </m:oMath>
      <w:r>
        <w:t xml:space="preserve">) y el Delta ajustado (</w:t>
      </w:r>
      <m:oMath>
        <m:sSub>
          <m:e>
            <m:r>
              <m:rPr>
                <m:sty m:val="p"/>
              </m:rPr>
              <m:t>Δ</m:t>
            </m:r>
          </m:e>
          <m:sub>
            <m:r>
              <m:t>a</m:t>
            </m:r>
            <m:r>
              <m:t>d</m:t>
            </m:r>
            <m:r>
              <m:t>j</m:t>
            </m:r>
          </m:sub>
        </m:sSub>
        <m:r>
          <m:rPr>
            <m:sty m:val="p"/>
          </m:rPr>
          <m:t>=</m:t>
        </m:r>
        <m:r>
          <m:t>8.245</m:t>
        </m:r>
      </m:oMath>
      <w:r>
        <w:t xml:space="preserve">,</w:t>
      </w:r>
      <w:r>
        <w:t xml:space="preserve"> </w:t>
      </w:r>
      <m:oMath>
        <m:r>
          <m:t>p</m:t>
        </m:r>
        <m:r>
          <m:rPr>
            <m:sty m:val="p"/>
          </m:rPr>
          <m:t>&lt;</m:t>
        </m:r>
        <m:r>
          <m:t>0.001</m:t>
        </m:r>
      </m:oMath>
      <w:r>
        <w:t xml:space="preserve">) confirman la heterogeneidad de pendientes. Este resultado fundamenta la partición de la muestra por especialización productiva.</w:t>
      </w:r>
    </w:p>
    <w:bookmarkEnd w:id="33"/>
    <w:bookmarkEnd w:id="34"/>
    <w:bookmarkStart w:id="41" w:name="estimaciones-y-discusión"/>
    <w:p>
      <w:pPr>
        <w:pStyle w:val="Heading2"/>
      </w:pPr>
      <w:r>
        <w:t xml:space="preserve">6.2 Estimaciones y Discusión</w:t>
      </w:r>
    </w:p>
    <w:bookmarkStart w:id="36" w:name="modelos-globales"/>
    <w:p>
      <w:pPr>
        <w:pStyle w:val="Heading3"/>
      </w:pPr>
      <w:r>
        <w:t xml:space="preserve">6.2.1 Modelos Globales</w:t>
      </w:r>
    </w:p>
    <w:p>
      <w:pPr>
        <w:pStyle w:val="FirstParagraph"/>
      </w:pPr>
      <w:r>
        <w:t xml:space="preserve">Los estimadores globales de Efectos Fijos (FE), Efectos Aleatorios (RE) y Mínimos Cuadrados Generalizados Factibles (FGLS) constan en la</w:t>
      </w:r>
      <w:r>
        <w:t xml:space="preserve"> </w:t>
      </w:r>
      <w:hyperlink w:anchor="tbl-regression-output">
        <w:r>
          <w:rPr>
            <w:rStyle w:val="Hyperlink"/>
          </w:rPr>
          <w:t xml:space="preserve">Tabla 7</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5" w:name="tbl-regression-output"/>
          <w:p>
            <w:pPr>
              <w:jc w:val="center"/>
            </w:pPr>
            <w:pPr>
              <w:jc w:val="left"/>
              <w:spacing w:before="200"/>
              <w:pStyle w:val="ImageCaption"/>
            </w:pPr>
            <w:r>
              <w:t xml:space="preserve">Tabla 7: Resultados Comparativos de Estimación de Datos de Panel Global</w:t>
            </w:r>
          </w:p>
          <w:tbl>
            <w:tblPr>
              <w:tblStyle w:val="Table"/>
              <w:tblW w:type="pct" w:w="5000"/>
              <w:tblLayout w:type="fixed"/>
              <w:tblLook w:firstRow="1" w:lastRow="0" w:firstColumn="0" w:lastColumn="0" w:noHBand="0" w:noVBand="0" w:val="0020"/>
            </w:tblPr>
            <w:tblGrid>
              <w:gridCol w:w="1667"/>
              <w:gridCol w:w="2084"/>
              <w:gridCol w:w="2084"/>
              <w:gridCol w:w="2084"/>
            </w:tblGrid>
            <w:tr>
              <w:trPr>
                <w:tblHeader w:val="on"/>
              </w:trPr>
              <w:tc>
                <w:tcPr/>
                <w:p>
                  <w:pPr>
                    <w:pStyle w:val="Compact"/>
                    <w:jc w:val="left"/>
                    <w:jc w:val="center"/>
                  </w:pPr>
                  <w:r>
                    <w:t xml:space="preserve">Regresor</w:t>
                  </w:r>
                </w:p>
              </w:tc>
              <w:tc>
                <w:tcPr/>
                <w:p>
                  <w:pPr>
                    <w:pStyle w:val="Compact"/>
                    <w:jc w:val="center"/>
                    <w:jc w:val="center"/>
                  </w:pPr>
                  <w:r>
                    <w:t xml:space="preserve">Efectos Fijos (FE)</w:t>
                  </w:r>
                </w:p>
              </w:tc>
              <w:tc>
                <w:tcPr/>
                <w:p>
                  <w:pPr>
                    <w:pStyle w:val="Compact"/>
                    <w:jc w:val="center"/>
                    <w:jc w:val="center"/>
                  </w:pPr>
                  <w:r>
                    <w:t xml:space="preserve">Efectos Aleatorios (RE)</w:t>
                  </w:r>
                </w:p>
              </w:tc>
              <w:tc>
                <w:tcPr/>
                <w:p>
                  <w:pPr>
                    <w:pStyle w:val="Compact"/>
                    <w:jc w:val="center"/>
                    <w:jc w:val="center"/>
                  </w:pPr>
                  <w:r>
                    <w:t xml:space="preserve">FGLS Robusto (AR1)</w:t>
                  </w:r>
                </w:p>
              </w:tc>
            </w:tr>
            <w:tr>
              <w:tc>
                <w:tcPr/>
                <w:p>
                  <w:pPr>
                    <w:pStyle w:val="Compact"/>
                    <w:jc w:val="left"/>
                    <w:jc w:val="center"/>
                  </w:pPr>
                  <w:r>
                    <w:rPr>
                      <w:rStyle w:val="VerbatimChar"/>
                      <w:b/>
                      <w:bCs/>
                    </w:rPr>
                    <w:t xml:space="preserve">log_PF</w:t>
                  </w:r>
                </w:p>
              </w:tc>
              <w:tc>
                <w:tcPr/>
                <w:p>
                  <w:pPr>
                    <w:pStyle w:val="Compact"/>
                    <w:jc w:val="center"/>
                    <w:jc w:val="center"/>
                  </w:pPr>
                  <m:oMath>
                    <m:sSup>
                      <m:e>
                        <m:r>
                          <m:t>2.202</m:t>
                        </m:r>
                      </m:e>
                      <m:sup>
                        <m:r>
                          <m:rPr>
                            <m:sty m:val="p"/>
                          </m:rPr>
                          <m:t>*</m:t>
                        </m:r>
                        <m:r>
                          <m:rPr>
                            <m:sty m:val="p"/>
                          </m:rPr>
                          <m:t>*</m:t>
                        </m:r>
                        <m:r>
                          <m:rPr>
                            <m:sty m:val="p"/>
                          </m:rPr>
                          <m:t>*</m:t>
                        </m:r>
                      </m:sup>
                    </m:sSup>
                  </m:oMath>
                </w:p>
              </w:tc>
              <w:tc>
                <w:tcPr/>
                <w:p>
                  <w:pPr>
                    <w:pStyle w:val="Compact"/>
                    <w:jc w:val="center"/>
                    <w:jc w:val="center"/>
                  </w:pPr>
                  <m:oMath>
                    <m:sSup>
                      <m:e>
                        <m:r>
                          <m:t>2.129</m:t>
                        </m:r>
                      </m:e>
                      <m:sup>
                        <m:r>
                          <m:rPr>
                            <m:sty m:val="p"/>
                          </m:rPr>
                          <m:t>*</m:t>
                        </m:r>
                        <m:r>
                          <m:rPr>
                            <m:sty m:val="p"/>
                          </m:rPr>
                          <m:t>*</m:t>
                        </m:r>
                        <m:r>
                          <m:rPr>
                            <m:sty m:val="p"/>
                          </m:rPr>
                          <m:t>*</m:t>
                        </m:r>
                      </m:sup>
                    </m:sSup>
                  </m:oMath>
                </w:p>
              </w:tc>
              <w:tc>
                <w:tcPr/>
                <w:p>
                  <w:pPr>
                    <w:pStyle w:val="Compact"/>
                    <w:jc w:val="center"/>
                    <w:jc w:val="center"/>
                  </w:pPr>
                  <m:oMath>
                    <m:sSup>
                      <m:e>
                        <m:r>
                          <m:t>1.406</m:t>
                        </m:r>
                      </m:e>
                      <m:sup>
                        <m:r>
                          <m:rPr>
                            <m:sty m:val="p"/>
                          </m:rPr>
                          <m:t>*</m:t>
                        </m:r>
                        <m:r>
                          <m:rPr>
                            <m:sty m:val="p"/>
                          </m:rPr>
                          <m:t>*</m:t>
                        </m:r>
                        <m:r>
                          <m:rPr>
                            <m:sty m:val="p"/>
                          </m:rPr>
                          <m:t>*</m:t>
                        </m:r>
                      </m:sup>
                    </m:sSup>
                  </m:oMath>
                </w:p>
              </w:tc>
            </w:tr>
            <w:tr>
              <w:tc>
                <w:tcPr/>
                <w:p>
                  <w:pPr>
                    <w:pStyle w:val="Compact"/>
                  </w:pPr>
                </w:p>
              </w:tc>
              <w:tc>
                <w:tcPr/>
                <w:p>
                  <w:pPr>
                    <w:pStyle w:val="Compact"/>
                    <w:jc w:val="center"/>
                    <w:jc w:val="center"/>
                  </w:pPr>
                  <m:oMath>
                    <m:r>
                      <m:rPr>
                        <m:sty m:val="p"/>
                      </m:rPr>
                      <m:t>(</m:t>
                    </m:r>
                    <m:r>
                      <m:t>0.354</m:t>
                    </m:r>
                    <m:r>
                      <m:rPr>
                        <m:sty m:val="p"/>
                      </m:rPr>
                      <m:t>)</m:t>
                    </m:r>
                  </m:oMath>
                </w:p>
              </w:tc>
              <w:tc>
                <w:tcPr/>
                <w:p>
                  <w:pPr>
                    <w:pStyle w:val="Compact"/>
                    <w:jc w:val="center"/>
                    <w:jc w:val="center"/>
                  </w:pPr>
                  <m:oMath>
                    <m:r>
                      <m:rPr>
                        <m:sty m:val="p"/>
                      </m:rPr>
                      <m:t>(</m:t>
                    </m:r>
                    <m:r>
                      <m:t>0.345</m:t>
                    </m:r>
                    <m:r>
                      <m:rPr>
                        <m:sty m:val="p"/>
                      </m:rPr>
                      <m:t>)</m:t>
                    </m:r>
                  </m:oMath>
                </w:p>
              </w:tc>
              <w:tc>
                <w:tcPr/>
                <w:p>
                  <w:pPr>
                    <w:pStyle w:val="Compact"/>
                    <w:jc w:val="center"/>
                    <w:jc w:val="center"/>
                  </w:pPr>
                  <m:oMath>
                    <m:r>
                      <m:rPr>
                        <m:sty m:val="p"/>
                      </m:rPr>
                      <m:t>(</m:t>
                    </m:r>
                    <m:r>
                      <m:t>0.298</m:t>
                    </m:r>
                    <m:r>
                      <m:rPr>
                        <m:sty m:val="p"/>
                      </m:rPr>
                      <m:t>)</m:t>
                    </m:r>
                  </m:oMath>
                </w:p>
              </w:tc>
            </w:tr>
            <w:tr>
              <w:tc>
                <w:tcPr/>
                <w:p>
                  <w:pPr>
                    <w:pStyle w:val="Compact"/>
                    <w:jc w:val="left"/>
                    <w:jc w:val="center"/>
                  </w:pPr>
                  <w:r>
                    <w:rPr>
                      <w:rStyle w:val="VerbatimChar"/>
                      <w:b/>
                      <w:bCs/>
                    </w:rPr>
                    <w:t xml:space="preserve">log_IE</w:t>
                  </w:r>
                </w:p>
              </w:tc>
              <w:tc>
                <w:tcPr/>
                <w:p>
                  <w:pPr>
                    <w:pStyle w:val="Compact"/>
                    <w:jc w:val="center"/>
                    <w:jc w:val="center"/>
                  </w:pPr>
                  <m:oMath>
                    <m:r>
                      <m:t>0.158</m:t>
                    </m:r>
                  </m:oMath>
                </w:p>
              </w:tc>
              <w:tc>
                <w:tcPr/>
                <w:p>
                  <w:pPr>
                    <w:pStyle w:val="Compact"/>
                    <w:jc w:val="center"/>
                    <w:jc w:val="center"/>
                  </w:pPr>
                  <m:oMath>
                    <m:r>
                      <m:t>0.050</m:t>
                    </m:r>
                  </m:oMath>
                </w:p>
              </w:tc>
              <w:tc>
                <w:tcPr/>
                <w:p>
                  <w:pPr>
                    <w:pStyle w:val="Compact"/>
                    <w:jc w:val="center"/>
                    <w:jc w:val="center"/>
                  </w:pPr>
                  <m:oMath>
                    <m:r>
                      <m:rPr>
                        <m:sty m:val="p"/>
                      </m:rPr>
                      <m:t>−</m:t>
                    </m:r>
                    <m:sSup>
                      <m:e>
                        <m:r>
                          <m:t>0.504</m:t>
                        </m:r>
                      </m:e>
                      <m:sup>
                        <m:r>
                          <m:rPr>
                            <m:sty m:val="p"/>
                          </m:rPr>
                          <m:t>*</m:t>
                        </m:r>
                        <m:r>
                          <m:rPr>
                            <m:sty m:val="p"/>
                          </m:rPr>
                          <m:t>*</m:t>
                        </m:r>
                        <m:r>
                          <m:rPr>
                            <m:sty m:val="p"/>
                          </m:rPr>
                          <m:t>*</m:t>
                        </m:r>
                      </m:sup>
                    </m:sSup>
                  </m:oMath>
                </w:p>
              </w:tc>
            </w:tr>
            <w:tr>
              <w:tc>
                <w:tcPr/>
                <w:p>
                  <w:pPr>
                    <w:pStyle w:val="Compact"/>
                  </w:pPr>
                </w:p>
              </w:tc>
              <w:tc>
                <w:tcPr/>
                <w:p>
                  <w:pPr>
                    <w:pStyle w:val="Compact"/>
                    <w:jc w:val="center"/>
                    <w:jc w:val="center"/>
                  </w:pPr>
                  <m:oMath>
                    <m:r>
                      <m:rPr>
                        <m:sty m:val="p"/>
                      </m:rPr>
                      <m:t>(</m:t>
                    </m:r>
                    <m:r>
                      <m:t>0.170</m:t>
                    </m:r>
                    <m:r>
                      <m:rPr>
                        <m:sty m:val="p"/>
                      </m:rPr>
                      <m:t>)</m:t>
                    </m:r>
                  </m:oMath>
                </w:p>
              </w:tc>
              <w:tc>
                <w:tcPr/>
                <w:p>
                  <w:pPr>
                    <w:pStyle w:val="Compact"/>
                    <w:jc w:val="center"/>
                    <w:jc w:val="center"/>
                  </w:pPr>
                  <m:oMath>
                    <m:r>
                      <m:rPr>
                        <m:sty m:val="p"/>
                      </m:rPr>
                      <m:t>(</m:t>
                    </m:r>
                    <m:r>
                      <m:t>0.159</m:t>
                    </m:r>
                    <m:r>
                      <m:rPr>
                        <m:sty m:val="p"/>
                      </m:rPr>
                      <m:t>)</m:t>
                    </m:r>
                  </m:oMath>
                </w:p>
              </w:tc>
              <w:tc>
                <w:tcPr/>
                <w:p>
                  <w:pPr>
                    <w:pStyle w:val="Compact"/>
                    <w:jc w:val="center"/>
                    <w:jc w:val="center"/>
                  </w:pPr>
                  <m:oMath>
                    <m:r>
                      <m:rPr>
                        <m:sty m:val="p"/>
                      </m:rPr>
                      <m:t>(</m:t>
                    </m:r>
                    <m:r>
                      <m:t>0.160</m:t>
                    </m:r>
                    <m:r>
                      <m:rPr>
                        <m:sty m:val="p"/>
                      </m:rPr>
                      <m:t>)</m:t>
                    </m:r>
                  </m:oMath>
                </w:p>
              </w:tc>
            </w:tr>
            <w:tr>
              <w:tc>
                <w:tcPr/>
                <w:p>
                  <w:pPr>
                    <w:pStyle w:val="Compact"/>
                    <w:jc w:val="left"/>
                    <w:jc w:val="center"/>
                  </w:pPr>
                  <w:r>
                    <w:rPr>
                      <w:rStyle w:val="VerbatimChar"/>
                      <w:b/>
                      <w:bCs/>
                    </w:rPr>
                    <w:t xml:space="preserve">log_AN</w:t>
                  </w:r>
                </w:p>
              </w:tc>
              <w:tc>
                <w:tcPr/>
                <w:p>
                  <w:pPr>
                    <w:pStyle w:val="Compact"/>
                    <w:jc w:val="center"/>
                    <w:jc w:val="center"/>
                  </w:pPr>
                  <m:oMath>
                    <m:r>
                      <m:rPr>
                        <m:sty m:val="p"/>
                      </m:rPr>
                      <m:t>−</m:t>
                    </m:r>
                    <m:sSup>
                      <m:e>
                        <m:r>
                          <m:t>0.534</m:t>
                        </m:r>
                      </m:e>
                      <m:sup>
                        <m:r>
                          <m:rPr>
                            <m:sty m:val="p"/>
                          </m:rPr>
                          <m:t>*</m:t>
                        </m:r>
                        <m:r>
                          <m:rPr>
                            <m:sty m:val="p"/>
                          </m:rPr>
                          <m:t>*</m:t>
                        </m:r>
                        <m:r>
                          <m:rPr>
                            <m:sty m:val="p"/>
                          </m:rPr>
                          <m:t>*</m:t>
                        </m:r>
                      </m:sup>
                    </m:sSup>
                  </m:oMath>
                </w:p>
              </w:tc>
              <w:tc>
                <w:tcPr/>
                <w:p>
                  <w:pPr>
                    <w:pStyle w:val="Compact"/>
                    <w:jc w:val="center"/>
                    <w:jc w:val="center"/>
                  </w:pPr>
                  <m:oMath>
                    <m:r>
                      <m:rPr>
                        <m:sty m:val="p"/>
                      </m:rPr>
                      <m:t>−</m:t>
                    </m:r>
                    <m:sSup>
                      <m:e>
                        <m:r>
                          <m:t>0.520</m:t>
                        </m:r>
                      </m:e>
                      <m:sup>
                        <m:r>
                          <m:rPr>
                            <m:sty m:val="p"/>
                          </m:rPr>
                          <m:t>*</m:t>
                        </m:r>
                        <m:r>
                          <m:rPr>
                            <m:sty m:val="p"/>
                          </m:rPr>
                          <m:t>*</m:t>
                        </m:r>
                        <m:r>
                          <m:rPr>
                            <m:sty m:val="p"/>
                          </m:rPr>
                          <m:t>*</m:t>
                        </m:r>
                      </m:sup>
                    </m:sSup>
                  </m:oMath>
                </w:p>
              </w:tc>
              <w:tc>
                <w:tcPr/>
                <w:p>
                  <w:pPr>
                    <w:pStyle w:val="Compact"/>
                    <w:jc w:val="center"/>
                    <w:jc w:val="center"/>
                  </w:pPr>
                  <m:oMath>
                    <m:r>
                      <m:rPr>
                        <m:sty m:val="p"/>
                      </m:rPr>
                      <m:t>−</m:t>
                    </m:r>
                    <m:sSup>
                      <m:e>
                        <m:r>
                          <m:t>0.245</m:t>
                        </m:r>
                      </m:e>
                      <m:sup>
                        <m:r>
                          <m:rPr>
                            <m:sty m:val="p"/>
                          </m:rPr>
                          <m:t>*</m:t>
                        </m:r>
                        <m:r>
                          <m:rPr>
                            <m:sty m:val="p"/>
                          </m:rPr>
                          <m:t>*</m:t>
                        </m:r>
                      </m:sup>
                    </m:sSup>
                  </m:oMath>
                </w:p>
              </w:tc>
            </w:tr>
            <w:tr>
              <w:tc>
                <w:tcPr/>
                <w:p>
                  <w:pPr>
                    <w:pStyle w:val="Compact"/>
                  </w:pPr>
                </w:p>
              </w:tc>
              <w:tc>
                <w:tcPr/>
                <w:p>
                  <w:pPr>
                    <w:pStyle w:val="Compact"/>
                    <w:jc w:val="center"/>
                    <w:jc w:val="center"/>
                  </w:pPr>
                  <m:oMath>
                    <m:r>
                      <m:rPr>
                        <m:sty m:val="p"/>
                      </m:rPr>
                      <m:t>(</m:t>
                    </m:r>
                    <m:r>
                      <m:t>0.089</m:t>
                    </m:r>
                    <m:r>
                      <m:rPr>
                        <m:sty m:val="p"/>
                      </m:rPr>
                      <m:t>)</m:t>
                    </m:r>
                  </m:oMath>
                </w:p>
              </w:tc>
              <w:tc>
                <w:tcPr/>
                <w:p>
                  <w:pPr>
                    <w:pStyle w:val="Compact"/>
                    <w:jc w:val="center"/>
                    <w:jc w:val="center"/>
                  </w:pPr>
                  <m:oMath>
                    <m:r>
                      <m:rPr>
                        <m:sty m:val="p"/>
                      </m:rPr>
                      <m:t>(</m:t>
                    </m:r>
                    <m:r>
                      <m:t>0.088</m:t>
                    </m:r>
                    <m:r>
                      <m:rPr>
                        <m:sty m:val="p"/>
                      </m:rPr>
                      <m:t>)</m:t>
                    </m:r>
                  </m:oMath>
                </w:p>
              </w:tc>
              <w:tc>
                <w:tcPr/>
                <w:p>
                  <w:pPr>
                    <w:pStyle w:val="Compact"/>
                    <w:jc w:val="center"/>
                    <w:jc w:val="center"/>
                  </w:pPr>
                  <m:oMath>
                    <m:r>
                      <m:rPr>
                        <m:sty m:val="p"/>
                      </m:rPr>
                      <m:t>(</m:t>
                    </m:r>
                    <m:r>
                      <m:t>0.123</m:t>
                    </m:r>
                    <m:r>
                      <m:rPr>
                        <m:sty m:val="p"/>
                      </m:rPr>
                      <m:t>)</m:t>
                    </m:r>
                  </m:oMath>
                </w:p>
              </w:tc>
            </w:tr>
            <w:tr>
              <w:tc>
                <w:tcPr/>
                <w:p>
                  <w:pPr>
                    <w:pStyle w:val="Compact"/>
                    <w:jc w:val="left"/>
                    <w:jc w:val="center"/>
                  </w:pPr>
                  <w:r>
                    <w:rPr>
                      <w:rStyle w:val="VerbatimChar"/>
                      <w:b/>
                      <w:bCs/>
                    </w:rPr>
                    <w:t xml:space="preserve">log_RI</w:t>
                  </w:r>
                </w:p>
              </w:tc>
              <w:tc>
                <w:tcPr/>
                <w:p>
                  <w:pPr>
                    <w:pStyle w:val="Compact"/>
                    <w:jc w:val="center"/>
                    <w:jc w:val="center"/>
                  </w:pPr>
                  <m:oMath>
                    <m:sSup>
                      <m:e>
                        <m:r>
                          <m:t>0.197</m:t>
                        </m:r>
                      </m:e>
                      <m:sup>
                        <m:r>
                          <m:rPr>
                            <m:sty m:val="p"/>
                          </m:rPr>
                          <m:t>*</m:t>
                        </m:r>
                        <m:r>
                          <m:rPr>
                            <m:sty m:val="p"/>
                          </m:rPr>
                          <m:t>*</m:t>
                        </m:r>
                        <m:r>
                          <m:rPr>
                            <m:sty m:val="p"/>
                          </m:rPr>
                          <m:t>*</m:t>
                        </m:r>
                      </m:sup>
                    </m:sSup>
                  </m:oMath>
                </w:p>
              </w:tc>
              <w:tc>
                <w:tcPr/>
                <w:p>
                  <w:pPr>
                    <w:pStyle w:val="Compact"/>
                    <w:jc w:val="center"/>
                    <w:jc w:val="center"/>
                  </w:pPr>
                  <m:oMath>
                    <m:sSup>
                      <m:e>
                        <m:r>
                          <m:t>0.184</m:t>
                        </m:r>
                      </m:e>
                      <m:sup>
                        <m:r>
                          <m:rPr>
                            <m:sty m:val="p"/>
                          </m:rPr>
                          <m:t>*</m:t>
                        </m:r>
                        <m:r>
                          <m:rPr>
                            <m:sty m:val="p"/>
                          </m:rPr>
                          <m:t>*</m:t>
                        </m:r>
                      </m:sup>
                    </m:sSup>
                  </m:oMath>
                </w:p>
              </w:tc>
              <w:tc>
                <w:tcPr/>
                <w:p>
                  <w:pPr>
                    <w:pStyle w:val="Compact"/>
                    <w:jc w:val="center"/>
                    <w:jc w:val="center"/>
                  </w:pPr>
                  <m:oMath>
                    <m:r>
                      <m:rPr>
                        <m:sty m:val="p"/>
                      </m:rPr>
                      <m:t>−</m:t>
                    </m:r>
                    <m:r>
                      <m:t>0.054</m:t>
                    </m:r>
                  </m:oMath>
                </w:p>
              </w:tc>
            </w:tr>
            <w:tr>
              <w:tc>
                <w:tcPr/>
                <w:p>
                  <w:pPr>
                    <w:pStyle w:val="Compact"/>
                  </w:pPr>
                </w:p>
              </w:tc>
              <w:tc>
                <w:tcPr/>
                <w:p>
                  <w:pPr>
                    <w:pStyle w:val="Compact"/>
                    <w:jc w:val="center"/>
                    <w:jc w:val="center"/>
                  </w:pPr>
                  <m:oMath>
                    <m:r>
                      <m:rPr>
                        <m:sty m:val="p"/>
                      </m:rPr>
                      <m:t>(</m:t>
                    </m:r>
                    <m:r>
                      <m:t>0.073</m:t>
                    </m:r>
                    <m:r>
                      <m:rPr>
                        <m:sty m:val="p"/>
                      </m:rPr>
                      <m:t>)</m:t>
                    </m:r>
                  </m:oMath>
                </w:p>
              </w:tc>
              <w:tc>
                <w:tcPr/>
                <w:p>
                  <w:pPr>
                    <w:pStyle w:val="Compact"/>
                    <w:jc w:val="center"/>
                    <w:jc w:val="center"/>
                  </w:pPr>
                  <m:oMath>
                    <m:r>
                      <m:rPr>
                        <m:sty m:val="p"/>
                      </m:rPr>
                      <m:t>(</m:t>
                    </m:r>
                    <m:r>
                      <m:t>0.073</m:t>
                    </m:r>
                    <m:r>
                      <m:rPr>
                        <m:sty m:val="p"/>
                      </m:rPr>
                      <m:t>)</m:t>
                    </m:r>
                  </m:oMath>
                </w:p>
              </w:tc>
              <w:tc>
                <w:tcPr/>
                <w:p>
                  <w:pPr>
                    <w:pStyle w:val="Compact"/>
                    <w:jc w:val="center"/>
                    <w:jc w:val="center"/>
                  </w:pPr>
                  <m:oMath>
                    <m:r>
                      <m:rPr>
                        <m:sty m:val="p"/>
                      </m:rPr>
                      <m:t>(</m:t>
                    </m:r>
                    <m:r>
                      <m:t>0.090</m:t>
                    </m:r>
                    <m:r>
                      <m:rPr>
                        <m:sty m:val="p"/>
                      </m:rPr>
                      <m:t>)</m:t>
                    </m:r>
                  </m:oMath>
                </w:p>
              </w:tc>
            </w:tr>
            <w:tr>
              <w:tc>
                <w:tcPr/>
                <w:p>
                  <w:pPr>
                    <w:pStyle w:val="Compact"/>
                    <w:jc w:val="left"/>
                    <w:jc w:val="center"/>
                  </w:pPr>
                  <w:r>
                    <w:rPr>
                      <w:b/>
                      <w:bCs/>
                    </w:rPr>
                    <w:t xml:space="preserve">Constante</w:t>
                  </w:r>
                </w:p>
              </w:tc>
              <w:tc>
                <w:tcPr/>
                <w:p>
                  <w:pPr>
                    <w:pStyle w:val="Compact"/>
                    <w:jc w:val="center"/>
                    <w:jc w:val="center"/>
                  </w:pPr>
                  <m:oMath>
                    <m:r>
                      <m:rPr>
                        <m:sty m:val="p"/>
                      </m:rPr>
                      <m:t>−</m:t>
                    </m:r>
                    <m:sSup>
                      <m:e>
                        <m:r>
                          <m:t>3.418</m:t>
                        </m:r>
                      </m:e>
                      <m:sup>
                        <m:r>
                          <m:rPr>
                            <m:sty m:val="p"/>
                          </m:rPr>
                          <m:t>*</m:t>
                        </m:r>
                        <m:r>
                          <m:rPr>
                            <m:sty m:val="p"/>
                          </m:rPr>
                          <m:t>*</m:t>
                        </m:r>
                        <m:r>
                          <m:rPr>
                            <m:sty m:val="p"/>
                          </m:rPr>
                          <m:t>*</m:t>
                        </m:r>
                      </m:sup>
                    </m:sSup>
                  </m:oMath>
                </w:p>
              </w:tc>
              <w:tc>
                <w:tcPr/>
                <w:p>
                  <w:pPr>
                    <w:pStyle w:val="Compact"/>
                    <w:jc w:val="center"/>
                    <w:jc w:val="center"/>
                  </w:pPr>
                  <m:oMath>
                    <m:r>
                      <m:rPr>
                        <m:sty m:val="p"/>
                      </m:rPr>
                      <m:t>−</m:t>
                    </m:r>
                    <m:sSup>
                      <m:e>
                        <m:r>
                          <m:t>2.883</m:t>
                        </m:r>
                      </m:e>
                      <m:sup>
                        <m:r>
                          <m:rPr>
                            <m:sty m:val="p"/>
                          </m:rPr>
                          <m:t>*</m:t>
                        </m:r>
                        <m:r>
                          <m:rPr>
                            <m:sty m:val="p"/>
                          </m:rPr>
                          <m:t>*</m:t>
                        </m:r>
                      </m:sup>
                    </m:sSup>
                  </m:oMath>
                </w:p>
              </w:tc>
              <w:tc>
                <w:tcPr/>
                <w:p>
                  <w:pPr>
                    <w:pStyle w:val="Compact"/>
                    <w:jc w:val="center"/>
                    <w:jc w:val="center"/>
                  </w:pPr>
                  <m:oMath>
                    <m:r>
                      <m:t>0.539</m:t>
                    </m:r>
                  </m:oMath>
                </w:p>
              </w:tc>
            </w:tr>
            <w:tr>
              <w:tc>
                <w:tcPr/>
                <w:p>
                  <w:pPr>
                    <w:pStyle w:val="Compact"/>
                  </w:pPr>
                </w:p>
              </w:tc>
              <w:tc>
                <w:tcPr/>
                <w:p>
                  <w:pPr>
                    <w:pStyle w:val="Compact"/>
                    <w:jc w:val="center"/>
                    <w:jc w:val="center"/>
                  </w:pPr>
                  <m:oMath>
                    <m:r>
                      <m:rPr>
                        <m:sty m:val="p"/>
                      </m:rPr>
                      <m:t>(</m:t>
                    </m:r>
                    <m:r>
                      <m:t>1.172</m:t>
                    </m:r>
                    <m:r>
                      <m:rPr>
                        <m:sty m:val="p"/>
                      </m:rPr>
                      <m:t>)</m:t>
                    </m:r>
                  </m:oMath>
                </w:p>
              </w:tc>
              <w:tc>
                <w:tcPr/>
                <w:p>
                  <w:pPr>
                    <w:pStyle w:val="Compact"/>
                    <w:jc w:val="center"/>
                    <w:jc w:val="center"/>
                  </w:pPr>
                  <m:oMath>
                    <m:r>
                      <m:rPr>
                        <m:sty m:val="p"/>
                      </m:rPr>
                      <m:t>(</m:t>
                    </m:r>
                    <m:r>
                      <m:t>1.136</m:t>
                    </m:r>
                    <m:r>
                      <m:rPr>
                        <m:sty m:val="p"/>
                      </m:rPr>
                      <m:t>)</m:t>
                    </m:r>
                  </m:oMath>
                </w:p>
              </w:tc>
              <w:tc>
                <w:tcPr/>
                <w:p>
                  <w:pPr>
                    <w:pStyle w:val="Compact"/>
                    <w:jc w:val="center"/>
                    <w:jc w:val="center"/>
                  </w:pPr>
                  <m:oMath>
                    <m:r>
                      <m:rPr>
                        <m:sty m:val="p"/>
                      </m:rPr>
                      <m:t>(</m:t>
                    </m:r>
                    <m:r>
                      <m:t>1.084</m:t>
                    </m:r>
                    <m:r>
                      <m:rPr>
                        <m:sty m:val="p"/>
                      </m:rPr>
                      <m:t>)</m:t>
                    </m:r>
                  </m:oMath>
                </w:p>
              </w:tc>
            </w:tr>
            <w:tr>
              <w:tc>
                <w:tcPr/>
                <w:p>
                  <w:pPr>
                    <w:pStyle w:val="Compact"/>
                    <w:jc w:val="left"/>
                    <w:jc w:val="center"/>
                  </w:pPr>
                  <w:r>
                    <w:rPr>
                      <w:b/>
                      <w:bCs/>
                    </w:rPr>
                    <w:t xml:space="preserve">Observaciones</w:t>
                  </w:r>
                </w:p>
              </w:tc>
              <w:tc>
                <w:tcPr/>
                <w:p>
                  <w:pPr>
                    <w:pStyle w:val="Compact"/>
                    <w:jc w:val="center"/>
                    <w:jc w:val="center"/>
                  </w:pPr>
                  <w:r>
                    <w:t xml:space="preserve">230</w:t>
                  </w:r>
                </w:p>
              </w:tc>
              <w:tc>
                <w:tcPr/>
                <w:p>
                  <w:pPr>
                    <w:pStyle w:val="Compact"/>
                    <w:jc w:val="center"/>
                    <w:jc w:val="center"/>
                  </w:pPr>
                  <w:r>
                    <w:t xml:space="preserve">230</w:t>
                  </w:r>
                </w:p>
              </w:tc>
              <w:tc>
                <w:tcPr/>
                <w:p>
                  <w:pPr>
                    <w:pStyle w:val="Compact"/>
                    <w:jc w:val="center"/>
                    <w:jc w:val="center"/>
                  </w:pPr>
                  <w:r>
                    <w:t xml:space="preserve">230</w:t>
                  </w:r>
                </w:p>
              </w:tc>
            </w:tr>
            <w:tr>
              <w:tc>
                <w:tcPr/>
                <w:p>
                  <w:pPr>
                    <w:pStyle w:val="Compact"/>
                    <w:jc w:val="left"/>
                    <w:jc w:val="center"/>
                  </w:pPr>
                  <w:r>
                    <w:rPr>
                      <w:b/>
                      <w:bCs/>
                    </w:rPr>
                    <w:t xml:space="preserve">Países</w:t>
                  </w:r>
                </w:p>
              </w:tc>
              <w:tc>
                <w:tcPr/>
                <w:p>
                  <w:pPr>
                    <w:pStyle w:val="Compact"/>
                    <w:jc w:val="center"/>
                    <w:jc w:val="center"/>
                  </w:pPr>
                  <w:r>
                    <w:t xml:space="preserve">10</w:t>
                  </w:r>
                </w:p>
              </w:tc>
              <w:tc>
                <w:tcPr/>
                <w:p>
                  <w:pPr>
                    <w:pStyle w:val="Compact"/>
                    <w:jc w:val="center"/>
                    <w:jc w:val="center"/>
                  </w:pPr>
                  <w:r>
                    <w:t xml:space="preserve">10</w:t>
                  </w:r>
                </w:p>
              </w:tc>
              <w:tc>
                <w:tcPr/>
                <w:p>
                  <w:pPr>
                    <w:pStyle w:val="Compact"/>
                    <w:jc w:val="center"/>
                    <w:jc w:val="center"/>
                  </w:pPr>
                  <w:r>
                    <w:t xml:space="preserve">10</w:t>
                  </w:r>
                </w:p>
              </w:tc>
            </w:tr>
            <w:tr>
              <w:tc>
                <w:tcPr/>
                <w:p>
                  <w:pPr>
                    <w:pStyle w:val="Compact"/>
                    <w:jc w:val="left"/>
                    <w:jc w:val="center"/>
                  </w:pPr>
                  <w:r>
                    <w:rPr>
                      <w:b/>
                      <w:bCs/>
                    </w:rPr>
                    <w:t xml:space="preserve">R² (within)</w:t>
                  </w:r>
                </w:p>
              </w:tc>
              <w:tc>
                <w:tcPr/>
                <w:p>
                  <w:pPr>
                    <w:pStyle w:val="Compact"/>
                    <w:jc w:val="center"/>
                    <w:jc w:val="center"/>
                  </w:pPr>
                  <w:r>
                    <w:t xml:space="preserve">0.266</w:t>
                  </w:r>
                </w:p>
              </w:tc>
              <w:tc>
                <w:tcPr/>
                <w:p>
                  <w:pPr>
                    <w:pStyle w:val="Compact"/>
                    <w:jc w:val="center"/>
                    <w:jc w:val="center"/>
                  </w:pPr>
                  <w:r>
                    <w:t xml:space="preserve">0.265</w:t>
                  </w:r>
                </w:p>
              </w:tc>
              <w:tc>
                <w:tcPr/>
                <w:p>
                  <w:pPr>
                    <w:pStyle w:val="Compact"/>
                    <w:jc w:val="center"/>
                    <w:jc w:val="center"/>
                  </w:pPr>
                  <w:r>
                    <w:t xml:space="preserve">-</w:t>
                  </w:r>
                </w:p>
              </w:tc>
            </w:tr>
            <w:tr>
              <w:tc>
                <w:tcPr/>
                <w:p>
                  <w:pPr>
                    <w:pStyle w:val="Compact"/>
                    <w:jc w:val="left"/>
                    <w:jc w:val="center"/>
                  </w:pPr>
                  <w:r>
                    <w:rPr>
                      <w:b/>
                      <w:bCs/>
                    </w:rPr>
                    <w:t xml:space="preserve">Estadístico</w:t>
                  </w:r>
                </w:p>
              </w:tc>
              <w:tc>
                <w:tcPr/>
                <w:p>
                  <w:pPr>
                    <w:pStyle w:val="Compact"/>
                    <w:jc w:val="center"/>
                    <w:jc w:val="center"/>
                  </w:pPr>
                  <m:oMath>
                    <m:r>
                      <m:t>F</m:t>
                    </m:r>
                    <m:r>
                      <m:rPr>
                        <m:sty m:val="p"/>
                      </m:rPr>
                      <m:t>(</m:t>
                    </m:r>
                    <m:r>
                      <m:t>4</m:t>
                    </m:r>
                    <m:r>
                      <m:rPr>
                        <m:sty m:val="p"/>
                      </m:rPr>
                      <m:t>,</m:t>
                    </m:r>
                    <m:r>
                      <m:t>216</m:t>
                    </m:r>
                    <m:r>
                      <m:rPr>
                        <m:sty m:val="p"/>
                      </m:rPr>
                      <m:t>)</m:t>
                    </m:r>
                    <m:r>
                      <m:rPr>
                        <m:sty m:val="p"/>
                      </m:rPr>
                      <m:t>=</m:t>
                    </m:r>
                    <m:sSup>
                      <m:e>
                        <m:r>
                          <m:t>19.58</m:t>
                        </m:r>
                      </m:e>
                      <m:sup>
                        <m:r>
                          <m:rPr>
                            <m:sty m:val="p"/>
                          </m:rPr>
                          <m:t>*</m:t>
                        </m:r>
                        <m:r>
                          <m:rPr>
                            <m:sty m:val="p"/>
                          </m:rPr>
                          <m:t>*</m:t>
                        </m:r>
                        <m:r>
                          <m:rPr>
                            <m:sty m:val="p"/>
                          </m:rPr>
                          <m:t>*</m:t>
                        </m:r>
                      </m:sup>
                    </m:sSup>
                  </m:oMath>
                </w:p>
              </w:tc>
              <w:tc>
                <w:tcPr/>
                <w:p>
                  <w:pPr>
                    <w:pStyle w:val="Compact"/>
                    <w:jc w:val="center"/>
                    <w:jc w:val="center"/>
                  </w:pPr>
                  <m:oMath>
                    <m:sSup>
                      <m:e>
                        <m:r>
                          <m:t>χ</m:t>
                        </m:r>
                      </m:e>
                      <m:sup>
                        <m:r>
                          <m:t>2</m:t>
                        </m:r>
                      </m:sup>
                    </m:sSup>
                    <m:r>
                      <m:rPr>
                        <m:sty m:val="p"/>
                      </m:rPr>
                      <m:t>(</m:t>
                    </m:r>
                    <m:r>
                      <m:t>4</m:t>
                    </m:r>
                    <m:r>
                      <m:rPr>
                        <m:sty m:val="p"/>
                      </m:rPr>
                      <m:t>)</m:t>
                    </m:r>
                    <m:r>
                      <m:rPr>
                        <m:sty m:val="p"/>
                      </m:rPr>
                      <m:t>=</m:t>
                    </m:r>
                    <m:sSup>
                      <m:e>
                        <m:r>
                          <m:t>75.00</m:t>
                        </m:r>
                      </m:e>
                      <m:sup>
                        <m:r>
                          <m:rPr>
                            <m:sty m:val="p"/>
                          </m:rPr>
                          <m:t>*</m:t>
                        </m:r>
                        <m:r>
                          <m:rPr>
                            <m:sty m:val="p"/>
                          </m:rPr>
                          <m:t>*</m:t>
                        </m:r>
                        <m:r>
                          <m:rPr>
                            <m:sty m:val="p"/>
                          </m:rPr>
                          <m:t>*</m:t>
                        </m:r>
                      </m:sup>
                    </m:sSup>
                  </m:oMath>
                </w:p>
              </w:tc>
              <w:tc>
                <w:tcPr/>
                <w:p>
                  <w:pPr>
                    <w:pStyle w:val="Compact"/>
                    <w:jc w:val="center"/>
                    <w:jc w:val="center"/>
                  </w:pPr>
                  <m:oMath>
                    <m:sSup>
                      <m:e>
                        <m:r>
                          <m:t>χ</m:t>
                        </m:r>
                      </m:e>
                      <m:sup>
                        <m:r>
                          <m:t>2</m:t>
                        </m:r>
                      </m:sup>
                    </m:sSup>
                    <m:r>
                      <m:rPr>
                        <m:sty m:val="p"/>
                      </m:rPr>
                      <m:t>(</m:t>
                    </m:r>
                    <m:r>
                      <m:t>4</m:t>
                    </m:r>
                    <m:r>
                      <m:rPr>
                        <m:sty m:val="p"/>
                      </m:rPr>
                      <m:t>)</m:t>
                    </m:r>
                    <m:r>
                      <m:rPr>
                        <m:sty m:val="p"/>
                      </m:rPr>
                      <m:t>=</m:t>
                    </m:r>
                    <m:sSup>
                      <m:e>
                        <m:r>
                          <m:t>61.49</m:t>
                        </m:r>
                      </m:e>
                      <m:sup>
                        <m:r>
                          <m:rPr>
                            <m:sty m:val="p"/>
                          </m:rPr>
                          <m:t>*</m:t>
                        </m:r>
                        <m:r>
                          <m:rPr>
                            <m:sty m:val="p"/>
                          </m:rPr>
                          <m:t>*</m:t>
                        </m:r>
                        <m:r>
                          <m:rPr>
                            <m:sty m:val="p"/>
                          </m:rPr>
                          <m:t>*</m:t>
                        </m:r>
                      </m:sup>
                    </m:sSup>
                  </m:oMath>
                </w:p>
              </w:tc>
            </w:tr>
          </w:tbl>
          <w:bookmarkEnd w:id="35"/>
          <w:p/>
        </w:tc>
      </w:tr>
    </w:tbl>
    <w:bookmarkEnd w:id="36"/>
    <w:bookmarkStart w:id="39" w:name="estimaciones-por-subgrupos"/>
    <w:p>
      <w:pPr>
        <w:pStyle w:val="Heading3"/>
      </w:pPr>
      <w:r>
        <w:t xml:space="preserve">6.2.2 Estimaciones por Subgrupos</w:t>
      </w:r>
    </w:p>
    <w:p>
      <w:pPr>
        <w:pStyle w:val="FirstParagraph"/>
      </w:pPr>
      <w:r>
        <w:t xml:space="preserve">La presencia de autocorrelación residual exige una corrección autorregresiva. La</w:t>
      </w:r>
      <w:r>
        <w:t xml:space="preserve"> </w:t>
      </w:r>
      <w:hyperlink w:anchor="tbl-xtregar">
        <w:r>
          <w:rPr>
            <w:rStyle w:val="Hyperlink"/>
          </w:rPr>
          <w:t xml:space="preserve">Tabla 8</w:t>
        </w:r>
      </w:hyperlink>
      <w:r>
        <w:t xml:space="preserve"> </w:t>
      </w:r>
      <w:r>
        <w:t xml:space="preserve">expone la estimación de efectos fijos con perturbaciones AR(1) (estimador</w:t>
      </w:r>
      <w:r>
        <w:t xml:space="preserve"> </w:t>
      </w:r>
      <w:r>
        <w:rPr>
          <w:rStyle w:val="VerbatimChar"/>
        </w:rPr>
        <w:t xml:space="preserve">xtregar</w:t>
      </w:r>
      <w:r>
        <w:t xml:space="preserve">):</w:t>
      </w:r>
    </w:p>
    <w:tbl>
      <w:tblPr>
        <w:tblStyle w:val="Table"/>
        <w:tblW w:type="pct" w:w="5000"/>
        <w:tblLayout w:type="fixed"/>
        <w:tblLook w:firstRow="0" w:lastRow="0" w:firstColumn="0" w:lastColumn="0" w:noHBand="0" w:noVBand="0" w:val="0000"/>
      </w:tblPr>
      <w:tblGrid>
        <w:gridCol w:w="7920"/>
      </w:tblGrid>
      <w:tr>
        <w:tc>
          <w:tcPr/>
          <w:bookmarkStart w:id="37" w:name="tbl-xtregar"/>
          <w:p>
            <w:pPr>
              <w:jc w:val="center"/>
            </w:pPr>
            <w:pPr>
              <w:jc w:val="left"/>
              <w:spacing w:before="200"/>
              <w:pStyle w:val="ImageCaption"/>
            </w:pPr>
            <w:r>
              <w:t xml:space="preserve">Tabla 8: Estimaciones de Efectos Fijos con Perturbaciones AR(1) (xtregar)</w:t>
            </w:r>
          </w:p>
          <w:tbl>
            <w:tblPr>
              <w:tblStyle w:val="Table"/>
              <w:tblW w:type="pct" w:w="5000"/>
              <w:tblLayout w:type="fixed"/>
              <w:tblLook w:firstRow="1" w:lastRow="0" w:firstColumn="0" w:lastColumn="0" w:noHBand="0" w:noVBand="0" w:val="0020"/>
            </w:tblPr>
            <w:tblGrid>
              <w:gridCol w:w="1667"/>
              <w:gridCol w:w="2084"/>
              <w:gridCol w:w="2084"/>
              <w:gridCol w:w="2084"/>
            </w:tblGrid>
            <w:tr>
              <w:trPr>
                <w:tblHeader w:val="on"/>
              </w:trPr>
              <w:tc>
                <w:tcPr/>
                <w:p>
                  <w:pPr>
                    <w:pStyle w:val="Compact"/>
                    <w:jc w:val="left"/>
                    <w:jc w:val="center"/>
                  </w:pPr>
                  <w:r>
                    <w:t xml:space="preserve">Regresor</w:t>
                  </w:r>
                </w:p>
              </w:tc>
              <w:tc>
                <w:tcPr/>
                <w:p>
                  <w:pPr>
                    <w:pStyle w:val="Compact"/>
                    <w:jc w:val="center"/>
                    <w:jc w:val="center"/>
                  </w:pPr>
                  <w:r>
                    <w:t xml:space="preserve">xtregar Global</w:t>
                  </w:r>
                </w:p>
              </w:tc>
              <w:tc>
                <w:tcPr/>
                <w:p>
                  <w:pPr>
                    <w:pStyle w:val="Compact"/>
                    <w:jc w:val="center"/>
                    <w:jc w:val="center"/>
                  </w:pPr>
                  <w:r>
                    <w:t xml:space="preserve">xtregar Hidrocarburos</w:t>
                  </w:r>
                </w:p>
              </w:tc>
              <w:tc>
                <w:tcPr/>
                <w:p>
                  <w:pPr>
                    <w:pStyle w:val="Compact"/>
                    <w:jc w:val="center"/>
                    <w:jc w:val="center"/>
                  </w:pPr>
                  <w:r>
                    <w:t xml:space="preserve">xtregar Minero-Agropecuario</w:t>
                  </w:r>
                </w:p>
              </w:tc>
            </w:tr>
            <w:tr>
              <w:tc>
                <w:tcPr/>
                <w:p>
                  <w:pPr>
                    <w:pStyle w:val="Compact"/>
                    <w:jc w:val="left"/>
                    <w:jc w:val="center"/>
                  </w:pPr>
                  <w:r>
                    <w:rPr>
                      <w:rStyle w:val="VerbatimChar"/>
                      <w:b/>
                      <w:bCs/>
                    </w:rPr>
                    <w:t xml:space="preserve">log_PF</w:t>
                  </w:r>
                </w:p>
              </w:tc>
              <w:tc>
                <w:tcPr/>
                <w:p>
                  <w:pPr>
                    <w:pStyle w:val="Compact"/>
                    <w:jc w:val="center"/>
                    <w:jc w:val="center"/>
                  </w:pPr>
                  <m:oMath>
                    <m:sSup>
                      <m:e>
                        <m:r>
                          <m:t>1.145</m:t>
                        </m:r>
                      </m:e>
                      <m:sup>
                        <m:r>
                          <m:rPr>
                            <m:sty m:val="p"/>
                          </m:rPr>
                          <m:t>*</m:t>
                        </m:r>
                        <m:r>
                          <m:rPr>
                            <m:sty m:val="p"/>
                          </m:rPr>
                          <m:t>*</m:t>
                        </m:r>
                        <m:r>
                          <m:rPr>
                            <m:sty m:val="p"/>
                          </m:rPr>
                          <m:t>*</m:t>
                        </m:r>
                      </m:sup>
                    </m:sSup>
                  </m:oMath>
                </w:p>
              </w:tc>
              <w:tc>
                <w:tcPr/>
                <w:p>
                  <w:pPr>
                    <w:pStyle w:val="Compact"/>
                    <w:jc w:val="center"/>
                    <w:jc w:val="center"/>
                  </w:pPr>
                  <m:oMath>
                    <m:r>
                      <m:t>0.828</m:t>
                    </m:r>
                  </m:oMath>
                </w:p>
              </w:tc>
              <w:tc>
                <w:tcPr/>
                <w:p>
                  <w:pPr>
                    <w:pStyle w:val="Compact"/>
                    <w:jc w:val="center"/>
                    <w:jc w:val="center"/>
                  </w:pPr>
                  <m:oMath>
                    <m:sSup>
                      <m:e>
                        <m:r>
                          <m:t>1.521</m:t>
                        </m:r>
                      </m:e>
                      <m:sup>
                        <m:r>
                          <m:rPr>
                            <m:sty m:val="p"/>
                          </m:rPr>
                          <m:t>*</m:t>
                        </m:r>
                        <m:r>
                          <m:rPr>
                            <m:sty m:val="p"/>
                          </m:rPr>
                          <m:t>*</m:t>
                        </m:r>
                        <m:r>
                          <m:rPr>
                            <m:sty m:val="p"/>
                          </m:rPr>
                          <m:t>*</m:t>
                        </m:r>
                      </m:sup>
                    </m:sSup>
                  </m:oMath>
                </w:p>
              </w:tc>
            </w:tr>
            <w:tr>
              <w:tc>
                <w:tcPr/>
                <w:p>
                  <w:pPr>
                    <w:pStyle w:val="Compact"/>
                  </w:pPr>
                </w:p>
              </w:tc>
              <w:tc>
                <w:tcPr/>
                <w:p>
                  <w:pPr>
                    <w:pStyle w:val="Compact"/>
                    <w:jc w:val="center"/>
                    <w:jc w:val="center"/>
                  </w:pPr>
                  <m:oMath>
                    <m:r>
                      <m:rPr>
                        <m:sty m:val="p"/>
                      </m:rPr>
                      <m:t>(</m:t>
                    </m:r>
                    <m:r>
                      <m:t>0.382</m:t>
                    </m:r>
                    <m:r>
                      <m:rPr>
                        <m:sty m:val="p"/>
                      </m:rPr>
                      <m:t>)</m:t>
                    </m:r>
                  </m:oMath>
                </w:p>
              </w:tc>
              <w:tc>
                <w:tcPr/>
                <w:p>
                  <w:pPr>
                    <w:pStyle w:val="Compact"/>
                    <w:jc w:val="center"/>
                    <w:jc w:val="center"/>
                  </w:pPr>
                  <m:oMath>
                    <m:r>
                      <m:rPr>
                        <m:sty m:val="p"/>
                      </m:rPr>
                      <m:t>(</m:t>
                    </m:r>
                    <m:r>
                      <m:t>0.710</m:t>
                    </m:r>
                    <m:r>
                      <m:rPr>
                        <m:sty m:val="p"/>
                      </m:rPr>
                      <m:t>)</m:t>
                    </m:r>
                  </m:oMath>
                </w:p>
              </w:tc>
              <w:tc>
                <w:tcPr/>
                <w:p>
                  <w:pPr>
                    <w:pStyle w:val="Compact"/>
                    <w:jc w:val="center"/>
                    <w:jc w:val="center"/>
                  </w:pPr>
                  <m:oMath>
                    <m:r>
                      <m:rPr>
                        <m:sty m:val="p"/>
                      </m:rPr>
                      <m:t>(</m:t>
                    </m:r>
                    <m:r>
                      <m:t>0.442</m:t>
                    </m:r>
                    <m:r>
                      <m:rPr>
                        <m:sty m:val="p"/>
                      </m:rPr>
                      <m:t>)</m:t>
                    </m:r>
                  </m:oMath>
                </w:p>
              </w:tc>
            </w:tr>
            <w:tr>
              <w:tc>
                <w:tcPr/>
                <w:p>
                  <w:pPr>
                    <w:pStyle w:val="Compact"/>
                    <w:jc w:val="left"/>
                    <w:jc w:val="center"/>
                  </w:pPr>
                  <w:r>
                    <w:rPr>
                      <w:rStyle w:val="VerbatimChar"/>
                      <w:b/>
                      <w:bCs/>
                    </w:rPr>
                    <w:t xml:space="preserve">log_IE</w:t>
                  </w:r>
                </w:p>
              </w:tc>
              <w:tc>
                <w:tcPr/>
                <w:p>
                  <w:pPr>
                    <w:pStyle w:val="Compact"/>
                    <w:jc w:val="center"/>
                    <w:jc w:val="center"/>
                  </w:pPr>
                  <m:oMath>
                    <m:r>
                      <m:t>0.006</m:t>
                    </m:r>
                  </m:oMath>
                </w:p>
              </w:tc>
              <w:tc>
                <w:tcPr/>
                <w:p>
                  <w:pPr>
                    <w:pStyle w:val="Compact"/>
                    <w:jc w:val="center"/>
                    <w:jc w:val="center"/>
                  </w:pPr>
                  <m:oMath>
                    <m:r>
                      <m:rPr>
                        <m:sty m:val="p"/>
                      </m:rPr>
                      <m:t>−</m:t>
                    </m:r>
                    <m:r>
                      <m:t>0.087</m:t>
                    </m:r>
                  </m:oMath>
                </w:p>
              </w:tc>
              <w:tc>
                <w:tcPr/>
                <w:p>
                  <w:pPr>
                    <w:pStyle w:val="Compact"/>
                    <w:jc w:val="center"/>
                    <w:jc w:val="center"/>
                  </w:pPr>
                  <m:oMath>
                    <m:sSup>
                      <m:e>
                        <m:r>
                          <m:t>0.874</m:t>
                        </m:r>
                      </m:e>
                      <m:sup>
                        <m:r>
                          <m:rPr>
                            <m:sty m:val="p"/>
                          </m:rPr>
                          <m:t>*</m:t>
                        </m:r>
                      </m:sup>
                    </m:sSup>
                  </m:oMath>
                </w:p>
              </w:tc>
            </w:tr>
            <w:tr>
              <w:tc>
                <w:tcPr/>
                <w:p>
                  <w:pPr>
                    <w:pStyle w:val="Compact"/>
                  </w:pPr>
                </w:p>
              </w:tc>
              <w:tc>
                <w:tcPr/>
                <w:p>
                  <w:pPr>
                    <w:pStyle w:val="Compact"/>
                    <w:jc w:val="center"/>
                    <w:jc w:val="center"/>
                  </w:pPr>
                  <m:oMath>
                    <m:r>
                      <m:rPr>
                        <m:sty m:val="p"/>
                      </m:rPr>
                      <m:t>(</m:t>
                    </m:r>
                    <m:r>
                      <m:t>0.252</m:t>
                    </m:r>
                    <m:r>
                      <m:rPr>
                        <m:sty m:val="p"/>
                      </m:rPr>
                      <m:t>)</m:t>
                    </m:r>
                  </m:oMath>
                </w:p>
              </w:tc>
              <w:tc>
                <w:tcPr/>
                <w:p>
                  <w:pPr>
                    <w:pStyle w:val="Compact"/>
                    <w:jc w:val="center"/>
                    <w:jc w:val="center"/>
                  </w:pPr>
                  <m:oMath>
                    <m:r>
                      <m:rPr>
                        <m:sty m:val="p"/>
                      </m:rPr>
                      <m:t>(</m:t>
                    </m:r>
                    <m:r>
                      <m:t>0.263</m:t>
                    </m:r>
                    <m:r>
                      <m:rPr>
                        <m:sty m:val="p"/>
                      </m:rPr>
                      <m:t>)</m:t>
                    </m:r>
                  </m:oMath>
                </w:p>
              </w:tc>
              <w:tc>
                <w:tcPr/>
                <w:p>
                  <w:pPr>
                    <w:pStyle w:val="Compact"/>
                    <w:jc w:val="center"/>
                    <w:jc w:val="center"/>
                  </w:pPr>
                  <m:oMath>
                    <m:r>
                      <m:rPr>
                        <m:sty m:val="p"/>
                      </m:rPr>
                      <m:t>(</m:t>
                    </m:r>
                    <m:r>
                      <m:t>0.512</m:t>
                    </m:r>
                    <m:r>
                      <m:rPr>
                        <m:sty m:val="p"/>
                      </m:rPr>
                      <m:t>)</m:t>
                    </m:r>
                  </m:oMath>
                </w:p>
              </w:tc>
            </w:tr>
            <w:tr>
              <w:tc>
                <w:tcPr/>
                <w:p>
                  <w:pPr>
                    <w:pStyle w:val="Compact"/>
                    <w:jc w:val="left"/>
                    <w:jc w:val="center"/>
                  </w:pPr>
                  <w:r>
                    <w:rPr>
                      <w:rStyle w:val="VerbatimChar"/>
                      <w:b/>
                      <w:bCs/>
                    </w:rPr>
                    <w:t xml:space="preserve">log_AN</w:t>
                  </w:r>
                </w:p>
              </w:tc>
              <w:tc>
                <w:tcPr/>
                <w:p>
                  <w:pPr>
                    <w:pStyle w:val="Compact"/>
                    <w:jc w:val="center"/>
                    <w:jc w:val="center"/>
                  </w:pPr>
                  <m:oMath>
                    <m:r>
                      <m:rPr>
                        <m:sty m:val="p"/>
                      </m:rPr>
                      <m:t>−</m:t>
                    </m:r>
                    <m:sSup>
                      <m:e>
                        <m:r>
                          <m:t>0.524</m:t>
                        </m:r>
                      </m:e>
                      <m:sup>
                        <m:r>
                          <m:rPr>
                            <m:sty m:val="p"/>
                          </m:rPr>
                          <m:t>*</m:t>
                        </m:r>
                        <m:r>
                          <m:rPr>
                            <m:sty m:val="p"/>
                          </m:rPr>
                          <m:t>*</m:t>
                        </m:r>
                        <m:r>
                          <m:rPr>
                            <m:sty m:val="p"/>
                          </m:rPr>
                          <m:t>*</m:t>
                        </m:r>
                      </m:sup>
                    </m:sSup>
                  </m:oMath>
                </w:p>
              </w:tc>
              <w:tc>
                <w:tcPr/>
                <w:p>
                  <w:pPr>
                    <w:pStyle w:val="Compact"/>
                    <w:jc w:val="center"/>
                    <w:jc w:val="center"/>
                  </w:pPr>
                  <m:oMath>
                    <m:r>
                      <m:rPr>
                        <m:sty m:val="p"/>
                      </m:rPr>
                      <m:t>−</m:t>
                    </m:r>
                    <m:sSup>
                      <m:e>
                        <m:r>
                          <m:t>1.035</m:t>
                        </m:r>
                      </m:e>
                      <m:sup>
                        <m:r>
                          <m:rPr>
                            <m:sty m:val="p"/>
                          </m:rPr>
                          <m:t>*</m:t>
                        </m:r>
                        <m:r>
                          <m:rPr>
                            <m:sty m:val="p"/>
                          </m:rPr>
                          <m:t>*</m:t>
                        </m:r>
                        <m:r>
                          <m:rPr>
                            <m:sty m:val="p"/>
                          </m:rPr>
                          <m:t>*</m:t>
                        </m:r>
                      </m:sup>
                    </m:sSup>
                  </m:oMath>
                </w:p>
              </w:tc>
              <w:tc>
                <w:tcPr/>
                <w:p>
                  <w:pPr>
                    <w:pStyle w:val="Compact"/>
                    <w:jc w:val="center"/>
                    <w:jc w:val="center"/>
                  </w:pPr>
                  <m:oMath>
                    <m:r>
                      <m:rPr>
                        <m:sty m:val="p"/>
                      </m:rPr>
                      <m:t>−</m:t>
                    </m:r>
                    <m:r>
                      <m:t>0.199</m:t>
                    </m:r>
                  </m:oMath>
                </w:p>
              </w:tc>
            </w:tr>
            <w:tr>
              <w:tc>
                <w:tcPr/>
                <w:p>
                  <w:pPr>
                    <w:pStyle w:val="Compact"/>
                  </w:pPr>
                </w:p>
              </w:tc>
              <w:tc>
                <w:tcPr/>
                <w:p>
                  <w:pPr>
                    <w:pStyle w:val="Compact"/>
                    <w:jc w:val="center"/>
                    <w:jc w:val="center"/>
                  </w:pPr>
                  <m:oMath>
                    <m:r>
                      <m:rPr>
                        <m:sty m:val="p"/>
                      </m:rPr>
                      <m:t>(</m:t>
                    </m:r>
                    <m:r>
                      <m:t>0.161</m:t>
                    </m:r>
                    <m:r>
                      <m:rPr>
                        <m:sty m:val="p"/>
                      </m:rPr>
                      <m:t>)</m:t>
                    </m:r>
                  </m:oMath>
                </w:p>
              </w:tc>
              <w:tc>
                <w:tcPr/>
                <w:p>
                  <w:pPr>
                    <w:pStyle w:val="Compact"/>
                    <w:jc w:val="center"/>
                    <w:jc w:val="center"/>
                  </w:pPr>
                  <m:oMath>
                    <m:r>
                      <m:rPr>
                        <m:sty m:val="p"/>
                      </m:rPr>
                      <m:t>(</m:t>
                    </m:r>
                    <m:r>
                      <m:t>0.239</m:t>
                    </m:r>
                    <m:r>
                      <m:rPr>
                        <m:sty m:val="p"/>
                      </m:rPr>
                      <m:t>)</m:t>
                    </m:r>
                  </m:oMath>
                </w:p>
              </w:tc>
              <w:tc>
                <w:tcPr/>
                <w:p>
                  <w:pPr>
                    <w:pStyle w:val="Compact"/>
                    <w:jc w:val="center"/>
                    <w:jc w:val="center"/>
                  </w:pPr>
                  <m:oMath>
                    <m:r>
                      <m:rPr>
                        <m:sty m:val="p"/>
                      </m:rPr>
                      <m:t>(</m:t>
                    </m:r>
                    <m:r>
                      <m:t>0.194</m:t>
                    </m:r>
                    <m:r>
                      <m:rPr>
                        <m:sty m:val="p"/>
                      </m:rPr>
                      <m:t>)</m:t>
                    </m:r>
                  </m:oMath>
                </w:p>
              </w:tc>
            </w:tr>
            <w:tr>
              <w:tc>
                <w:tcPr/>
                <w:p>
                  <w:pPr>
                    <w:pStyle w:val="Compact"/>
                    <w:jc w:val="left"/>
                    <w:jc w:val="center"/>
                  </w:pPr>
                  <w:r>
                    <w:rPr>
                      <w:rStyle w:val="VerbatimChar"/>
                      <w:b/>
                      <w:bCs/>
                    </w:rPr>
                    <w:t xml:space="preserve">log_RI</w:t>
                  </w:r>
                </w:p>
              </w:tc>
              <w:tc>
                <w:tcPr/>
                <w:p>
                  <w:pPr>
                    <w:pStyle w:val="Compact"/>
                    <w:jc w:val="center"/>
                    <w:jc w:val="center"/>
                  </w:pPr>
                  <m:oMath>
                    <m:r>
                      <m:rPr>
                        <m:sty m:val="p"/>
                      </m:rPr>
                      <m:t>−</m:t>
                    </m:r>
                    <m:r>
                      <m:t>0.066</m:t>
                    </m:r>
                  </m:oMath>
                </w:p>
              </w:tc>
              <w:tc>
                <w:tcPr/>
                <w:p>
                  <w:pPr>
                    <w:pStyle w:val="Compact"/>
                    <w:jc w:val="center"/>
                    <w:jc w:val="center"/>
                  </w:pPr>
                  <m:oMath>
                    <m:r>
                      <m:rPr>
                        <m:sty m:val="p"/>
                      </m:rPr>
                      <m:t>−</m:t>
                    </m:r>
                    <m:r>
                      <m:t>0.105</m:t>
                    </m:r>
                  </m:oMath>
                </w:p>
              </w:tc>
              <w:tc>
                <w:tcPr/>
                <w:p>
                  <w:pPr>
                    <w:pStyle w:val="Compact"/>
                    <w:jc w:val="center"/>
                    <w:jc w:val="center"/>
                  </w:pPr>
                  <m:oMath>
                    <m:r>
                      <m:rPr>
                        <m:sty m:val="p"/>
                      </m:rPr>
                      <m:t>−</m:t>
                    </m:r>
                    <m:r>
                      <m:t>0.033</m:t>
                    </m:r>
                  </m:oMath>
                </w:p>
              </w:tc>
            </w:tr>
            <w:tr>
              <w:tc>
                <w:tcPr/>
                <w:p>
                  <w:pPr>
                    <w:pStyle w:val="Compact"/>
                  </w:pPr>
                </w:p>
              </w:tc>
              <w:tc>
                <w:tcPr/>
                <w:p>
                  <w:pPr>
                    <w:pStyle w:val="Compact"/>
                    <w:jc w:val="center"/>
                    <w:jc w:val="center"/>
                  </w:pPr>
                  <m:oMath>
                    <m:r>
                      <m:rPr>
                        <m:sty m:val="p"/>
                      </m:rPr>
                      <m:t>(</m:t>
                    </m:r>
                    <m:r>
                      <m:t>0.089</m:t>
                    </m:r>
                    <m:r>
                      <m:rPr>
                        <m:sty m:val="p"/>
                      </m:rPr>
                      <m:t>)</m:t>
                    </m:r>
                  </m:oMath>
                </w:p>
              </w:tc>
              <w:tc>
                <w:tcPr/>
                <w:p>
                  <w:pPr>
                    <w:pStyle w:val="Compact"/>
                    <w:jc w:val="center"/>
                    <w:jc w:val="center"/>
                  </w:pPr>
                  <m:oMath>
                    <m:r>
                      <m:rPr>
                        <m:sty m:val="p"/>
                      </m:rPr>
                      <m:t>(</m:t>
                    </m:r>
                    <m:r>
                      <m:t>0.112</m:t>
                    </m:r>
                    <m:r>
                      <m:rPr>
                        <m:sty m:val="p"/>
                      </m:rPr>
                      <m:t>)</m:t>
                    </m:r>
                  </m:oMath>
                </w:p>
              </w:tc>
              <w:tc>
                <w:tcPr/>
                <w:p>
                  <w:pPr>
                    <w:pStyle w:val="Compact"/>
                    <w:jc w:val="center"/>
                    <w:jc w:val="center"/>
                  </w:pPr>
                  <m:oMath>
                    <m:r>
                      <m:rPr>
                        <m:sty m:val="p"/>
                      </m:rPr>
                      <m:t>(</m:t>
                    </m:r>
                    <m:r>
                      <m:t>0.130</m:t>
                    </m:r>
                    <m:r>
                      <m:rPr>
                        <m:sty m:val="p"/>
                      </m:rPr>
                      <m:t>)</m:t>
                    </m:r>
                  </m:oMath>
                </w:p>
              </w:tc>
            </w:tr>
            <w:tr>
              <w:tc>
                <w:tcPr/>
                <w:p>
                  <w:pPr>
                    <w:pStyle w:val="Compact"/>
                    <w:jc w:val="left"/>
                    <w:jc w:val="center"/>
                  </w:pPr>
                  <w:r>
                    <w:rPr>
                      <w:b/>
                      <w:bCs/>
                    </w:rPr>
                    <w:t xml:space="preserve">Constante</w:t>
                  </w:r>
                </w:p>
              </w:tc>
              <w:tc>
                <w:tcPr/>
                <w:p>
                  <w:pPr>
                    <w:pStyle w:val="Compact"/>
                    <w:jc w:val="center"/>
                    <w:jc w:val="center"/>
                  </w:pPr>
                  <m:oMath>
                    <m:r>
                      <m:t>0.629</m:t>
                    </m:r>
                  </m:oMath>
                </w:p>
              </w:tc>
              <w:tc>
                <w:tcPr/>
                <w:p>
                  <w:pPr>
                    <w:pStyle w:val="Compact"/>
                    <w:jc w:val="center"/>
                    <w:jc w:val="center"/>
                  </w:pPr>
                  <m:oMath>
                    <m:sSup>
                      <m:e>
                        <m:r>
                          <m:t>4.084</m:t>
                        </m:r>
                      </m:e>
                      <m:sup>
                        <m:r>
                          <m:rPr>
                            <m:sty m:val="p"/>
                          </m:rPr>
                          <m:t>*</m:t>
                        </m:r>
                        <m:r>
                          <m:rPr>
                            <m:sty m:val="p"/>
                          </m:rPr>
                          <m:t>*</m:t>
                        </m:r>
                        <m:r>
                          <m:rPr>
                            <m:sty m:val="p"/>
                          </m:rPr>
                          <m:t>*</m:t>
                        </m:r>
                      </m:sup>
                    </m:sSup>
                  </m:oMath>
                </w:p>
              </w:tc>
              <w:tc>
                <w:tcPr/>
                <w:p>
                  <w:pPr>
                    <w:pStyle w:val="Compact"/>
                    <w:jc w:val="center"/>
                    <w:jc w:val="center"/>
                  </w:pPr>
                  <m:oMath>
                    <m:r>
                      <m:rPr>
                        <m:sty m:val="p"/>
                      </m:rPr>
                      <m:t>−</m:t>
                    </m:r>
                    <m:sSup>
                      <m:e>
                        <m:r>
                          <m:t>4.931</m:t>
                        </m:r>
                      </m:e>
                      <m:sup>
                        <m:r>
                          <m:rPr>
                            <m:sty m:val="p"/>
                          </m:rPr>
                          <m:t>*</m:t>
                        </m:r>
                        <m:r>
                          <m:rPr>
                            <m:sty m:val="p"/>
                          </m:rPr>
                          <m:t>*</m:t>
                        </m:r>
                        <m:r>
                          <m:rPr>
                            <m:sty m:val="p"/>
                          </m:rPr>
                          <m:t>*</m:t>
                        </m:r>
                      </m:sup>
                    </m:sSup>
                  </m:oMath>
                </w:p>
              </w:tc>
            </w:tr>
            <w:tr>
              <w:tc>
                <w:tcPr/>
                <w:p>
                  <w:pPr>
                    <w:pStyle w:val="Compact"/>
                  </w:pPr>
                </w:p>
              </w:tc>
              <w:tc>
                <w:tcPr/>
                <w:p>
                  <w:pPr>
                    <w:pStyle w:val="Compact"/>
                    <w:jc w:val="center"/>
                    <w:jc w:val="center"/>
                  </w:pPr>
                  <m:oMath>
                    <m:r>
                      <m:rPr>
                        <m:sty m:val="p"/>
                      </m:rPr>
                      <m:t>(</m:t>
                    </m:r>
                    <m:r>
                      <m:t>0.469</m:t>
                    </m:r>
                    <m:r>
                      <m:rPr>
                        <m:sty m:val="p"/>
                      </m:rPr>
                      <m:t>)</m:t>
                    </m:r>
                  </m:oMath>
                </w:p>
              </w:tc>
              <w:tc>
                <w:tcPr/>
                <w:p>
                  <w:pPr>
                    <w:pStyle w:val="Compact"/>
                    <w:jc w:val="center"/>
                    <w:jc w:val="center"/>
                  </w:pPr>
                  <m:oMath>
                    <m:r>
                      <m:rPr>
                        <m:sty m:val="p"/>
                      </m:rPr>
                      <m:t>(</m:t>
                    </m:r>
                    <m:r>
                      <m:t>0.910</m:t>
                    </m:r>
                    <m:r>
                      <m:rPr>
                        <m:sty m:val="p"/>
                      </m:rPr>
                      <m:t>)</m:t>
                    </m:r>
                  </m:oMath>
                </w:p>
              </w:tc>
              <w:tc>
                <w:tcPr/>
                <w:p>
                  <w:pPr>
                    <w:pStyle w:val="Compact"/>
                    <w:jc w:val="center"/>
                    <w:jc w:val="center"/>
                  </w:pPr>
                  <m:oMath>
                    <m:r>
                      <m:rPr>
                        <m:sty m:val="p"/>
                      </m:rPr>
                      <m:t>(</m:t>
                    </m:r>
                    <m:r>
                      <m:t>0.769</m:t>
                    </m:r>
                    <m:r>
                      <m:rPr>
                        <m:sty m:val="p"/>
                      </m:rPr>
                      <m:t>)</m:t>
                    </m:r>
                  </m:oMath>
                </w:p>
              </w:tc>
            </w:tr>
            <w:tr>
              <w:tc>
                <w:tcPr/>
                <w:p>
                  <w:pPr>
                    <w:pStyle w:val="Compact"/>
                    <w:jc w:val="left"/>
                    <w:jc w:val="center"/>
                  </w:pPr>
                  <w:r>
                    <w:rPr>
                      <w:b/>
                      <w:bCs/>
                    </w:rPr>
                    <w:t xml:space="preserve">Observaciones</w:t>
                  </w:r>
                </w:p>
              </w:tc>
              <w:tc>
                <w:tcPr/>
                <w:p>
                  <w:pPr>
                    <w:pStyle w:val="Compact"/>
                    <w:jc w:val="center"/>
                    <w:jc w:val="center"/>
                  </w:pPr>
                  <w:r>
                    <w:t xml:space="preserve">220</w:t>
                  </w:r>
                </w:p>
              </w:tc>
              <w:tc>
                <w:tcPr/>
                <w:p>
                  <w:pPr>
                    <w:pStyle w:val="Compact"/>
                    <w:jc w:val="center"/>
                    <w:jc w:val="center"/>
                  </w:pPr>
                  <w:r>
                    <w:t xml:space="preserve">88</w:t>
                  </w:r>
                </w:p>
              </w:tc>
              <w:tc>
                <w:tcPr/>
                <w:p>
                  <w:pPr>
                    <w:pStyle w:val="Compact"/>
                    <w:jc w:val="center"/>
                    <w:jc w:val="center"/>
                  </w:pPr>
                  <w:r>
                    <w:t xml:space="preserve">132</w:t>
                  </w:r>
                </w:p>
              </w:tc>
            </w:tr>
            <w:tr>
              <w:tc>
                <w:tcPr/>
                <w:p>
                  <w:pPr>
                    <w:pStyle w:val="Compact"/>
                    <w:jc w:val="left"/>
                    <w:jc w:val="center"/>
                  </w:pPr>
                  <w:r>
                    <w:rPr>
                      <w:b/>
                      <w:bCs/>
                    </w:rPr>
                    <w:t xml:space="preserve">Países</w:t>
                  </w:r>
                </w:p>
              </w:tc>
              <w:tc>
                <w:tcPr/>
                <w:p>
                  <w:pPr>
                    <w:pStyle w:val="Compact"/>
                    <w:jc w:val="center"/>
                    <w:jc w:val="center"/>
                  </w:pPr>
                  <w:r>
                    <w:t xml:space="preserve">10</w:t>
                  </w:r>
                </w:p>
              </w:tc>
              <w:tc>
                <w:tcPr/>
                <w:p>
                  <w:pPr>
                    <w:pStyle w:val="Compact"/>
                    <w:jc w:val="center"/>
                    <w:jc w:val="center"/>
                  </w:pPr>
                  <w:r>
                    <w:t xml:space="preserve">4</w:t>
                  </w:r>
                </w:p>
              </w:tc>
              <w:tc>
                <w:tcPr/>
                <w:p>
                  <w:pPr>
                    <w:pStyle w:val="Compact"/>
                    <w:jc w:val="center"/>
                    <w:jc w:val="center"/>
                  </w:pPr>
                  <w:r>
                    <w:t xml:space="preserve">6</w:t>
                  </w:r>
                </w:p>
              </w:tc>
            </w:tr>
            <w:tr>
              <w:tc>
                <w:tcPr/>
                <w:p>
                  <w:pPr>
                    <w:pStyle w:val="Compact"/>
                    <w:jc w:val="left"/>
                    <w:jc w:val="center"/>
                  </w:pPr>
                  <w:r>
                    <w:rPr>
                      <w:b/>
                      <w:bCs/>
                    </w:rPr>
                    <w:t xml:space="preserve">rho AR(1)</w:t>
                  </w:r>
                </w:p>
              </w:tc>
              <w:tc>
                <w:tcPr/>
                <w:p>
                  <w:pPr>
                    <w:pStyle w:val="Compact"/>
                    <w:jc w:val="center"/>
                    <w:jc w:val="center"/>
                  </w:pPr>
                  <w:r>
                    <w:t xml:space="preserve">0.693</w:t>
                  </w:r>
                </w:p>
              </w:tc>
              <w:tc>
                <w:tcPr/>
                <w:p>
                  <w:pPr>
                    <w:pStyle w:val="Compact"/>
                    <w:jc w:val="center"/>
                    <w:jc w:val="center"/>
                  </w:pPr>
                  <w:r>
                    <w:t xml:space="preserve">0.583</w:t>
                  </w:r>
                </w:p>
              </w:tc>
              <w:tc>
                <w:tcPr/>
                <w:p>
                  <w:pPr>
                    <w:pStyle w:val="Compact"/>
                    <w:jc w:val="center"/>
                    <w:jc w:val="center"/>
                  </w:pPr>
                  <w:r>
                    <w:t xml:space="preserve">0.699</w:t>
                  </w:r>
                </w:p>
              </w:tc>
            </w:tr>
          </w:tbl>
          <w:bookmarkEnd w:id="37"/>
          <w:p/>
        </w:tc>
      </w:tr>
    </w:tbl>
    <w:p>
      <w:pPr>
        <w:pStyle w:val="BodyText"/>
      </w:pPr>
      <w:r>
        <w:t xml:space="preserve">La prueba de Hausman robusta (</w:t>
      </w:r>
      <w:r>
        <w:t xml:space="preserve">Hausman (</w:t>
      </w:r>
      <w:hyperlink w:anchor="ref-hausman1978specification">
        <w:r>
          <w:rPr>
            <w:rStyle w:val="Hyperlink"/>
          </w:rPr>
          <w:t xml:space="preserve">1978</w:t>
        </w:r>
      </w:hyperlink>
      <w:r>
        <w:t xml:space="preserve">)</w:t>
      </w:r>
      <w:r>
        <w:t xml:space="preserve">) identifica el estimador consistente en cada caso. El modelo global no rechaza la hipótesis nula (</w:t>
      </w:r>
      <m:oMath>
        <m:sSup>
          <m:e>
            <m:r>
              <m:t>χ</m:t>
            </m:r>
          </m:e>
          <m:sup>
            <m:r>
              <m:t>2</m:t>
            </m:r>
          </m:sup>
        </m:sSup>
        <m:r>
          <m:rPr>
            <m:sty m:val="p"/>
          </m:rPr>
          <m:t>(</m:t>
        </m:r>
        <m:r>
          <m:t>4</m:t>
        </m:r>
        <m:r>
          <m:rPr>
            <m:sty m:val="p"/>
          </m:rPr>
          <m:t>)</m:t>
        </m:r>
        <m:r>
          <m:rPr>
            <m:sty m:val="p"/>
          </m:rPr>
          <m:t>=</m:t>
        </m:r>
        <m:r>
          <m:t>7.38</m:t>
        </m:r>
      </m:oMath>
      <w:r>
        <w:t xml:space="preserve">,</w:t>
      </w:r>
      <w:r>
        <w:t xml:space="preserve"> </w:t>
      </w:r>
      <m:oMath>
        <m:r>
          <m:t>p</m:t>
        </m:r>
        <m:r>
          <m:rPr>
            <m:sty m:val="p"/>
          </m:rPr>
          <m:t>=</m:t>
        </m:r>
        <m:r>
          <m:t>0.1172</m:t>
        </m:r>
      </m:oMath>
      <w:r>
        <w:t xml:space="preserve">). Este resultado valida el estimador de efectos aleatorios (RE). Los subgrupos de Hidrocarburos (</w:t>
      </w:r>
      <m:oMath>
        <m:sSup>
          <m:e>
            <m:r>
              <m:t>χ</m:t>
            </m:r>
          </m:e>
          <m:sup>
            <m:r>
              <m:t>2</m:t>
            </m:r>
          </m:sup>
        </m:sSup>
        <m:r>
          <m:rPr>
            <m:sty m:val="p"/>
          </m:rPr>
          <m:t>(</m:t>
        </m:r>
        <m:r>
          <m:t>3</m:t>
        </m:r>
        <m:r>
          <m:rPr>
            <m:sty m:val="p"/>
          </m:rPr>
          <m:t>)</m:t>
        </m:r>
        <m:r>
          <m:rPr>
            <m:sty m:val="p"/>
          </m:rPr>
          <m:t>=</m:t>
        </m:r>
        <m:r>
          <m:t>12.27</m:t>
        </m:r>
      </m:oMath>
      <w:r>
        <w:t xml:space="preserve">,</w:t>
      </w:r>
      <w:r>
        <w:t xml:space="preserve"> </w:t>
      </w:r>
      <m:oMath>
        <m:r>
          <m:t>p</m:t>
        </m:r>
        <m:r>
          <m:rPr>
            <m:sty m:val="p"/>
          </m:rPr>
          <m:t>=</m:t>
        </m:r>
        <m:r>
          <m:t>0.0065</m:t>
        </m:r>
      </m:oMath>
      <w:r>
        <w:t xml:space="preserve">) y Minero-Agropecuario (</w:t>
      </w:r>
      <m:oMath>
        <m:sSup>
          <m:e>
            <m:r>
              <m:t>χ</m:t>
            </m:r>
          </m:e>
          <m:sup>
            <m:r>
              <m:t>2</m:t>
            </m:r>
          </m:sup>
        </m:sSup>
        <m:r>
          <m:rPr>
            <m:sty m:val="p"/>
          </m:rPr>
          <m:t>(</m:t>
        </m:r>
        <m:r>
          <m:t>4</m:t>
        </m:r>
        <m:r>
          <m:rPr>
            <m:sty m:val="p"/>
          </m:rPr>
          <m:t>)</m:t>
        </m:r>
        <m:r>
          <m:rPr>
            <m:sty m:val="p"/>
          </m:rPr>
          <m:t>=</m:t>
        </m:r>
        <m:r>
          <m:t>23.84</m:t>
        </m:r>
      </m:oMath>
      <w:r>
        <w:t xml:space="preserve">,</w:t>
      </w:r>
      <w:r>
        <w:t xml:space="preserve"> </w:t>
      </w:r>
      <m:oMath>
        <m:r>
          <m:t>p</m:t>
        </m:r>
        <m:r>
          <m:rPr>
            <m:sty m:val="p"/>
          </m:rPr>
          <m:t>=</m:t>
        </m:r>
        <m:r>
          <m:t>0.0001</m:t>
        </m:r>
      </m:oMath>
      <w:r>
        <w:t xml:space="preserve">) rechazan la hipótesis nula al 1%. Los efectos fijos (FE) son el estimador consistente para estas particiones.</w:t>
      </w:r>
    </w:p>
    <w:p>
      <w:pPr>
        <w:pStyle w:val="BodyText"/>
      </w:pPr>
      <w:r>
        <w:t xml:space="preserve">La presencia de autocorrelación serial (prueba de Wooldridge:</w:t>
      </w:r>
      <w:r>
        <w:t xml:space="preserve"> </w:t>
      </w:r>
      <m:oMath>
        <m:r>
          <m:t>F</m:t>
        </m:r>
        <m:r>
          <m:rPr>
            <m:sty m:val="p"/>
          </m:rPr>
          <m:t>(</m:t>
        </m:r>
        <m:r>
          <m:t>1</m:t>
        </m:r>
        <m:r>
          <m:rPr>
            <m:sty m:val="p"/>
          </m:rPr>
          <m:t>,</m:t>
        </m:r>
        <m:r>
          <m:t>9</m:t>
        </m:r>
        <m:r>
          <m:rPr>
            <m:sty m:val="p"/>
          </m:rPr>
          <m:t>)</m:t>
        </m:r>
        <m:r>
          <m:rPr>
            <m:sty m:val="p"/>
          </m:rPr>
          <m:t>=</m:t>
        </m:r>
        <m:r>
          <m:t>137.88</m:t>
        </m:r>
      </m:oMath>
      <w:r>
        <w:t xml:space="preserve">,</w:t>
      </w:r>
      <w:r>
        <w:t xml:space="preserve"> </w:t>
      </w:r>
      <m:oMath>
        <m:r>
          <m:t>p</m:t>
        </m:r>
        <m:r>
          <m:rPr>
            <m:sty m:val="p"/>
          </m:rPr>
          <m:t>&lt;</m:t>
        </m:r>
        <m:r>
          <m:t>0.0001</m:t>
        </m:r>
      </m:oMath>
      <w:r>
        <w:t xml:space="preserve">) y heterocedasticidad grupal (prueba de Wald:</w:t>
      </w:r>
      <w:r>
        <w:t xml:space="preserve"> </w:t>
      </w:r>
      <m:oMath>
        <m:sSup>
          <m:e>
            <m:r>
              <m:t>χ</m:t>
            </m:r>
          </m:e>
          <m:sup>
            <m:r>
              <m:t>2</m:t>
            </m:r>
          </m:sup>
        </m:sSup>
        <m:r>
          <m:rPr>
            <m:sty m:val="p"/>
          </m:rPr>
          <m:t>(</m:t>
        </m:r>
        <m:r>
          <m:t>10</m:t>
        </m:r>
        <m:r>
          <m:rPr>
            <m:sty m:val="p"/>
          </m:rPr>
          <m:t>)</m:t>
        </m:r>
        <m:r>
          <m:rPr>
            <m:sty m:val="p"/>
          </m:rPr>
          <m:t>=</m:t>
        </m:r>
        <m:r>
          <m:t>673.44</m:t>
        </m:r>
      </m:oMath>
      <w:r>
        <w:t xml:space="preserve">,</w:t>
      </w:r>
      <w:r>
        <w:t xml:space="preserve"> </w:t>
      </w:r>
      <m:oMath>
        <m:r>
          <m:t>p</m:t>
        </m:r>
        <m:r>
          <m:rPr>
            <m:sty m:val="p"/>
          </m:rPr>
          <m:t>&lt;</m:t>
        </m:r>
        <m:r>
          <m:t>0.0001</m:t>
        </m:r>
      </m:oMath>
      <w:r>
        <w:t xml:space="preserve">) invalida la eficiencia de los estimadores estándar. Los Mínimos Cuadrados Generalizados Factibles (FGLS) corrigen estas deficiencias. La</w:t>
      </w:r>
      <w:r>
        <w:t xml:space="preserve"> </w:t>
      </w:r>
      <w:hyperlink w:anchor="tbl-regression-groups">
        <w:r>
          <w:rPr>
            <w:rStyle w:val="Hyperlink"/>
          </w:rPr>
          <w:t xml:space="preserve">Tabla 9</w:t>
        </w:r>
      </w:hyperlink>
      <w:r>
        <w:t xml:space="preserve"> </w:t>
      </w:r>
      <w:r>
        <w:t xml:space="preserve">detalla las estimaciones con estructura autorregresiva común AR(1) y varianzas heterocedásticas interindividuales:</w:t>
      </w:r>
    </w:p>
    <w:tbl>
      <w:tblPr>
        <w:tblStyle w:val="Table"/>
        <w:tblW w:type="pct" w:w="5000"/>
        <w:tblLayout w:type="fixed"/>
        <w:tblLook w:firstRow="0" w:lastRow="0" w:firstColumn="0" w:lastColumn="0" w:noHBand="0" w:noVBand="0" w:val="0000"/>
      </w:tblPr>
      <w:tblGrid>
        <w:gridCol w:w="7920"/>
      </w:tblGrid>
      <w:tr>
        <w:tc>
          <w:tcPr/>
          <w:bookmarkStart w:id="38" w:name="tbl-regression-groups"/>
          <w:p>
            <w:pPr>
              <w:jc w:val="center"/>
            </w:pPr>
            <w:pPr>
              <w:jc w:val="left"/>
              <w:spacing w:before="200"/>
              <w:pStyle w:val="ImageCaption"/>
            </w:pPr>
            <w:r>
              <w:t xml:space="preserve">Tabla 9: Resultados Comparativos de Mínimos Cuadrados Generalizados Factibles (FGLS)</w:t>
            </w:r>
          </w:p>
          <w:tbl>
            <w:tblPr>
              <w:tblStyle w:val="Table"/>
              <w:tblW w:type="pct" w:w="5000"/>
              <w:tblLayout w:type="fixed"/>
              <w:tblLook w:firstRow="1" w:lastRow="0" w:firstColumn="0" w:lastColumn="0" w:noHBand="0" w:noVBand="0" w:val="0020"/>
            </w:tblPr>
            <w:tblGrid>
              <w:gridCol w:w="1667"/>
              <w:gridCol w:w="2084"/>
              <w:gridCol w:w="2084"/>
              <w:gridCol w:w="2084"/>
            </w:tblGrid>
            <w:tr>
              <w:trPr>
                <w:tblHeader w:val="on"/>
              </w:trPr>
              <w:tc>
                <w:tcPr/>
                <w:p>
                  <w:pPr>
                    <w:pStyle w:val="Compact"/>
                    <w:jc w:val="left"/>
                    <w:jc w:val="center"/>
                  </w:pPr>
                  <w:r>
                    <w:t xml:space="preserve">Regresor</w:t>
                  </w:r>
                </w:p>
              </w:tc>
              <w:tc>
                <w:tcPr/>
                <w:p>
                  <w:pPr>
                    <w:pStyle w:val="Compact"/>
                    <w:jc w:val="center"/>
                    <w:jc w:val="center"/>
                  </w:pPr>
                  <w:r>
                    <w:t xml:space="preserve">FGLS Global</w:t>
                  </w:r>
                </w:p>
              </w:tc>
              <w:tc>
                <w:tcPr/>
                <w:p>
                  <w:pPr>
                    <w:pStyle w:val="Compact"/>
                    <w:jc w:val="center"/>
                    <w:jc w:val="center"/>
                  </w:pPr>
                  <w:r>
                    <w:t xml:space="preserve">FGLS Hidrocarburos</w:t>
                  </w:r>
                </w:p>
              </w:tc>
              <w:tc>
                <w:tcPr/>
                <w:p>
                  <w:pPr>
                    <w:pStyle w:val="Compact"/>
                    <w:jc w:val="center"/>
                    <w:jc w:val="center"/>
                  </w:pPr>
                  <w:r>
                    <w:t xml:space="preserve">FGLS Minero-Agropecuario</w:t>
                  </w:r>
                </w:p>
              </w:tc>
            </w:tr>
            <w:tr>
              <w:tc>
                <w:tcPr/>
                <w:p>
                  <w:pPr>
                    <w:pStyle w:val="Compact"/>
                    <w:jc w:val="left"/>
                    <w:jc w:val="center"/>
                  </w:pPr>
                  <w:r>
                    <w:rPr>
                      <w:rStyle w:val="VerbatimChar"/>
                      <w:b/>
                      <w:bCs/>
                    </w:rPr>
                    <w:t xml:space="preserve">log_PF</w:t>
                  </w:r>
                </w:p>
              </w:tc>
              <w:tc>
                <w:tcPr/>
                <w:p>
                  <w:pPr>
                    <w:pStyle w:val="Compact"/>
                    <w:jc w:val="center"/>
                    <w:jc w:val="center"/>
                  </w:pPr>
                  <m:oMath>
                    <m:sSup>
                      <m:e>
                        <m:r>
                          <m:t>1.406</m:t>
                        </m:r>
                      </m:e>
                      <m:sup>
                        <m:r>
                          <m:rPr>
                            <m:sty m:val="p"/>
                          </m:rPr>
                          <m:t>*</m:t>
                        </m:r>
                        <m:r>
                          <m:rPr>
                            <m:sty m:val="p"/>
                          </m:rPr>
                          <m:t>*</m:t>
                        </m:r>
                        <m:r>
                          <m:rPr>
                            <m:sty m:val="p"/>
                          </m:rPr>
                          <m:t>*</m:t>
                        </m:r>
                      </m:sup>
                    </m:sSup>
                  </m:oMath>
                </w:p>
              </w:tc>
              <w:tc>
                <w:tcPr/>
                <w:p>
                  <w:pPr>
                    <w:pStyle w:val="Compact"/>
                    <w:jc w:val="center"/>
                    <w:jc w:val="center"/>
                  </w:pPr>
                  <m:oMath>
                    <m:sSup>
                      <m:e>
                        <m:r>
                          <m:t>1.879</m:t>
                        </m:r>
                      </m:e>
                      <m:sup>
                        <m:r>
                          <m:rPr>
                            <m:sty m:val="p"/>
                          </m:rPr>
                          <m:t>*</m:t>
                        </m:r>
                        <m:r>
                          <m:rPr>
                            <m:sty m:val="p"/>
                          </m:rPr>
                          <m:t>*</m:t>
                        </m:r>
                        <m:r>
                          <m:rPr>
                            <m:sty m:val="p"/>
                          </m:rPr>
                          <m:t>*</m:t>
                        </m:r>
                      </m:sup>
                    </m:sSup>
                  </m:oMath>
                </w:p>
              </w:tc>
              <w:tc>
                <w:tcPr/>
                <w:p>
                  <w:pPr>
                    <w:pStyle w:val="Compact"/>
                    <w:jc w:val="center"/>
                    <w:jc w:val="center"/>
                  </w:pPr>
                  <m:oMath>
                    <m:sSup>
                      <m:e>
                        <m:r>
                          <m:t>1.193</m:t>
                        </m:r>
                      </m:e>
                      <m:sup>
                        <m:r>
                          <m:rPr>
                            <m:sty m:val="p"/>
                          </m:rPr>
                          <m:t>*</m:t>
                        </m:r>
                        <m:r>
                          <m:rPr>
                            <m:sty m:val="p"/>
                          </m:rPr>
                          <m:t>*</m:t>
                        </m:r>
                        <m:r>
                          <m:rPr>
                            <m:sty m:val="p"/>
                          </m:rPr>
                          <m:t>*</m:t>
                        </m:r>
                      </m:sup>
                    </m:sSup>
                  </m:oMath>
                </w:p>
              </w:tc>
            </w:tr>
            <w:tr>
              <w:tc>
                <w:tcPr/>
                <w:p>
                  <w:pPr>
                    <w:pStyle w:val="Compact"/>
                  </w:pPr>
                </w:p>
              </w:tc>
              <w:tc>
                <w:tcPr/>
                <w:p>
                  <w:pPr>
                    <w:pStyle w:val="Compact"/>
                    <w:jc w:val="center"/>
                    <w:jc w:val="center"/>
                  </w:pPr>
                  <m:oMath>
                    <m:r>
                      <m:rPr>
                        <m:sty m:val="p"/>
                      </m:rPr>
                      <m:t>(</m:t>
                    </m:r>
                    <m:r>
                      <m:t>0.298</m:t>
                    </m:r>
                    <m:r>
                      <m:rPr>
                        <m:sty m:val="p"/>
                      </m:rPr>
                      <m:t>)</m:t>
                    </m:r>
                  </m:oMath>
                </w:p>
              </w:tc>
              <w:tc>
                <w:tcPr/>
                <w:p>
                  <w:pPr>
                    <w:pStyle w:val="Compact"/>
                    <w:jc w:val="center"/>
                    <w:jc w:val="center"/>
                  </w:pPr>
                  <m:oMath>
                    <m:r>
                      <m:rPr>
                        <m:sty m:val="p"/>
                      </m:rPr>
                      <m:t>(</m:t>
                    </m:r>
                    <m:r>
                      <m:t>0.548</m:t>
                    </m:r>
                    <m:r>
                      <m:rPr>
                        <m:sty m:val="p"/>
                      </m:rPr>
                      <m:t>)</m:t>
                    </m:r>
                  </m:oMath>
                </w:p>
              </w:tc>
              <w:tc>
                <w:tcPr/>
                <w:p>
                  <w:pPr>
                    <w:pStyle w:val="Compact"/>
                    <w:jc w:val="center"/>
                    <w:jc w:val="center"/>
                  </w:pPr>
                  <m:oMath>
                    <m:r>
                      <m:rPr>
                        <m:sty m:val="p"/>
                      </m:rPr>
                      <m:t>(</m:t>
                    </m:r>
                    <m:r>
                      <m:t>0.338</m:t>
                    </m:r>
                    <m:r>
                      <m:rPr>
                        <m:sty m:val="p"/>
                      </m:rPr>
                      <m:t>)</m:t>
                    </m:r>
                  </m:oMath>
                </w:p>
              </w:tc>
            </w:tr>
            <w:tr>
              <w:tc>
                <w:tcPr/>
                <w:p>
                  <w:pPr>
                    <w:pStyle w:val="Compact"/>
                    <w:jc w:val="left"/>
                    <w:jc w:val="center"/>
                  </w:pPr>
                  <w:r>
                    <w:rPr>
                      <w:rStyle w:val="VerbatimChar"/>
                      <w:b/>
                      <w:bCs/>
                    </w:rPr>
                    <w:t xml:space="preserve">log_IE</w:t>
                  </w:r>
                </w:p>
              </w:tc>
              <w:tc>
                <w:tcPr/>
                <w:p>
                  <w:pPr>
                    <w:pStyle w:val="Compact"/>
                    <w:jc w:val="center"/>
                    <w:jc w:val="center"/>
                  </w:pPr>
                  <m:oMath>
                    <m:r>
                      <m:rPr>
                        <m:sty m:val="p"/>
                      </m:rPr>
                      <m:t>−</m:t>
                    </m:r>
                    <m:sSup>
                      <m:e>
                        <m:r>
                          <m:t>0.504</m:t>
                        </m:r>
                      </m:e>
                      <m:sup>
                        <m:r>
                          <m:rPr>
                            <m:sty m:val="p"/>
                          </m:rPr>
                          <m:t>*</m:t>
                        </m:r>
                        <m:r>
                          <m:rPr>
                            <m:sty m:val="p"/>
                          </m:rPr>
                          <m:t>*</m:t>
                        </m:r>
                        <m:r>
                          <m:rPr>
                            <m:sty m:val="p"/>
                          </m:rPr>
                          <m:t>*</m:t>
                        </m:r>
                      </m:sup>
                    </m:sSup>
                  </m:oMath>
                </w:p>
              </w:tc>
              <w:tc>
                <w:tcPr/>
                <w:p>
                  <w:pPr>
                    <w:pStyle w:val="Compact"/>
                    <w:jc w:val="center"/>
                    <w:jc w:val="center"/>
                  </w:pPr>
                  <m:oMath>
                    <m:r>
                      <m:rPr>
                        <m:sty m:val="p"/>
                      </m:rPr>
                      <m:t>−</m:t>
                    </m:r>
                    <m:r>
                      <m:t>0.228</m:t>
                    </m:r>
                  </m:oMath>
                </w:p>
              </w:tc>
              <w:tc>
                <w:tcPr/>
                <w:p>
                  <w:pPr>
                    <w:pStyle w:val="Compact"/>
                    <w:jc w:val="center"/>
                    <w:jc w:val="center"/>
                  </w:pPr>
                  <m:oMath>
                    <m:r>
                      <m:rPr>
                        <m:sty m:val="p"/>
                      </m:rPr>
                      <m:t>−</m:t>
                    </m:r>
                    <m:r>
                      <m:t>0.223</m:t>
                    </m:r>
                  </m:oMath>
                </w:p>
              </w:tc>
            </w:tr>
            <w:tr>
              <w:tc>
                <w:tcPr/>
                <w:p>
                  <w:pPr>
                    <w:pStyle w:val="Compact"/>
                  </w:pPr>
                </w:p>
              </w:tc>
              <w:tc>
                <w:tcPr/>
                <w:p>
                  <w:pPr>
                    <w:pStyle w:val="Compact"/>
                    <w:jc w:val="center"/>
                    <w:jc w:val="center"/>
                  </w:pPr>
                  <m:oMath>
                    <m:r>
                      <m:rPr>
                        <m:sty m:val="p"/>
                      </m:rPr>
                      <m:t>(</m:t>
                    </m:r>
                    <m:r>
                      <m:t>0.160</m:t>
                    </m:r>
                    <m:r>
                      <m:rPr>
                        <m:sty m:val="p"/>
                      </m:rPr>
                      <m:t>)</m:t>
                    </m:r>
                  </m:oMath>
                </w:p>
              </w:tc>
              <w:tc>
                <w:tcPr/>
                <w:p>
                  <w:pPr>
                    <w:pStyle w:val="Compact"/>
                    <w:jc w:val="center"/>
                    <w:jc w:val="center"/>
                  </w:pPr>
                  <m:oMath>
                    <m:r>
                      <m:rPr>
                        <m:sty m:val="p"/>
                      </m:rPr>
                      <m:t>(</m:t>
                    </m:r>
                    <m:r>
                      <m:t>0.190</m:t>
                    </m:r>
                    <m:r>
                      <m:rPr>
                        <m:sty m:val="p"/>
                      </m:rPr>
                      <m:t>)</m:t>
                    </m:r>
                  </m:oMath>
                </w:p>
              </w:tc>
              <w:tc>
                <w:tcPr/>
                <w:p>
                  <w:pPr>
                    <w:pStyle w:val="Compact"/>
                    <w:jc w:val="center"/>
                    <w:jc w:val="center"/>
                  </w:pPr>
                  <m:oMath>
                    <m:r>
                      <m:rPr>
                        <m:sty m:val="p"/>
                      </m:rPr>
                      <m:t>(</m:t>
                    </m:r>
                    <m:r>
                      <m:t>0.207</m:t>
                    </m:r>
                    <m:r>
                      <m:rPr>
                        <m:sty m:val="p"/>
                      </m:rPr>
                      <m:t>)</m:t>
                    </m:r>
                  </m:oMath>
                </w:p>
              </w:tc>
            </w:tr>
            <w:tr>
              <w:tc>
                <w:tcPr/>
                <w:p>
                  <w:pPr>
                    <w:pStyle w:val="Compact"/>
                    <w:jc w:val="left"/>
                    <w:jc w:val="center"/>
                  </w:pPr>
                  <w:r>
                    <w:rPr>
                      <w:rStyle w:val="VerbatimChar"/>
                      <w:b/>
                      <w:bCs/>
                    </w:rPr>
                    <w:t xml:space="preserve">log_AN</w:t>
                  </w:r>
                </w:p>
              </w:tc>
              <w:tc>
                <w:tcPr/>
                <w:p>
                  <w:pPr>
                    <w:pStyle w:val="Compact"/>
                    <w:jc w:val="center"/>
                    <w:jc w:val="center"/>
                  </w:pPr>
                  <m:oMath>
                    <m:r>
                      <m:rPr>
                        <m:sty m:val="p"/>
                      </m:rPr>
                      <m:t>−</m:t>
                    </m:r>
                    <m:sSup>
                      <m:e>
                        <m:r>
                          <m:t>0.245</m:t>
                        </m:r>
                      </m:e>
                      <m:sup>
                        <m:r>
                          <m:rPr>
                            <m:sty m:val="p"/>
                          </m:rPr>
                          <m:t>*</m:t>
                        </m:r>
                        <m:r>
                          <m:rPr>
                            <m:sty m:val="p"/>
                          </m:rPr>
                          <m:t>*</m:t>
                        </m:r>
                      </m:sup>
                    </m:sSup>
                  </m:oMath>
                </w:p>
              </w:tc>
              <w:tc>
                <w:tcPr/>
                <w:p>
                  <w:pPr>
                    <w:pStyle w:val="Compact"/>
                    <w:jc w:val="center"/>
                    <w:jc w:val="center"/>
                  </w:pPr>
                  <m:oMath>
                    <m:r>
                      <m:rPr>
                        <m:sty m:val="p"/>
                      </m:rPr>
                      <m:t>−</m:t>
                    </m:r>
                    <m:sSup>
                      <m:e>
                        <m:r>
                          <m:t>0.969</m:t>
                        </m:r>
                      </m:e>
                      <m:sup>
                        <m:r>
                          <m:rPr>
                            <m:sty m:val="p"/>
                          </m:rPr>
                          <m:t>*</m:t>
                        </m:r>
                        <m:r>
                          <m:rPr>
                            <m:sty m:val="p"/>
                          </m:rPr>
                          <m:t>*</m:t>
                        </m:r>
                        <m:r>
                          <m:rPr>
                            <m:sty m:val="p"/>
                          </m:rPr>
                          <m:t>*</m:t>
                        </m:r>
                      </m:sup>
                    </m:sSup>
                  </m:oMath>
                </w:p>
              </w:tc>
              <w:tc>
                <w:tcPr/>
                <w:p>
                  <w:pPr>
                    <w:pStyle w:val="Compact"/>
                    <w:jc w:val="center"/>
                    <w:jc w:val="center"/>
                  </w:pPr>
                  <m:oMath>
                    <m:r>
                      <m:rPr>
                        <m:sty m:val="p"/>
                      </m:rPr>
                      <m:t>−</m:t>
                    </m:r>
                    <m:r>
                      <m:t>0.016</m:t>
                    </m:r>
                  </m:oMath>
                </w:p>
              </w:tc>
            </w:tr>
            <w:tr>
              <w:tc>
                <w:tcPr/>
                <w:p>
                  <w:pPr>
                    <w:pStyle w:val="Compact"/>
                  </w:pPr>
                </w:p>
              </w:tc>
              <w:tc>
                <w:tcPr/>
                <w:p>
                  <w:pPr>
                    <w:pStyle w:val="Compact"/>
                    <w:jc w:val="center"/>
                    <w:jc w:val="center"/>
                  </w:pPr>
                  <m:oMath>
                    <m:r>
                      <m:rPr>
                        <m:sty m:val="p"/>
                      </m:rPr>
                      <m:t>(</m:t>
                    </m:r>
                    <m:r>
                      <m:t>0.123</m:t>
                    </m:r>
                    <m:r>
                      <m:rPr>
                        <m:sty m:val="p"/>
                      </m:rPr>
                      <m:t>)</m:t>
                    </m:r>
                  </m:oMath>
                </w:p>
              </w:tc>
              <w:tc>
                <w:tcPr/>
                <w:p>
                  <w:pPr>
                    <w:pStyle w:val="Compact"/>
                    <w:jc w:val="center"/>
                    <w:jc w:val="center"/>
                  </w:pPr>
                  <m:oMath>
                    <m:r>
                      <m:rPr>
                        <m:sty m:val="p"/>
                      </m:rPr>
                      <m:t>(</m:t>
                    </m:r>
                    <m:r>
                      <m:t>0.164</m:t>
                    </m:r>
                    <m:r>
                      <m:rPr>
                        <m:sty m:val="p"/>
                      </m:rPr>
                      <m:t>)</m:t>
                    </m:r>
                  </m:oMath>
                </w:p>
              </w:tc>
              <w:tc>
                <w:tcPr/>
                <w:p>
                  <w:pPr>
                    <w:pStyle w:val="Compact"/>
                    <w:jc w:val="center"/>
                    <w:jc w:val="center"/>
                  </w:pPr>
                  <m:oMath>
                    <m:r>
                      <m:rPr>
                        <m:sty m:val="p"/>
                      </m:rPr>
                      <m:t>(</m:t>
                    </m:r>
                    <m:r>
                      <m:t>0.139</m:t>
                    </m:r>
                    <m:r>
                      <m:rPr>
                        <m:sty m:val="p"/>
                      </m:rPr>
                      <m:t>)</m:t>
                    </m:r>
                  </m:oMath>
                </w:p>
              </w:tc>
            </w:tr>
            <w:tr>
              <w:tc>
                <w:tcPr/>
                <w:p>
                  <w:pPr>
                    <w:pStyle w:val="Compact"/>
                    <w:jc w:val="left"/>
                    <w:jc w:val="center"/>
                  </w:pPr>
                  <w:r>
                    <w:rPr>
                      <w:rStyle w:val="VerbatimChar"/>
                      <w:b/>
                      <w:bCs/>
                    </w:rPr>
                    <w:t xml:space="preserve">log_RI</w:t>
                  </w:r>
                </w:p>
              </w:tc>
              <w:tc>
                <w:tcPr/>
                <w:p>
                  <w:pPr>
                    <w:pStyle w:val="Compact"/>
                    <w:jc w:val="center"/>
                    <w:jc w:val="center"/>
                  </w:pPr>
                  <m:oMath>
                    <m:r>
                      <m:rPr>
                        <m:sty m:val="p"/>
                      </m:rPr>
                      <m:t>−</m:t>
                    </m:r>
                    <m:r>
                      <m:t>0.054</m:t>
                    </m:r>
                  </m:oMath>
                </w:p>
              </w:tc>
              <w:tc>
                <w:tcPr/>
                <w:p>
                  <w:pPr>
                    <w:pStyle w:val="Compact"/>
                    <w:jc w:val="center"/>
                    <w:jc w:val="center"/>
                  </w:pPr>
                  <m:oMath>
                    <m:r>
                      <m:rPr>
                        <m:sty m:val="p"/>
                      </m:rPr>
                      <m:t>−</m:t>
                    </m:r>
                    <m:r>
                      <m:t>0.080</m:t>
                    </m:r>
                  </m:oMath>
                </w:p>
              </w:tc>
              <w:tc>
                <w:tcPr/>
                <w:p>
                  <w:pPr>
                    <w:pStyle w:val="Compact"/>
                    <w:jc w:val="center"/>
                    <w:jc w:val="center"/>
                  </w:pPr>
                  <m:oMath>
                    <m:r>
                      <m:t>0.050</m:t>
                    </m:r>
                  </m:oMath>
                </w:p>
              </w:tc>
            </w:tr>
            <w:tr>
              <w:tc>
                <w:tcPr/>
                <w:p>
                  <w:pPr>
                    <w:pStyle w:val="Compact"/>
                  </w:pPr>
                </w:p>
              </w:tc>
              <w:tc>
                <w:tcPr/>
                <w:p>
                  <w:pPr>
                    <w:pStyle w:val="Compact"/>
                    <w:jc w:val="center"/>
                    <w:jc w:val="center"/>
                  </w:pPr>
                  <m:oMath>
                    <m:r>
                      <m:rPr>
                        <m:sty m:val="p"/>
                      </m:rPr>
                      <m:t>(</m:t>
                    </m:r>
                    <m:r>
                      <m:t>0.090</m:t>
                    </m:r>
                    <m:r>
                      <m:rPr>
                        <m:sty m:val="p"/>
                      </m:rPr>
                      <m:t>)</m:t>
                    </m:r>
                  </m:oMath>
                </w:p>
              </w:tc>
              <w:tc>
                <w:tcPr/>
                <w:p>
                  <w:pPr>
                    <w:pStyle w:val="Compact"/>
                    <w:jc w:val="center"/>
                    <w:jc w:val="center"/>
                  </w:pPr>
                  <m:oMath>
                    <m:r>
                      <m:rPr>
                        <m:sty m:val="p"/>
                      </m:rPr>
                      <m:t>(</m:t>
                    </m:r>
                    <m:r>
                      <m:t>0.094</m:t>
                    </m:r>
                    <m:r>
                      <m:rPr>
                        <m:sty m:val="p"/>
                      </m:rPr>
                      <m:t>)</m:t>
                    </m:r>
                  </m:oMath>
                </w:p>
              </w:tc>
              <w:tc>
                <w:tcPr/>
                <w:p>
                  <w:pPr>
                    <w:pStyle w:val="Compact"/>
                    <w:jc w:val="center"/>
                    <w:jc w:val="center"/>
                  </w:pPr>
                  <m:oMath>
                    <m:r>
                      <m:rPr>
                        <m:sty m:val="p"/>
                      </m:rPr>
                      <m:t>(</m:t>
                    </m:r>
                    <m:r>
                      <m:t>0.122</m:t>
                    </m:r>
                    <m:r>
                      <m:rPr>
                        <m:sty m:val="p"/>
                      </m:rPr>
                      <m:t>)</m:t>
                    </m:r>
                  </m:oMath>
                </w:p>
              </w:tc>
            </w:tr>
            <w:tr>
              <w:tc>
                <w:tcPr/>
                <w:p>
                  <w:pPr>
                    <w:pStyle w:val="Compact"/>
                    <w:jc w:val="left"/>
                    <w:jc w:val="center"/>
                  </w:pPr>
                  <w:r>
                    <w:rPr>
                      <w:b/>
                      <w:bCs/>
                    </w:rPr>
                    <w:t xml:space="preserve">Constante</w:t>
                  </w:r>
                </w:p>
              </w:tc>
              <w:tc>
                <w:tcPr/>
                <w:p>
                  <w:pPr>
                    <w:pStyle w:val="Compact"/>
                    <w:jc w:val="center"/>
                    <w:jc w:val="center"/>
                  </w:pPr>
                  <m:oMath>
                    <m:r>
                      <m:t>0.539</m:t>
                    </m:r>
                  </m:oMath>
                </w:p>
              </w:tc>
              <w:tc>
                <w:tcPr/>
                <w:p>
                  <w:pPr>
                    <w:pStyle w:val="Compact"/>
                    <w:jc w:val="center"/>
                    <w:jc w:val="center"/>
                  </w:pPr>
                  <m:oMath>
                    <m:r>
                      <m:t>1.355</m:t>
                    </m:r>
                  </m:oMath>
                </w:p>
              </w:tc>
              <w:tc>
                <w:tcPr/>
                <w:p>
                  <w:pPr>
                    <w:pStyle w:val="Compact"/>
                    <w:jc w:val="center"/>
                    <w:jc w:val="center"/>
                  </w:pPr>
                  <m:oMath>
                    <m:r>
                      <m:rPr>
                        <m:sty m:val="p"/>
                      </m:rPr>
                      <m:t>−</m:t>
                    </m:r>
                    <m:r>
                      <m:t>1.274</m:t>
                    </m:r>
                  </m:oMath>
                </w:p>
              </w:tc>
            </w:tr>
            <w:tr>
              <w:tc>
                <w:tcPr/>
                <w:p>
                  <w:pPr>
                    <w:pStyle w:val="Compact"/>
                  </w:pPr>
                </w:p>
              </w:tc>
              <w:tc>
                <w:tcPr/>
                <w:p>
                  <w:pPr>
                    <w:pStyle w:val="Compact"/>
                    <w:jc w:val="center"/>
                    <w:jc w:val="center"/>
                  </w:pPr>
                  <m:oMath>
                    <m:r>
                      <m:rPr>
                        <m:sty m:val="p"/>
                      </m:rPr>
                      <m:t>(</m:t>
                    </m:r>
                    <m:r>
                      <m:t>1.084</m:t>
                    </m:r>
                    <m:r>
                      <m:rPr>
                        <m:sty m:val="p"/>
                      </m:rPr>
                      <m:t>)</m:t>
                    </m:r>
                  </m:oMath>
                </w:p>
              </w:tc>
              <w:tc>
                <w:tcPr/>
                <w:p>
                  <w:pPr>
                    <w:pStyle w:val="Compact"/>
                    <w:jc w:val="center"/>
                    <w:jc w:val="center"/>
                  </w:pPr>
                  <m:oMath>
                    <m:r>
                      <m:rPr>
                        <m:sty m:val="p"/>
                      </m:rPr>
                      <m:t>(</m:t>
                    </m:r>
                    <m:r>
                      <m:t>1.531</m:t>
                    </m:r>
                    <m:r>
                      <m:rPr>
                        <m:sty m:val="p"/>
                      </m:rPr>
                      <m:t>)</m:t>
                    </m:r>
                  </m:oMath>
                </w:p>
              </w:tc>
              <w:tc>
                <w:tcPr/>
                <w:p>
                  <w:pPr>
                    <w:pStyle w:val="Compact"/>
                    <w:jc w:val="center"/>
                    <w:jc w:val="center"/>
                  </w:pPr>
                  <m:oMath>
                    <m:r>
                      <m:rPr>
                        <m:sty m:val="p"/>
                      </m:rPr>
                      <m:t>(</m:t>
                    </m:r>
                    <m:r>
                      <m:t>1.274</m:t>
                    </m:r>
                    <m:r>
                      <m:rPr>
                        <m:sty m:val="p"/>
                      </m:rPr>
                      <m:t>)</m:t>
                    </m:r>
                  </m:oMath>
                </w:p>
              </w:tc>
            </w:tr>
            <w:tr>
              <w:tc>
                <w:tcPr/>
                <w:p>
                  <w:pPr>
                    <w:pStyle w:val="Compact"/>
                    <w:jc w:val="left"/>
                    <w:jc w:val="center"/>
                  </w:pPr>
                  <w:r>
                    <w:rPr>
                      <w:b/>
                      <w:bCs/>
                    </w:rPr>
                    <w:t xml:space="preserve">Observaciones</w:t>
                  </w:r>
                </w:p>
              </w:tc>
              <w:tc>
                <w:tcPr/>
                <w:p>
                  <w:pPr>
                    <w:pStyle w:val="Compact"/>
                    <w:jc w:val="center"/>
                    <w:jc w:val="center"/>
                  </w:pPr>
                  <w:r>
                    <w:t xml:space="preserve">230</w:t>
                  </w:r>
                </w:p>
              </w:tc>
              <w:tc>
                <w:tcPr/>
                <w:p>
                  <w:pPr>
                    <w:pStyle w:val="Compact"/>
                    <w:jc w:val="center"/>
                    <w:jc w:val="center"/>
                  </w:pPr>
                  <w:r>
                    <w:t xml:space="preserve">92</w:t>
                  </w:r>
                </w:p>
              </w:tc>
              <w:tc>
                <w:tcPr/>
                <w:p>
                  <w:pPr>
                    <w:pStyle w:val="Compact"/>
                    <w:jc w:val="center"/>
                    <w:jc w:val="center"/>
                  </w:pPr>
                  <w:r>
                    <w:t xml:space="preserve">138</w:t>
                  </w:r>
                </w:p>
              </w:tc>
            </w:tr>
            <w:tr>
              <w:tc>
                <w:tcPr/>
                <w:p>
                  <w:pPr>
                    <w:pStyle w:val="Compact"/>
                    <w:jc w:val="left"/>
                    <w:jc w:val="center"/>
                  </w:pPr>
                  <w:r>
                    <w:rPr>
                      <w:b/>
                      <w:bCs/>
                    </w:rPr>
                    <w:t xml:space="preserve">Países</w:t>
                  </w:r>
                </w:p>
              </w:tc>
              <w:tc>
                <w:tcPr/>
                <w:p>
                  <w:pPr>
                    <w:pStyle w:val="Compact"/>
                    <w:jc w:val="center"/>
                    <w:jc w:val="center"/>
                  </w:pPr>
                  <w:r>
                    <w:t xml:space="preserve">10</w:t>
                  </w:r>
                </w:p>
              </w:tc>
              <w:tc>
                <w:tcPr/>
                <w:p>
                  <w:pPr>
                    <w:pStyle w:val="Compact"/>
                    <w:jc w:val="center"/>
                    <w:jc w:val="center"/>
                  </w:pPr>
                  <w:r>
                    <w:t xml:space="preserve">4</w:t>
                  </w:r>
                </w:p>
              </w:tc>
              <w:tc>
                <w:tcPr/>
                <w:p>
                  <w:pPr>
                    <w:pStyle w:val="Compact"/>
                    <w:jc w:val="center"/>
                    <w:jc w:val="center"/>
                  </w:pPr>
                  <w:r>
                    <w:t xml:space="preserve">6</w:t>
                  </w:r>
                </w:p>
              </w:tc>
            </w:tr>
            <w:tr>
              <w:tc>
                <w:tcPr/>
                <w:p>
                  <w:pPr>
                    <w:pStyle w:val="Compact"/>
                    <w:jc w:val="left"/>
                    <w:jc w:val="center"/>
                  </w:pPr>
                  <w:r>
                    <w:rPr>
                      <w:b/>
                      <w:bCs/>
                    </w:rPr>
                    <w:t xml:space="preserve">Wald</w:t>
                  </w:r>
                  <w:r>
                    <w:rPr>
                      <w:b/>
                      <w:bCs/>
                    </w:rPr>
                    <w:t xml:space="preserve"> </w:t>
                  </w:r>
                  <m:oMath>
                    <m:sSup>
                      <m:e>
                        <m:r>
                          <m:t>χ</m:t>
                        </m:r>
                      </m:e>
                      <m:sup>
                        <m:r>
                          <m:t>2</m:t>
                        </m:r>
                      </m:sup>
                    </m:sSup>
                  </m:oMath>
                </w:p>
              </w:tc>
              <w:tc>
                <w:tcPr/>
                <w:p>
                  <w:pPr>
                    <w:pStyle w:val="Compact"/>
                    <w:jc w:val="center"/>
                    <w:jc w:val="center"/>
                  </w:pPr>
                  <m:oMath>
                    <m:sSup>
                      <m:e>
                        <m:r>
                          <m:t>χ</m:t>
                        </m:r>
                      </m:e>
                      <m:sup>
                        <m:r>
                          <m:t>2</m:t>
                        </m:r>
                      </m:sup>
                    </m:sSup>
                    <m:r>
                      <m:rPr>
                        <m:sty m:val="p"/>
                      </m:rPr>
                      <m:t>(</m:t>
                    </m:r>
                    <m:r>
                      <m:t>4</m:t>
                    </m:r>
                    <m:r>
                      <m:rPr>
                        <m:sty m:val="p"/>
                      </m:rPr>
                      <m:t>)</m:t>
                    </m:r>
                    <m:r>
                      <m:rPr>
                        <m:sty m:val="p"/>
                      </m:rPr>
                      <m:t>=</m:t>
                    </m:r>
                    <m:sSup>
                      <m:e>
                        <m:r>
                          <m:t>61.49</m:t>
                        </m:r>
                      </m:e>
                      <m:sup>
                        <m:r>
                          <m:rPr>
                            <m:sty m:val="p"/>
                          </m:rPr>
                          <m:t>*</m:t>
                        </m:r>
                        <m:r>
                          <m:rPr>
                            <m:sty m:val="p"/>
                          </m:rPr>
                          <m:t>*</m:t>
                        </m:r>
                        <m:r>
                          <m:rPr>
                            <m:sty m:val="p"/>
                          </m:rPr>
                          <m:t>*</m:t>
                        </m:r>
                      </m:sup>
                    </m:sSup>
                  </m:oMath>
                </w:p>
              </w:tc>
              <w:tc>
                <w:tcPr/>
                <w:p>
                  <w:pPr>
                    <w:pStyle w:val="Compact"/>
                    <w:jc w:val="center"/>
                    <w:jc w:val="center"/>
                  </w:pPr>
                  <m:oMath>
                    <m:sSup>
                      <m:e>
                        <m:r>
                          <m:t>χ</m:t>
                        </m:r>
                      </m:e>
                      <m:sup>
                        <m:r>
                          <m:t>2</m:t>
                        </m:r>
                      </m:sup>
                    </m:sSup>
                    <m:r>
                      <m:rPr>
                        <m:sty m:val="p"/>
                      </m:rPr>
                      <m:t>(</m:t>
                    </m:r>
                    <m:r>
                      <m:t>4</m:t>
                    </m:r>
                    <m:r>
                      <m:rPr>
                        <m:sty m:val="p"/>
                      </m:rPr>
                      <m:t>)</m:t>
                    </m:r>
                    <m:r>
                      <m:rPr>
                        <m:sty m:val="p"/>
                      </m:rPr>
                      <m:t>=</m:t>
                    </m:r>
                    <m:sSup>
                      <m:e>
                        <m:r>
                          <m:t>52.99</m:t>
                        </m:r>
                      </m:e>
                      <m:sup>
                        <m:r>
                          <m:rPr>
                            <m:sty m:val="p"/>
                          </m:rPr>
                          <m:t>*</m:t>
                        </m:r>
                        <m:r>
                          <m:rPr>
                            <m:sty m:val="p"/>
                          </m:rPr>
                          <m:t>*</m:t>
                        </m:r>
                        <m:r>
                          <m:rPr>
                            <m:sty m:val="p"/>
                          </m:rPr>
                          <m:t>*</m:t>
                        </m:r>
                      </m:sup>
                    </m:sSup>
                  </m:oMath>
                </w:p>
              </w:tc>
              <w:tc>
                <w:tcPr/>
                <w:p>
                  <w:pPr>
                    <w:pStyle w:val="Compact"/>
                    <w:jc w:val="center"/>
                    <w:jc w:val="center"/>
                  </w:pPr>
                  <m:oMath>
                    <m:sSup>
                      <m:e>
                        <m:r>
                          <m:t>χ</m:t>
                        </m:r>
                      </m:e>
                      <m:sup>
                        <m:r>
                          <m:t>2</m:t>
                        </m:r>
                      </m:sup>
                    </m:sSup>
                    <m:r>
                      <m:rPr>
                        <m:sty m:val="p"/>
                      </m:rPr>
                      <m:t>(</m:t>
                    </m:r>
                    <m:r>
                      <m:t>4</m:t>
                    </m:r>
                    <m:r>
                      <m:rPr>
                        <m:sty m:val="p"/>
                      </m:rPr>
                      <m:t>)</m:t>
                    </m:r>
                    <m:r>
                      <m:rPr>
                        <m:sty m:val="p"/>
                      </m:rPr>
                      <m:t>=</m:t>
                    </m:r>
                    <m:sSup>
                      <m:e>
                        <m:r>
                          <m:t>20.16</m:t>
                        </m:r>
                      </m:e>
                      <m:sup>
                        <m:r>
                          <m:rPr>
                            <m:sty m:val="p"/>
                          </m:rPr>
                          <m:t>*</m:t>
                        </m:r>
                        <m:r>
                          <m:rPr>
                            <m:sty m:val="p"/>
                          </m:rPr>
                          <m:t>*</m:t>
                        </m:r>
                        <m:r>
                          <m:rPr>
                            <m:sty m:val="p"/>
                          </m:rPr>
                          <m:t>*</m:t>
                        </m:r>
                      </m:sup>
                    </m:sSup>
                  </m:oMath>
                </w:p>
              </w:tc>
            </w:tr>
          </w:tbl>
          <w:bookmarkEnd w:id="38"/>
          <w:p/>
        </w:tc>
      </w:tr>
    </w:tbl>
    <w:bookmarkEnd w:id="39"/>
    <w:bookmarkStart w:id="40" w:name="análisis-de-elasticidades"/>
    <w:p>
      <w:pPr>
        <w:pStyle w:val="Heading3"/>
      </w:pPr>
      <w:r>
        <w:t xml:space="preserve">6.2.3 Análisis de Elasticidades</w:t>
      </w:r>
    </w:p>
    <w:p>
      <w:pPr>
        <w:pStyle w:val="FirstParagraph"/>
      </w:pPr>
      <w:r>
        <w:t xml:space="preserve">Los ingresos impositivos (</w:t>
      </w:r>
      <w:r>
        <w:rPr>
          <w:rStyle w:val="VerbatimChar"/>
        </w:rPr>
        <w:t xml:space="preserve">log_PF</w:t>
      </w:r>
      <w:r>
        <w:t xml:space="preserve">) incrementan la dependencia de rentas extractivas en todas las estimaciones. Este efecto es positivo y significativo. La magnitud del coeficiente es superior en el subgrupo de Hidrocarburos (</w:t>
      </w:r>
      <m:oMath>
        <m:r>
          <m:t>β</m:t>
        </m:r>
        <m:r>
          <m:rPr>
            <m:sty m:val="p"/>
          </m:rPr>
          <m:t>=</m:t>
        </m:r>
        <m:r>
          <m:t>1.88</m:t>
        </m:r>
      </m:oMath>
      <w:r>
        <w:t xml:space="preserve">) frente al Minero-Agropecuario (</w:t>
      </w:r>
      <m:oMath>
        <m:r>
          <m:t>β</m:t>
        </m:r>
        <m:r>
          <m:rPr>
            <m:sty m:val="p"/>
          </m:rPr>
          <m:t>=</m:t>
        </m:r>
        <m:r>
          <m:t>1.19</m:t>
        </m:r>
      </m:oMath>
      <w:r>
        <w:t xml:space="preserve">). El resultado expone la vulnerabilidad de las finanzas públicas ante las oscilaciones de las rentas energéticas.</w:t>
      </w:r>
    </w:p>
    <w:p>
      <w:pPr>
        <w:pStyle w:val="BodyText"/>
      </w:pPr>
      <w:r>
        <w:t xml:space="preserve">La inversión extranjera directa (</w:t>
      </w:r>
      <w:r>
        <w:rPr>
          <w:rStyle w:val="VerbatimChar"/>
        </w:rPr>
        <w:t xml:space="preserve">log_IE</w:t>
      </w:r>
      <w:r>
        <w:t xml:space="preserve">) reduce la dependencia global (</w:t>
      </w:r>
      <m:oMath>
        <m:r>
          <m:t>β</m:t>
        </m:r>
        <m:r>
          <m:rPr>
            <m:sty m:val="p"/>
          </m:rPr>
          <m:t>=</m:t>
        </m:r>
        <m:r>
          <m:rPr>
            <m:sty m:val="p"/>
          </m:rPr>
          <m:t>−</m:t>
        </m:r>
        <m:r>
          <m:t>0.50</m:t>
        </m:r>
      </m:oMath>
      <w:r>
        <w:t xml:space="preserve">). Sin embargo, su efecto pierde significancia estadística en las estimaciones por subgrupos FGLS. Este comportamiento sugiere que el impacto diversificador del capital externo depende de factores específicos del sector receptor.</w:t>
      </w:r>
    </w:p>
    <w:p>
      <w:pPr>
        <w:pStyle w:val="BodyText"/>
      </w:pPr>
      <w:r>
        <w:t xml:space="preserve">El crédito privado (</w:t>
      </w:r>
      <w:r>
        <w:rPr>
          <w:rStyle w:val="VerbatimChar"/>
        </w:rPr>
        <w:t xml:space="preserve">log_AN</w:t>
      </w:r>
      <w:r>
        <w:t xml:space="preserve">) actúa de forma heterogénea. En las economías de Hidrocarburos, la profundización financiera reduce la dependencia de rentas extractivas (</w:t>
      </w:r>
      <m:oMath>
        <m:r>
          <m:t>β</m:t>
        </m:r>
        <m:r>
          <m:rPr>
            <m:sty m:val="p"/>
          </m:rPr>
          <m:t>=</m:t>
        </m:r>
        <m:r>
          <m:rPr>
            <m:sty m:val="p"/>
          </m:rPr>
          <m:t>−</m:t>
        </m:r>
        <m:r>
          <m:t>0.97</m:t>
        </m:r>
      </m:oMath>
      <w:r>
        <w:t xml:space="preserve">,</w:t>
      </w:r>
      <w:r>
        <w:t xml:space="preserve"> </w:t>
      </w:r>
      <m:oMath>
        <m:r>
          <m:t>p</m:t>
        </m:r>
        <m:r>
          <m:rPr>
            <m:sty m:val="p"/>
          </m:rPr>
          <m:t>&lt;</m:t>
        </m:r>
        <m:r>
          <m:t>0.01</m:t>
        </m:r>
      </m:oMath>
      <w:r>
        <w:t xml:space="preserve">). El resultado valida el rol del crédito como amortiguador de liquidez macroeconómica. En contraste, el coeficiente no es significativo en el grupo Minero-Agropecuario.</w:t>
      </w:r>
    </w:p>
    <w:p>
      <w:pPr>
        <w:pStyle w:val="BodyText"/>
      </w:pPr>
      <w:r>
        <w:t xml:space="preserve">La acumulación de reservas internacionales (</w:t>
      </w:r>
      <w:r>
        <w:rPr>
          <w:rStyle w:val="VerbatimChar"/>
        </w:rPr>
        <w:t xml:space="preserve">log_RI</w:t>
      </w:r>
      <w:r>
        <w:t xml:space="preserve">) carece de significancia estadística bajo estimadores FGLS. La liquidez externa no mitiga directamente la dependencia extractiva. La política tributaria y el desarrollo financiero local representan los canales de transmisión preponderantes.</w:t>
      </w:r>
    </w:p>
    <w:bookmarkEnd w:id="40"/>
    <w:bookmarkEnd w:id="41"/>
    <w:bookmarkEnd w:id="42"/>
    <w:bookmarkStart w:id="45" w:name="conclusiones-y-limitaciones"/>
    <w:p>
      <w:pPr>
        <w:pStyle w:val="Heading1"/>
      </w:pPr>
      <w:r>
        <w:t xml:space="preserve">7. Conclusiones y Limitaciones</w:t>
      </w:r>
    </w:p>
    <w:bookmarkStart w:id="43" w:name="conclusiones"/>
    <w:p>
      <w:pPr>
        <w:pStyle w:val="Heading2"/>
      </w:pPr>
      <w:r>
        <w:t xml:space="preserve">7.1 Conclusiones</w:t>
      </w:r>
    </w:p>
    <w:p>
      <w:pPr>
        <w:pStyle w:val="FirstParagraph"/>
      </w:pPr>
      <w:r>
        <w:t xml:space="preserve">El análisis empírico fiscal y financiero de la dependencia extractiva en América del Sur genera dos conclusiones.</w:t>
      </w:r>
    </w:p>
    <w:p>
      <w:pPr>
        <w:pStyle w:val="BodyText"/>
      </w:pPr>
      <w:r>
        <w:t xml:space="preserve">Primero, existe una dependencia estructural entre los ingresos impositivos y las rentas de recursos naturales. El efecto es más agudo en economías exportadoras de hidrocarburos (</w:t>
      </w:r>
      <m:oMath>
        <m:r>
          <m:t>β</m:t>
        </m:r>
        <m:r>
          <m:rPr>
            <m:sty m:val="p"/>
          </m:rPr>
          <m:t>=</m:t>
        </m:r>
        <m:r>
          <m:t>1.88</m:t>
        </m:r>
      </m:oMath>
      <w:r>
        <w:t xml:space="preserve">) que en aquellas con orientación minero-agropecuaria (</w:t>
      </w:r>
      <m:oMath>
        <m:r>
          <m:t>β</m:t>
        </m:r>
        <m:r>
          <m:rPr>
            <m:sty m:val="p"/>
          </m:rPr>
          <m:t>=</m:t>
        </m:r>
        <m:r>
          <m:t>1.19</m:t>
        </m:r>
      </m:oMath>
      <w:r>
        <w:t xml:space="preserve">). Esta diferencia valida el efecto voracidad fiscal: el gasto público se expanden al ritmo de las rentas extractivas, lo cual incrementa la vulnerabilidad fiscal ante caídas de precios internacionales.</w:t>
      </w:r>
    </w:p>
    <w:p>
      <w:pPr>
        <w:pStyle w:val="BodyText"/>
      </w:pPr>
      <w:r>
        <w:t xml:space="preserve">Segundo, la profundidad del crédito privado local funciona como un mecanismo amortiguador. En economías hidrocarburíferas, el financiamiento bancario reduce la dependencia extractiva (</w:t>
      </w:r>
      <m:oMath>
        <m:r>
          <m:t>β</m:t>
        </m:r>
        <m:r>
          <m:rPr>
            <m:sty m:val="p"/>
          </m:rPr>
          <m:t>=</m:t>
        </m:r>
        <m:r>
          <m:rPr>
            <m:sty m:val="p"/>
          </m:rPr>
          <m:t>−</m:t>
        </m:r>
        <m:r>
          <m:t>0.97</m:t>
        </m:r>
      </m:oMath>
      <w:r>
        <w:t xml:space="preserve">). El crédito provee liquidez frente a shocks externos. Sin embargo, este canal no opera en el grupo minero-agropecuario. En dicho subgrupo, los shocks externos se absorben de manera exclusiva por la vía del presupuesto del Estado.</w:t>
      </w:r>
    </w:p>
    <w:bookmarkEnd w:id="43"/>
    <w:bookmarkStart w:id="44" w:name="limitaciones"/>
    <w:p>
      <w:pPr>
        <w:pStyle w:val="Heading2"/>
      </w:pPr>
      <w:r>
        <w:t xml:space="preserve">7.2 Limitaciones</w:t>
      </w:r>
    </w:p>
    <w:p>
      <w:pPr>
        <w:pStyle w:val="FirstParagraph"/>
      </w:pPr>
      <w:r>
        <w:t xml:space="preserve">Dos restricciones metodológicas condicionan el alcance de los resultados.</w:t>
      </w:r>
    </w:p>
    <w:p>
      <w:pPr>
        <w:pStyle w:val="BodyText"/>
      </w:pPr>
      <w:r>
        <w:t xml:space="preserve">Primero, la relación entre recaudación fiscal y rentas de recursos naturales experimenta endogeneidad por simultaneidad. Los shocks internacionales de commodities afectan ambos agregados de manera paralela. Por esta razón, las estimaciones representan elasticidades de asociación y no causalidad estricta.</w:t>
      </w:r>
    </w:p>
    <w:p>
      <w:pPr>
        <w:pStyle w:val="BodyText"/>
      </w:pPr>
      <w:r>
        <w:t xml:space="preserve">Segundo, la partición de la muestra limita la potencia asintótica del panel. El tamaño transversal se reduce (</w:t>
      </w:r>
      <m:oMath>
        <m:r>
          <m:t>n</m:t>
        </m:r>
        <m:r>
          <m:rPr>
            <m:sty m:val="p"/>
          </m:rPr>
          <m:t>=</m:t>
        </m:r>
        <m:r>
          <m:t>4</m:t>
        </m:r>
      </m:oMath>
      <w:r>
        <w:t xml:space="preserve"> </w:t>
      </w:r>
      <w:r>
        <w:t xml:space="preserve">para hidrocarburos y</w:t>
      </w:r>
      <w:r>
        <w:t xml:space="preserve"> </w:t>
      </w:r>
      <m:oMath>
        <m:r>
          <m:t>n</m:t>
        </m:r>
        <m:r>
          <m:rPr>
            <m:sty m:val="p"/>
          </m:rPr>
          <m:t>=</m:t>
        </m:r>
        <m:r>
          <m:t>6</m:t>
        </m:r>
      </m:oMath>
      <w:r>
        <w:t xml:space="preserve"> </w:t>
      </w:r>
      <w:r>
        <w:t xml:space="preserve">para la especialización minero-agropecuaria). Si bien la segmentación corrige la heterogeneidad de pendientes, disminuye la potencia de pruebas como el test de Hausman. La generalización de estos resultados a otros contextos requiere cautela.</w:t>
      </w:r>
    </w:p>
    <w:bookmarkEnd w:id="44"/>
    <w:bookmarkEnd w:id="45"/>
    <w:bookmarkStart w:id="61" w:name="referencias"/>
    <w:p>
      <w:pPr>
        <w:pStyle w:val="Heading1"/>
      </w:pPr>
      <w:r>
        <w:t xml:space="preserve">Referencias</w:t>
      </w:r>
    </w:p>
    <w:bookmarkStart w:id="60" w:name="refs"/>
    <w:bookmarkStart w:id="46" w:name="ref-arellano1991some"/>
    <w:p>
      <w:pPr>
        <w:pStyle w:val="Bibliography"/>
      </w:pPr>
      <w:r>
        <w:t xml:space="preserve">Arellano, Manuel, y Stephen Bond. 1991.</w:t>
      </w:r>
      <w:r>
        <w:t xml:space="preserve"> </w:t>
      </w:r>
      <w:r>
        <w:t xml:space="preserve">«Some tests of specification for panel data: Monte Carlo evidence and an application to employment equations»</w:t>
      </w:r>
      <w:r>
        <w:t xml:space="preserve">.</w:t>
      </w:r>
      <w:r>
        <w:t xml:space="preserve"> </w:t>
      </w:r>
      <w:r>
        <w:rPr>
          <w:i/>
          <w:iCs/>
        </w:rPr>
        <w:t xml:space="preserve">The review of economic studies</w:t>
      </w:r>
      <w:r>
        <w:t xml:space="preserve"> </w:t>
      </w:r>
      <w:r>
        <w:t xml:space="preserve">58 (2): 277-97.</w:t>
      </w:r>
    </w:p>
    <w:bookmarkEnd w:id="46"/>
    <w:bookmarkStart w:id="48" w:name="ref-baculima2026"/>
    <w:p>
      <w:pPr>
        <w:pStyle w:val="Bibliography"/>
      </w:pPr>
      <w:r>
        <w:t xml:space="preserve">Baculima-Cuesta, Patricio Miguel, Francis Patricio Moya-Ochoa, Karen Michelle Luzuriaga-Atarihuana, y Luis Santiago Sarmiento-Moscoso. 2026.</w:t>
      </w:r>
      <w:r>
        <w:t xml:space="preserve"> </w:t>
      </w:r>
      <w:r>
        <w:t xml:space="preserve">«La sostenibilidad fiscal en el Ecuador 2003-2023. Aplicaci</w:t>
      </w:r>
      <w:r>
        <w:t xml:space="preserve">ó</w:t>
      </w:r>
      <w:r>
        <w:t xml:space="preserve">n del modelo MS-ARDL»</w:t>
      </w:r>
      <w:r>
        <w:t xml:space="preserve">.</w:t>
      </w:r>
      <w:r>
        <w:t xml:space="preserve"> </w:t>
      </w:r>
      <w:r>
        <w:rPr>
          <w:i/>
          <w:iCs/>
        </w:rPr>
        <w:t xml:space="preserve">INNOVA Research Journal</w:t>
      </w:r>
      <w:r>
        <w:t xml:space="preserve"> </w:t>
      </w:r>
      <w:r>
        <w:t xml:space="preserve">11 (2): 66-91.</w:t>
      </w:r>
      <w:r>
        <w:t xml:space="preserve"> </w:t>
      </w:r>
      <w:hyperlink r:id="rId47">
        <w:r>
          <w:rPr>
            <w:rStyle w:val="Hyperlink"/>
          </w:rPr>
          <w:t xml:space="preserve">https://doi.org/10.33890/innova.v11.n2.2026.2934</w:t>
        </w:r>
      </w:hyperlink>
      <w:r>
        <w:t xml:space="preserve">.</w:t>
      </w:r>
    </w:p>
    <w:bookmarkEnd w:id="48"/>
    <w:bookmarkStart w:id="50" w:name="ref-baltagi2021econometric"/>
    <w:p>
      <w:pPr>
        <w:pStyle w:val="Bibliography"/>
      </w:pPr>
      <w:r>
        <w:t xml:space="preserve">Baltagi, Badi H. 2021.</w:t>
      </w:r>
      <w:r>
        <w:t xml:space="preserve"> </w:t>
      </w:r>
      <w:r>
        <w:rPr>
          <w:i/>
          <w:iCs/>
        </w:rPr>
        <w:t xml:space="preserve">Econometric analysis of panel data</w:t>
      </w:r>
      <w:r>
        <w:t xml:space="preserve">. 6.ª ed. Springer Nature.</w:t>
      </w:r>
      <w:r>
        <w:t xml:space="preserve"> </w:t>
      </w:r>
      <w:hyperlink r:id="rId49">
        <w:r>
          <w:rPr>
            <w:rStyle w:val="Hyperlink"/>
          </w:rPr>
          <w:t xml:space="preserve">https://doi.org/10.1007/978-3-030-53953-5</w:t>
        </w:r>
      </w:hyperlink>
      <w:r>
        <w:t xml:space="preserve">.</w:t>
      </w:r>
    </w:p>
    <w:bookmarkEnd w:id="50"/>
    <w:bookmarkStart w:id="52" w:name="ref-frankel2013graduation"/>
    <w:p>
      <w:pPr>
        <w:pStyle w:val="Bibliography"/>
      </w:pPr>
      <w:r>
        <w:t xml:space="preserve">Frankel, Jeffrey A, Carlos A Végh, y Guillermo Vuletin. 2013.</w:t>
      </w:r>
      <w:r>
        <w:t xml:space="preserve"> </w:t>
      </w:r>
      <w:r>
        <w:t xml:space="preserve">«On graduation from fiscal procyclicality»</w:t>
      </w:r>
      <w:r>
        <w:t xml:space="preserve">.</w:t>
      </w:r>
      <w:r>
        <w:t xml:space="preserve"> </w:t>
      </w:r>
      <w:r>
        <w:rPr>
          <w:i/>
          <w:iCs/>
        </w:rPr>
        <w:t xml:space="preserve">Journal of Development Economics</w:t>
      </w:r>
      <w:r>
        <w:t xml:space="preserve"> </w:t>
      </w:r>
      <w:r>
        <w:t xml:space="preserve">100 (1): 32-47.</w:t>
      </w:r>
      <w:r>
        <w:t xml:space="preserve"> </w:t>
      </w:r>
      <w:hyperlink r:id="rId51">
        <w:r>
          <w:rPr>
            <w:rStyle w:val="Hyperlink"/>
          </w:rPr>
          <w:t xml:space="preserve">https://doi.org/10.1016/j.jdeveco.2012.07.001</w:t>
        </w:r>
      </w:hyperlink>
      <w:r>
        <w:t xml:space="preserve">.</w:t>
      </w:r>
    </w:p>
    <w:bookmarkEnd w:id="52"/>
    <w:bookmarkStart w:id="53" w:name="ref-hausman1978specification"/>
    <w:p>
      <w:pPr>
        <w:pStyle w:val="Bibliography"/>
      </w:pPr>
      <w:r>
        <w:t xml:space="preserve">Hausman, Jerry A. 1978.</w:t>
      </w:r>
      <w:r>
        <w:t xml:space="preserve"> </w:t>
      </w:r>
      <w:r>
        <w:t xml:space="preserve">«Specification tests in econometrics»</w:t>
      </w:r>
      <w:r>
        <w:t xml:space="preserve">.</w:t>
      </w:r>
      <w:r>
        <w:t xml:space="preserve"> </w:t>
      </w:r>
      <w:r>
        <w:rPr>
          <w:i/>
          <w:iCs/>
        </w:rPr>
        <w:t xml:space="preserve">Econometrica</w:t>
      </w:r>
      <w:r>
        <w:t xml:space="preserve"> </w:t>
      </w:r>
      <w:r>
        <w:t xml:space="preserve">46 (6): 1251-71.</w:t>
      </w:r>
    </w:p>
    <w:bookmarkEnd w:id="53"/>
    <w:bookmarkStart w:id="54" w:name="ref-hsiao2014analysis"/>
    <w:p>
      <w:pPr>
        <w:pStyle w:val="Bibliography"/>
      </w:pPr>
      <w:r>
        <w:t xml:space="preserve">Hsiao, Cheng. 2014.</w:t>
      </w:r>
      <w:r>
        <w:t xml:space="preserve"> </w:t>
      </w:r>
      <w:r>
        <w:rPr>
          <w:i/>
          <w:iCs/>
        </w:rPr>
        <w:t xml:space="preserve">Analysis of panel data</w:t>
      </w:r>
      <w:r>
        <w:t xml:space="preserve">. Cambridge university press.</w:t>
      </w:r>
    </w:p>
    <w:bookmarkEnd w:id="54"/>
    <w:bookmarkStart w:id="56" w:name="ref-paiva2019participacion"/>
    <w:p>
      <w:pPr>
        <w:pStyle w:val="Bibliography"/>
      </w:pPr>
      <w:r>
        <w:t xml:space="preserve">Paiva, Pedro Henrique de Abreu, y Carlos José Caetano Bacha. 2019.</w:t>
      </w:r>
      <w:r>
        <w:t xml:space="preserve"> </w:t>
      </w:r>
      <w:r>
        <w:t xml:space="preserve">«Participaci</w:t>
      </w:r>
      <w:r>
        <w:t xml:space="preserve">ó</w:t>
      </w:r>
      <w:r>
        <w:t xml:space="preserve">n de los sectores agropecuario y de hidrocarburos y miner</w:t>
      </w:r>
      <w:r>
        <w:t xml:space="preserve">í</w:t>
      </w:r>
      <w:r>
        <w:t xml:space="preserve">a en el producto interno bruto (PIB) de los pa</w:t>
      </w:r>
      <w:r>
        <w:t xml:space="preserve">í</w:t>
      </w:r>
      <w:r>
        <w:t xml:space="preserve">ses de Am</w:t>
      </w:r>
      <w:r>
        <w:t xml:space="preserve">é</w:t>
      </w:r>
      <w:r>
        <w:t xml:space="preserve">rica del Sur entre 1960 y 2014»</w:t>
      </w:r>
      <w:r>
        <w:t xml:space="preserve">.</w:t>
      </w:r>
      <w:r>
        <w:t xml:space="preserve"> </w:t>
      </w:r>
      <w:r>
        <w:rPr>
          <w:i/>
          <w:iCs/>
        </w:rPr>
        <w:t xml:space="preserve">Revista de la CEPAL</w:t>
      </w:r>
      <w:r>
        <w:t xml:space="preserve">, n.º 129: 29-46.</w:t>
      </w:r>
      <w:r>
        <w:t xml:space="preserve"> </w:t>
      </w:r>
      <w:hyperlink r:id="rId55">
        <w:r>
          <w:rPr>
            <w:rStyle w:val="Hyperlink"/>
          </w:rPr>
          <w:t xml:space="preserve">https://repositorio.cepal.org/handle/11362/44980</w:t>
        </w:r>
      </w:hyperlink>
      <w:r>
        <w:t xml:space="preserve">.</w:t>
      </w:r>
    </w:p>
    <w:bookmarkEnd w:id="56"/>
    <w:bookmarkStart w:id="58" w:name="ref-tornell1999voracity"/>
    <w:p>
      <w:pPr>
        <w:pStyle w:val="Bibliography"/>
      </w:pPr>
      <w:r>
        <w:t xml:space="preserve">Tornell, Aaron, y Philip R Lane. 1999.</w:t>
      </w:r>
      <w:r>
        <w:t xml:space="preserve"> </w:t>
      </w:r>
      <w:r>
        <w:t xml:space="preserve">«The voracity effect»</w:t>
      </w:r>
      <w:r>
        <w:t xml:space="preserve">.</w:t>
      </w:r>
      <w:r>
        <w:t xml:space="preserve"> </w:t>
      </w:r>
      <w:r>
        <w:rPr>
          <w:i/>
          <w:iCs/>
        </w:rPr>
        <w:t xml:space="preserve">American Economic Review</w:t>
      </w:r>
      <w:r>
        <w:t xml:space="preserve"> </w:t>
      </w:r>
      <w:r>
        <w:t xml:space="preserve">89 (1): 22-46.</w:t>
      </w:r>
      <w:r>
        <w:t xml:space="preserve"> </w:t>
      </w:r>
      <w:hyperlink r:id="rId57">
        <w:r>
          <w:rPr>
            <w:rStyle w:val="Hyperlink"/>
          </w:rPr>
          <w:t xml:space="preserve">https://doi.org/10.1257/aer.89.1.22</w:t>
        </w:r>
      </w:hyperlink>
      <w:r>
        <w:t xml:space="preserve">.</w:t>
      </w:r>
    </w:p>
    <w:bookmarkEnd w:id="58"/>
    <w:bookmarkStart w:id="59" w:name="ref-wooldridge2010econometric"/>
    <w:p>
      <w:pPr>
        <w:pStyle w:val="Bibliography"/>
      </w:pPr>
      <w:r>
        <w:t xml:space="preserve">Wooldridge, Jeffrey M. 2010.</w:t>
      </w:r>
      <w:r>
        <w:t xml:space="preserve"> </w:t>
      </w:r>
      <w:r>
        <w:rPr>
          <w:i/>
          <w:iCs/>
        </w:rPr>
        <w:t xml:space="preserve">Econometric analysis of cross section and panel data</w:t>
      </w:r>
      <w:r>
        <w:t xml:space="preserve">. 2.ª ed. MIT press.</w:t>
      </w:r>
    </w:p>
    <w:bookmarkEnd w:id="59"/>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b/>
      <w:bCs/>
      <w:color w:val="000000"/>
      <w:rFonts w:asciiTheme="majorHAnsi" w:cstheme="majorBidi" w:eastAsiaTheme="majorEastAsia" w:hAnsiTheme="majorHAnsi"/>
      <w:sz w:val="24"/>
      <w:szCs w:val="24"/>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b/>
      <w:bCs/>
      <w:color w:val="000000"/>
      <w:rFonts w:cstheme="majorBidi" w:eastAsiaTheme="majorEastAsia"/>
      <w:spacing w:val="15"/>
      <w:sz w:val="24"/>
      <w:szCs w:val="24"/>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ind w:hanging="720" w:left="720"/>
    </w:pPr>
    <w:rPr/>
  </w:style>
  <w:style w:styleId="Heading1" w:type="paragraph">
    <w:name w:val="heading 1"/>
    <w:basedOn w:val="Normal"/>
    <w:next w:val="BodyText"/>
    <w:link w:val="Heading1Char"/>
    <w:uiPriority w:val="9"/>
    <w:qFormat/>
    <w:rsid w:val="00A10FD9"/>
    <w:pPr>
      <w:keepNext/>
      <w:keepLines/>
      <w:spacing w:after="80" w:before="360"/>
      <w:outlineLvl w:val="0"/>
    </w:pPr>
    <w:rPr>
      <w:b/>
      <w:bCs/>
      <w:rFonts w:asciiTheme="majorHAnsi" w:cstheme="majorBidi" w:eastAsiaTheme="majorEastAsia" w:hAnsiTheme="majorHAnsi"/>
      <w:color w:val="000000"/>
      <w:sz w:val="24"/>
      <w:szCs w:val="24"/>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b/>
      <w:bCs/>
      <w:rFonts w:asciiTheme="majorHAnsi" w:cstheme="majorBidi" w:eastAsiaTheme="majorEastAsia" w:hAnsiTheme="majorHAnsi"/>
      <w:color w:val="000000"/>
      <w:sz w:val="24"/>
      <w:szCs w:val="24"/>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b/>
      <w:bCs/>
      <w:rFonts w:cstheme="majorBidi" w:eastAsiaTheme="majorEastAsia"/>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b/>
      <w:bCs/>
      <w:sz w:val="24"/>
      <w:szCs w:val="24"/>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b/>
      <w:bCs/>
      <w:sz w:val="24"/>
      <w:szCs w:val="24"/>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b/>
      <w:bCs/>
      <w:sz w:val="24"/>
      <w:szCs w:val="24"/>
      <w:rFonts w:cstheme="majorBidi" w:eastAsiaTheme="majorEastAsia"/>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b/>
      <w:bCs/>
      <w:sz w:val="24"/>
      <w:szCs w:val="24"/>
      <w:rFonts w:cstheme="majorBidi" w:eastAsiaTheme="majorEastAsia"/>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b/>
      <w:bCs/>
      <w:sz w:val="24"/>
      <w:szCs w:val="24"/>
      <w:rFonts w:cstheme="majorBidi" w:eastAsiaTheme="majorEastAsia"/>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b/>
      <w:bCs/>
      <w:sz w:val="24"/>
      <w:szCs w:val="24"/>
      <w:rFonts w:cstheme="majorBidi" w:eastAsiaTheme="majorEastAsia"/>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0" Target="https://data.worldbank.org/indicator/BX.KLT.DINV.WD.GD.ZS" TargetMode="External" /><Relationship Type="http://schemas.openxmlformats.org/officeDocument/2006/relationships/hyperlink" Id="rId21" Target="https://data.worldbank.org/indicator/FS.AST.PRVT.GD.ZS" TargetMode="External" /><Relationship Type="http://schemas.openxmlformats.org/officeDocument/2006/relationships/hyperlink" Id="rId19" Target="https://data.worldbank.org/indicator/GC.TAX.TOTL.GD.ZS" TargetMode="External" /><Relationship Type="http://schemas.openxmlformats.org/officeDocument/2006/relationships/hyperlink" Id="rId18" Target="https://data.worldbank.org/indicator/NY.GDP.TOTL.RT.ZS" TargetMode="External" /><Relationship Type="http://schemas.openxmlformats.org/officeDocument/2006/relationships/hyperlink" Id="rId22" Target="https://databank.worldbank.org/metadataglossary/africa-development-indicators/series/FI.RES.TOTL.CD.ZS" TargetMode="External" /><Relationship Type="http://schemas.openxmlformats.org/officeDocument/2006/relationships/hyperlink" Id="rId49" Target="https://doi.org/10.1007/978-3-030-53953-5" TargetMode="External" /><Relationship Type="http://schemas.openxmlformats.org/officeDocument/2006/relationships/hyperlink" Id="rId51" Target="https://doi.org/10.1016/j.jdeveco.2012.07.001" TargetMode="External" /><Relationship Type="http://schemas.openxmlformats.org/officeDocument/2006/relationships/hyperlink" Id="rId57" Target="https://doi.org/10.1257/aer.89.1.22" TargetMode="External" /><Relationship Type="http://schemas.openxmlformats.org/officeDocument/2006/relationships/hyperlink" Id="rId47" Target="https://doi.org/10.33890/innova.v11.n2.2026.2934" TargetMode="External" /><Relationship Type="http://schemas.openxmlformats.org/officeDocument/2006/relationships/hyperlink" Id="rId55" Target="https://repositorio.cepal.org/handle/11362/44980" TargetMode="External" /></Relationships>
</file>

<file path=word/_rels/footnotes.xml.rels><?xml version="1.0" encoding="UTF-8"?><Relationships xmlns="http://schemas.openxmlformats.org/package/2006/relationships"><Relationship Type="http://schemas.openxmlformats.org/officeDocument/2006/relationships/hyperlink" Id="rId20" Target="https://data.worldbank.org/indicator/BX.KLT.DINV.WD.GD.ZS" TargetMode="External" /><Relationship Type="http://schemas.openxmlformats.org/officeDocument/2006/relationships/hyperlink" Id="rId21" Target="https://data.worldbank.org/indicator/FS.AST.PRVT.GD.ZS" TargetMode="External" /><Relationship Type="http://schemas.openxmlformats.org/officeDocument/2006/relationships/hyperlink" Id="rId19" Target="https://data.worldbank.org/indicator/GC.TAX.TOTL.GD.ZS" TargetMode="External" /><Relationship Type="http://schemas.openxmlformats.org/officeDocument/2006/relationships/hyperlink" Id="rId18" Target="https://data.worldbank.org/indicator/NY.GDP.TOTL.RT.ZS" TargetMode="External" /><Relationship Type="http://schemas.openxmlformats.org/officeDocument/2006/relationships/hyperlink" Id="rId22" Target="https://databank.worldbank.org/metadataglossary/africa-development-indicators/series/FI.RES.TOTL.CD.ZS" TargetMode="External" /><Relationship Type="http://schemas.openxmlformats.org/officeDocument/2006/relationships/hyperlink" Id="rId49" Target="https://doi.org/10.1007/978-3-030-53953-5" TargetMode="External" /><Relationship Type="http://schemas.openxmlformats.org/officeDocument/2006/relationships/hyperlink" Id="rId51" Target="https://doi.org/10.1016/j.jdeveco.2012.07.001" TargetMode="External" /><Relationship Type="http://schemas.openxmlformats.org/officeDocument/2006/relationships/hyperlink" Id="rId57" Target="https://doi.org/10.1257/aer.89.1.22" TargetMode="External" /><Relationship Type="http://schemas.openxmlformats.org/officeDocument/2006/relationships/hyperlink" Id="rId47" Target="https://doi.org/10.33890/innova.v11.n2.2026.2934" TargetMode="External" /><Relationship Type="http://schemas.openxmlformats.org/officeDocument/2006/relationships/hyperlink" Id="rId55" Target="https://repositorio.cepal.org/handle/11362/4498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ACD1: Modelos de Datos de Panel en América Latina</dc:title>
  <dc:creator>Erick Fabricio Condoy Seraquive</dc:creator>
  <dc:language>es</dc:language>
  <cp:keywords/>
  <dcterms:created xsi:type="dcterms:W3CDTF">2026-07-09T14:49:40Z</dcterms:created>
  <dcterms:modified xsi:type="dcterms:W3CDTF">2026-07-09T14:49:40Z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2026-06-25</vt:lpwstr>
  </property>
  <property fmtid="{D5CDD505-2E9C-101B-9397-08002B2CF9AE}" pid="7" name="engines">
    <vt:lpwstr/>
  </property>
  <property fmtid="{D5CDD505-2E9C-101B-9397-08002B2CF9AE}" pid="8" name="fig-cap-location">
    <vt:lpwstr>bottom</vt:lpwstr>
  </property>
  <property fmtid="{D5CDD505-2E9C-101B-9397-08002B2CF9AE}" pid="9" name="fontsize">
    <vt:lpwstr>12pt</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nk-citations">
    <vt:lpwstr>True</vt:lpwstr>
  </property>
  <property fmtid="{D5CDD505-2E9C-101B-9397-08002B2CF9AE}" pid="15" name="subtitle">
    <vt:lpwstr>Unidad 3 - Econometría Aplicada</vt:lpwstr>
  </property>
  <property fmtid="{D5CDD505-2E9C-101B-9397-08002B2CF9AE}" pid="16" name="tbl-cap-location">
    <vt:lpwstr>top</vt:lpwstr>
  </property>
  <property fmtid="{D5CDD505-2E9C-101B-9397-08002B2CF9AE}" pid="17" name="toc-title">
    <vt:lpwstr>Tabla de contenidos</vt:lpwstr>
  </property>
</Properties>
</file>