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2"/>
        </w:rPr>
        <w:t>Table 4</w:t>
      </w:r>
    </w:p>
    <w:p>
      <w:pPr>
        <w:jc w:val="left"/>
      </w:pPr>
      <w:r>
        <w:rPr>
          <w:i/>
          <w:sz w:val="22"/>
        </w:rPr>
        <w:t>Unit root test results with structural breaks.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top w:sz="12" w:val="double" w:color="#000000"/>
          </w:tcPr>
          <w:p>
            <w:r/>
          </w:p>
        </w:tc>
        <w:tc>
          <w:tcPr>
            <w:tcW w:type="dxa" w:w="3456"/>
            <w:gridSpan w:val="4"/>
            <w:top w:sz="12" w:val="double" w:color="#000000"/>
          </w:tcPr>
          <w:p>
            <w:pPr>
              <w:jc w:val="center"/>
            </w:pPr>
            <w:r>
              <w:t>Test-statistics value at Level</w:t>
            </w:r>
          </w:p>
        </w:tc>
        <w:tc>
          <w:tcPr>
            <w:tcW w:type="dxa" w:w="3456"/>
            <w:gridSpan w:val="4"/>
            <w:top w:sz="12" w:val="double" w:color="#000000"/>
          </w:tcPr>
          <w:p>
            <w:pPr>
              <w:jc w:val="center"/>
            </w:pPr>
            <w:r>
              <w:t>Test-statistics value at first difference</w:t>
            </w:r>
          </w:p>
        </w:tc>
        <w:tc>
          <w:tcPr>
            <w:tcW w:type="dxa" w:w="864"/>
            <w:top w:sz="12" w:val="double" w:color="#000000"/>
          </w:tcPr>
          <w:p>
            <w:pPr>
              <w:jc w:val="center"/>
            </w:pPr>
            <w:r>
              <w:t>I (d)</w:t>
            </w:r>
          </w:p>
        </w:tc>
      </w:tr>
      <w:tr>
        <w:tc>
          <w:tcPr>
            <w:tcW w:type="dxa" w:w="864"/>
            <w:bottom w:sz="6" w:val="single" w:color="#000000"/>
          </w:tcPr>
          <w:p>
            <w:pPr>
              <w:jc w:val="center"/>
            </w:pPr>
            <w:r>
              <w:t>Variable</w:t>
            </w:r>
          </w:p>
        </w:tc>
        <w:tc>
          <w:tcPr>
            <w:tcW w:type="dxa" w:w="864"/>
            <w:bottom w:sz="6" w:val="single" w:color="#000000"/>
          </w:tcPr>
          <w:p>
            <w:pPr>
              <w:jc w:val="center"/>
            </w:pPr>
            <w:r>
              <w:t>(ADF)</w:t>
            </w:r>
          </w:p>
        </w:tc>
        <w:tc>
          <w:tcPr>
            <w:tcW w:type="dxa" w:w="864"/>
            <w:bottom w:sz="6" w:val="single" w:color="#000000"/>
          </w:tcPr>
          <w:p>
            <w:pPr>
              <w:jc w:val="center"/>
            </w:pPr>
            <w:r>
              <w:t>(PP)</w:t>
            </w:r>
          </w:p>
        </w:tc>
        <w:tc>
          <w:tcPr>
            <w:tcW w:type="dxa" w:w="864"/>
            <w:bottom w:sz="6" w:val="single" w:color="#000000"/>
          </w:tcPr>
          <w:p>
            <w:pPr>
              <w:jc w:val="center"/>
            </w:pPr>
            <w:r>
              <w:t>(ZA)</w:t>
            </w:r>
          </w:p>
        </w:tc>
        <w:tc>
          <w:tcPr>
            <w:tcW w:type="dxa" w:w="864"/>
            <w:bottom w:sz="6" w:val="single" w:color="#000000"/>
          </w:tcPr>
          <w:p>
            <w:pPr>
              <w:jc w:val="center"/>
            </w:pPr>
            <w:r>
              <w:t>Break</w:t>
            </w:r>
          </w:p>
        </w:tc>
        <w:tc>
          <w:tcPr>
            <w:tcW w:type="dxa" w:w="864"/>
            <w:bottom w:sz="6" w:val="single" w:color="#000000"/>
          </w:tcPr>
          <w:p>
            <w:pPr>
              <w:jc w:val="center"/>
            </w:pPr>
            <w:r>
              <w:t>(ADF)</w:t>
            </w:r>
          </w:p>
        </w:tc>
        <w:tc>
          <w:tcPr>
            <w:tcW w:type="dxa" w:w="864"/>
            <w:bottom w:sz="6" w:val="single" w:color="#000000"/>
          </w:tcPr>
          <w:p>
            <w:pPr>
              <w:jc w:val="center"/>
            </w:pPr>
            <w:r>
              <w:t>(PP)</w:t>
            </w:r>
          </w:p>
        </w:tc>
        <w:tc>
          <w:tcPr>
            <w:tcW w:type="dxa" w:w="864"/>
            <w:bottom w:sz="6" w:val="single" w:color="#000000"/>
          </w:tcPr>
          <w:p>
            <w:pPr>
              <w:jc w:val="center"/>
            </w:pPr>
            <w:r>
              <w:t>(ZA)</w:t>
            </w:r>
          </w:p>
        </w:tc>
        <w:tc>
          <w:tcPr>
            <w:tcW w:type="dxa" w:w="864"/>
            <w:bottom w:sz="6" w:val="single" w:color="#000000"/>
          </w:tcPr>
          <w:p>
            <w:pPr>
              <w:jc w:val="center"/>
            </w:pPr>
            <w:r>
              <w:t>Break</w:t>
            </w:r>
          </w:p>
        </w:tc>
        <w:tc>
          <w:tcPr>
            <w:tcW w:type="dxa" w:w="864"/>
            <w:bottom w:sz="6" w:val="single" w:color="#000000"/>
          </w:tcPr>
          <w:p>
            <w:pPr>
              <w:jc w:val="center"/>
            </w:pPr>
            <w:r>
              <w:t>Verdict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t>AF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-1.196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-0.568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-5.159*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-1.460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-1.755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-4.771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I(1)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t>FL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-2.269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-2.637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-3.414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2015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-3.169**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-5.451***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-5.901***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2012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I(1)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t>EM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-2.470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-4.815***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-5.363**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2019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-3.819***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-7.445***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-5.225**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2010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I(1)</w:t>
            </w:r>
          </w:p>
        </w:tc>
      </w:tr>
      <w:tr>
        <w:tc>
          <w:tcPr>
            <w:tcW w:type="dxa" w:w="864"/>
          </w:tcPr>
          <w:p>
            <w:pPr>
              <w:jc w:val="left"/>
            </w:pPr>
            <w:r>
              <w:t>GDP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-1.604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-1.599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-3.660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2013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-3.390**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-4.544***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-4.490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2011</w:t>
            </w:r>
          </w:p>
        </w:tc>
        <w:tc>
          <w:tcPr>
            <w:tcW w:type="dxa" w:w="864"/>
          </w:tcPr>
          <w:p>
            <w:pPr>
              <w:jc w:val="center"/>
            </w:pPr>
            <w:r>
              <w:t>I(1)</w:t>
            </w:r>
          </w:p>
        </w:tc>
      </w:tr>
      <w:tr>
        <w:tc>
          <w:tcPr>
            <w:tcW w:type="dxa" w:w="864"/>
            <w:bottom w:sz="12" w:val="single" w:color="#000000"/>
          </w:tcPr>
          <w:p>
            <w:pPr>
              <w:jc w:val="left"/>
            </w:pPr>
            <w:r>
              <w:t>SBU</w:t>
            </w:r>
          </w:p>
        </w:tc>
        <w:tc>
          <w:tcPr>
            <w:tcW w:type="dxa" w:w="864"/>
            <w:bottom w:sz="12" w:val="single" w:color="#000000"/>
          </w:tcPr>
          <w:p>
            <w:pPr>
              <w:jc w:val="center"/>
            </w:pPr>
            <w:r>
              <w:t>-0.961</w:t>
            </w:r>
          </w:p>
        </w:tc>
        <w:tc>
          <w:tcPr>
            <w:tcW w:type="dxa" w:w="864"/>
            <w:bottom w:sz="12" w:val="single" w:color="#000000"/>
          </w:tcPr>
          <w:p>
            <w:pPr>
              <w:jc w:val="center"/>
            </w:pPr>
            <w:r>
              <w:t>-4.038***</w:t>
            </w:r>
          </w:p>
        </w:tc>
        <w:tc>
          <w:tcPr>
            <w:tcW w:type="dxa" w:w="864"/>
            <w:bottom w:sz="12" w:val="single" w:color="#000000"/>
          </w:tcPr>
          <w:p>
            <w:pPr>
              <w:jc w:val="center"/>
            </w:pPr>
            <w:r>
              <w:t>-15.022***</w:t>
            </w:r>
          </w:p>
        </w:tc>
        <w:tc>
          <w:tcPr>
            <w:tcW w:type="dxa" w:w="864"/>
            <w:bottom w:sz="12" w:val="single" w:color="#000000"/>
          </w:tcPr>
          <w:p>
            <w:pPr>
              <w:jc w:val="center"/>
            </w:pPr>
            <w:r>
              <w:t>2014</w:t>
            </w:r>
          </w:p>
        </w:tc>
        <w:tc>
          <w:tcPr>
            <w:tcW w:type="dxa" w:w="864"/>
            <w:bottom w:sz="12" w:val="single" w:color="#000000"/>
          </w:tcPr>
          <w:p>
            <w:pPr>
              <w:jc w:val="center"/>
            </w:pPr>
            <w:r>
              <w:t>-2.522</w:t>
            </w:r>
          </w:p>
        </w:tc>
        <w:tc>
          <w:tcPr>
            <w:tcW w:type="dxa" w:w="864"/>
            <w:bottom w:sz="12" w:val="single" w:color="#000000"/>
          </w:tcPr>
          <w:p>
            <w:pPr>
              <w:jc w:val="center"/>
            </w:pPr>
            <w:r>
              <w:t>-7.455***</w:t>
            </w:r>
          </w:p>
        </w:tc>
        <w:tc>
          <w:tcPr>
            <w:tcW w:type="dxa" w:w="864"/>
            <w:bottom w:sz="12" w:val="single" w:color="#000000"/>
          </w:tcPr>
          <w:p>
            <w:pPr>
              <w:jc w:val="center"/>
            </w:pPr>
            <w:r>
              <w:t>-11.610***</w:t>
            </w:r>
          </w:p>
        </w:tc>
        <w:tc>
          <w:tcPr>
            <w:tcW w:type="dxa" w:w="864"/>
            <w:bottom w:sz="12" w:val="single" w:color="#000000"/>
          </w:tcPr>
          <w:p>
            <w:pPr>
              <w:jc w:val="center"/>
            </w:pPr>
            <w:r>
              <w:t>2020</w:t>
            </w:r>
          </w:p>
        </w:tc>
        <w:tc>
          <w:tcPr>
            <w:tcW w:type="dxa" w:w="864"/>
            <w:bottom w:sz="12" w:val="single" w:color="#000000"/>
          </w:tcPr>
          <w:p>
            <w:pPr>
              <w:jc w:val="center"/>
            </w:pPr>
            <w:r>
              <w:t>I(1)</w:t>
            </w:r>
          </w:p>
        </w:tc>
      </w:tr>
    </w:tbl>
    <w:p/>
    <w:p>
      <w:r>
        <w:rPr>
          <w:sz w:val="18"/>
        </w:rPr>
        <w:t xml:space="preserve">Note: AF: Affiliates, FL: Labor Force, EM: EMBI, GDP: GDP per capita, SBU: Basic Salary. </w:t>
      </w:r>
      <w:r>
        <w:rPr>
          <w:sz w:val="18"/>
        </w:rPr>
        <w:t>*** represents p &lt; 0.01, ** represents p &lt; 0.05, * represents p &lt; 0.10 significance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