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0"/>
        <w:pBdr/>
        <w:spacing/>
        <w:ind/>
        <w:rPr>
          <w:rFonts w:ascii="Times New Roman" w:hAnsi="Times New Roman" w:cs="Times New Roman"/>
        </w:rPr>
      </w:pPr>
      <w:r>
        <w:rPr>
          <w:rFonts w:ascii="Times New Roman" w:hAnsi="Times New Roman" w:eastAsia="Times New Roman" w:cs="Times New Roman"/>
        </w:rPr>
        <w:t xml:space="preserve">Determinantes de la sostenibilidad del IESS y el impacto de la inestabilidad social en el Ecuador durante el periodo 1990-2024</w:t>
      </w:r>
      <w:r>
        <w:rPr>
          <w:rFonts w:ascii="Times New Roman" w:hAnsi="Times New Roman" w:eastAsia="Times New Roman" w:cs="Times New Roman"/>
        </w:rPr>
      </w:r>
    </w:p>
    <w:p>
      <w:pPr>
        <w:pStyle w:val="692"/>
        <w:pBdr/>
        <w:spacing/>
        <w:ind/>
        <w:rPr>
          <w:rFonts w:ascii="Times New Roman" w:hAnsi="Times New Roman" w:cs="Times New Roman"/>
        </w:rPr>
      </w:pPr>
      <w:r>
        <w:rPr>
          <w:rFonts w:ascii="Times New Roman" w:hAnsi="Times New Roman" w:eastAsia="Times New Roman" w:cs="Times New Roman"/>
          <w:lang w:val="es-ES"/>
        </w:rPr>
        <w:t xml:space="preserve">E</w:t>
      </w:r>
      <w:r>
        <w:rPr>
          <w:rFonts w:ascii="Times New Roman" w:hAnsi="Times New Roman" w:eastAsia="Times New Roman" w:cs="Times New Roman"/>
          <w:lang w:val="es-ES"/>
        </w:rPr>
        <w:t xml:space="preserve">conometr</w:t>
      </w:r>
      <w:r>
        <w:rPr>
          <w:rFonts w:ascii="Times New Roman" w:hAnsi="Times New Roman" w:eastAsia="Times New Roman" w:cs="Times New Roman"/>
          <w:lang w:val="es-ES"/>
        </w:rPr>
        <w:t xml:space="preserve">ía aplicada</w:t>
      </w:r>
      <w:r>
        <w:rPr>
          <w:rFonts w:ascii="Times New Roman" w:hAnsi="Times New Roman" w:eastAsia="Times New Roman" w:cs="Times New Roman"/>
        </w:rPr>
      </w:r>
    </w:p>
    <w:p>
      <w:pPr>
        <w:pStyle w:val="694"/>
        <w:pBdr/>
        <w:spacing/>
        <w:ind/>
        <w:rPr>
          <w:rFonts w:ascii="Times New Roman" w:hAnsi="Times New Roman" w:cs="Times New Roman"/>
        </w:rPr>
      </w:pPr>
      <w:r>
        <w:rPr>
          <w:rFonts w:ascii="Times New Roman" w:hAnsi="Times New Roman" w:eastAsia="Times New Roman" w:cs="Times New Roman"/>
        </w:rPr>
        <w:t xml:space="preserve">Erick Fabricio Condoy Seraquive</w:t>
      </w:r>
      <w:r>
        <w:rPr>
          <w:rFonts w:ascii="Times New Roman" w:hAnsi="Times New Roman" w:eastAsia="Times New Roman" w:cs="Times New Roman"/>
        </w:rPr>
      </w:r>
    </w:p>
    <w:p>
      <w:pPr>
        <w:pStyle w:val="695"/>
        <w:pBdr/>
        <w:spacing/>
        <w:ind/>
        <w:rPr>
          <w:rFonts w:ascii="Times New Roman" w:hAnsi="Times New Roman" w:cs="Times New Roman"/>
        </w:rPr>
      </w:pPr>
      <w:r>
        <w:rPr>
          <w:rFonts w:ascii="Times New Roman" w:hAnsi="Times New Roman" w:eastAsia="Times New Roman" w:cs="Times New Roman"/>
        </w:rPr>
        <w:t xml:space="preserve">2026-05-07</w:t>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9" w:name="resumen"/>
      <w:r>
        <w:rPr>
          <w:rFonts w:ascii="Times New Roman" w:hAnsi="Times New Roman" w:eastAsia="Times New Roman" w:cs="Times New Roman"/>
        </w:rPr>
        <w:t xml:space="preserve">Resumen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presente estudio analiza los determinantes de la crisis de sostenibilidad del I</w:t>
      </w:r>
      <w:r>
        <w:rPr>
          <w:rFonts w:ascii="Times New Roman" w:hAnsi="Times New Roman" w:eastAsia="Times New Roman" w:cs="Times New Roman"/>
        </w:rPr>
        <w:t xml:space="preserve">nstituto Ecuatoriano de Seguridad Social (IESS) durante el periodo 1990-2024, integrando factores demográficos y de inestabilidad social. Mediante un modelo de Rezagos Distribuidos Autorregresivos (ARDL), se evalúa el impacto del gasto militar, la migració</w:t>
      </w:r>
      <w:r>
        <w:rPr>
          <w:rFonts w:ascii="Times New Roman" w:hAnsi="Times New Roman" w:eastAsia="Times New Roman" w:cs="Times New Roman"/>
        </w:rPr>
        <w:t xml:space="preserve">n y la tasa de homicidios sobre la masa de afiliados. Los resultados sugieren que el desplazamiento fiscal y la inseguridad ciudadana erosionan significativamente la base de cotizantes, comprometiendo la viabilidad del sistema de reparto en el largo plazo.</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b/>
          <w:bCs/>
        </w:rPr>
        <w:t xml:space="preserve">Palabras clave:</w:t>
      </w:r>
      <w:r>
        <w:rPr>
          <w:rFonts w:ascii="Times New Roman" w:hAnsi="Times New Roman" w:eastAsia="Times New Roman" w:cs="Times New Roman"/>
        </w:rPr>
        <w:t xml:space="preserve"> </w:t>
      </w:r>
      <w:r>
        <w:rPr>
          <w:rFonts w:ascii="Times New Roman" w:hAnsi="Times New Roman" w:eastAsia="Times New Roman" w:cs="Times New Roman"/>
        </w:rPr>
        <w:t xml:space="preserve">IESS, Sostenibilidad, Crisis, Inestabilidad Social, Econometría, Modelo ARDL.</w:t>
      </w:r>
      <w:bookmarkEnd w:id="9"/>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10" w:name="introducción"/>
      <w:r>
        <w:rPr>
          <w:rFonts w:ascii="Times New Roman" w:hAnsi="Times New Roman" w:eastAsia="Times New Roman" w:cs="Times New Roman"/>
        </w:rPr>
        <w:t xml:space="preserve">1. Introducción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Instituto Ecuatoriano de Seguridad Social (IESS) enfrenta un agotamiento acelerado de sus reservas actuariales durante el periodo 1990-2024, debido a una erosión crítica del ratio de soporte afiliados-pensionistas. Este desequilibrio estruct</w:t>
      </w:r>
      <w:r>
        <w:rPr>
          <w:rFonts w:ascii="Times New Roman" w:hAnsi="Times New Roman" w:eastAsia="Times New Roman" w:cs="Times New Roman"/>
        </w:rPr>
        <w:t xml:space="preserve">ural es exacerbado por la migración de población en edad productiva (I(0)) y el incremento de la inseguridad ciudadana, factores que desincentivan la formalización laboral y comprometen la sostenibilidad financiera del sistema de reparto en el largo plazo.</w:t>
      </w:r>
      <w:bookmarkEnd w:id="10"/>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20" w:name="revisión-de-literatura"/>
      <w:r>
        <w:rPr>
          <w:rFonts w:ascii="Times New Roman" w:hAnsi="Times New Roman" w:eastAsia="Times New Roman" w:cs="Times New Roman"/>
        </w:rPr>
        <w:t xml:space="preserve">2. Revisión de Literatura</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sostenibilidad de los sistemas de seguridad social de reparto, como el gestionado por el Instituto Ecuatoriano de Seguridad Social (IESS), se funda</w:t>
      </w:r>
      <w:r>
        <w:rPr>
          <w:rFonts w:ascii="Times New Roman" w:hAnsi="Times New Roman" w:eastAsia="Times New Roman" w:cs="Times New Roman"/>
        </w:rPr>
        <w:t xml:space="preserve">menta en el equilibrio entre la base de contribuyentes activos y la población beneficiaria de prestaciones. Esta sección analiza los marcos teóricos y la evidencia empírica que sustentan la relación entre demografía, estabilidad institucional y afiliación.</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3" w:name="marcos-teóricos-fundacionales"/>
      <w:r>
        <w:rPr>
          <w:rFonts w:ascii="Times New Roman" w:hAnsi="Times New Roman" w:eastAsia="Times New Roman" w:cs="Times New Roman"/>
        </w:rPr>
        <w:t xml:space="preserve">2.1 Marcos Teóricos Fundacionales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1" w:name="modelo-de-generaciones-traslapadas-olg"/>
      <w:r>
        <w:rPr>
          <w:rFonts w:ascii="Times New Roman" w:hAnsi="Times New Roman" w:eastAsia="Times New Roman" w:cs="Times New Roman"/>
        </w:rPr>
        <w:t xml:space="preserve">2.1.1 Modelo de Generaciones Traslapadas (OLG)</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análisis de la sostenibilidad financiera del IESS se inscribe en el Modelo de Generaciones Traslapadas (OLG) propuesto por</w:t>
      </w:r>
      <w:r>
        <w:rPr>
          <w:rFonts w:ascii="Times New Roman" w:hAnsi="Times New Roman" w:eastAsia="Times New Roman" w:cs="Times New Roman"/>
        </w:rPr>
        <w:t xml:space="preserve"> </w:t>
      </w:r>
      <w:r>
        <w:rPr>
          <w:rFonts w:ascii="Times New Roman" w:hAnsi="Times New Roman" w:eastAsia="Times New Roman" w:cs="Times New Roman"/>
        </w:rPr>
        <w:t xml:space="preserve">Diamond (1965)</w:t>
      </w:r>
      <w:r>
        <w:rPr>
          <w:rFonts w:ascii="Times New Roman" w:hAnsi="Times New Roman" w:eastAsia="Times New Roman" w:cs="Times New Roman"/>
        </w:rPr>
        <w:t xml:space="preserve">. En un sistema de reparto, el bienestar de la generación </w:t>
      </w:r>
      <w:r>
        <w:rPr>
          <w:rFonts w:ascii="Times New Roman" w:hAnsi="Times New Roman" w:eastAsia="Times New Roman" w:cs="Times New Roman"/>
        </w:rPr>
        <w:t xml:space="preserve">jubilada depende directamente de las contribuciones de la generación joven activa. Sin embargo, el desequilibrio demográfico —caracterizado por la transición regresiva de la pirámide poblacional en Ecuador— amenaza este contrato intergeneracional. Según el</w:t>
      </w:r>
      <w:r>
        <w:rPr>
          <w:rFonts w:ascii="Times New Roman" w:hAnsi="Times New Roman" w:eastAsia="Times New Roman" w:cs="Times New Roman"/>
        </w:rPr>
        <w:t xml:space="preserve"> </w:t>
      </w:r>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se proyecta una reducción del 2.73% en la población de primera infancia y un incremento del 2% en la de adultos mayores para 2025, lo que reduce la tasa de soporte del sistema.</w:t>
      </w:r>
      <w:bookmarkEnd w:id="11"/>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2" w:name="economía-del-crimen-e-institucionalidad"/>
      <w:r>
        <w:rPr>
          <w:rFonts w:ascii="Times New Roman" w:hAnsi="Times New Roman" w:eastAsia="Times New Roman" w:cs="Times New Roman"/>
        </w:rPr>
        <w:t xml:space="preserve">2.1.2 Economía del Crimen e Institucionalidad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decisión de afiliación no solo depende de factores demográficos, sino de los incentivos institucionales.</w:t>
      </w:r>
      <w:r>
        <w:rPr>
          <w:rFonts w:ascii="Times New Roman" w:hAnsi="Times New Roman" w:eastAsia="Times New Roman" w:cs="Times New Roman"/>
        </w:rPr>
        <w:t xml:space="preserve"> </w:t>
      </w:r>
      <w:r>
        <w:rPr>
          <w:rFonts w:ascii="Times New Roman" w:hAnsi="Times New Roman" w:eastAsia="Times New Roman" w:cs="Times New Roman"/>
        </w:rPr>
        <w:t xml:space="preserve">Becker (1968)</w:t>
      </w:r>
      <w:r>
        <w:rPr>
          <w:rFonts w:ascii="Times New Roman" w:hAnsi="Times New Roman" w:eastAsia="Times New Roman" w:cs="Times New Roman"/>
        </w:rPr>
        <w:t xml:space="preserve"> </w:t>
      </w:r>
      <w:r>
        <w:rPr>
          <w:rFonts w:ascii="Times New Roman" w:hAnsi="Times New Roman" w:eastAsia="Times New Roman" w:cs="Times New Roman"/>
        </w:rPr>
        <w:t xml:space="preserve">plantea que los individuos evalúan el costo de oportunidad de la legalidad frente a los beneficios esperados. En contextos de alta inseguridad ciudadana y extor</w:t>
      </w:r>
      <w:r>
        <w:rPr>
          <w:rFonts w:ascii="Times New Roman" w:hAnsi="Times New Roman" w:eastAsia="Times New Roman" w:cs="Times New Roman"/>
        </w:rPr>
        <w:t xml:space="preserve">sión, el incentivo para operar en la economía formal se debilita, desplazando a los trabajadores hacia la informalidad. Este desplazamiento erosiona la base contributiva del IESS, transformando la crisis de seguridad en una crisis de solvencia previsional.</w:t>
      </w:r>
      <w:bookmarkEnd w:id="12"/>
      <w:r/>
      <w:bookmarkEnd w:id="13"/>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6" w:name="Xd83e84ea09c8ff240a9d8ede2b393bff55a7461"/>
      <w:r>
        <w:rPr>
          <w:rFonts w:ascii="Times New Roman" w:hAnsi="Times New Roman" w:eastAsia="Times New Roman" w:cs="Times New Roman"/>
        </w:rPr>
        <w:t xml:space="preserve">2.2 Enfoques de la Informalidad y Seguridad Social</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4" w:name="modelos-de-protección-social"/>
      <w:r>
        <w:rPr>
          <w:rFonts w:ascii="Times New Roman" w:hAnsi="Times New Roman" w:eastAsia="Times New Roman" w:cs="Times New Roman"/>
        </w:rPr>
        <w:t xml:space="preserve">2.2.1 Modelos de Protección Social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w:t>
      </w:r>
      <w:r>
        <w:rPr>
          <w:rFonts w:ascii="Times New Roman" w:hAnsi="Times New Roman" w:eastAsia="Times New Roman" w:cs="Times New Roman"/>
        </w:rPr>
        <w:t xml:space="preserve">distinguen entre los modelos de seguridad social Bismarckianos —basados en seguros obligatorios contributivos— y los Beveridgeanos —enfocados en la cob</w:t>
      </w:r>
      <w:r>
        <w:rPr>
          <w:rFonts w:ascii="Times New Roman" w:hAnsi="Times New Roman" w:eastAsia="Times New Roman" w:cs="Times New Roman"/>
        </w:rPr>
        <w:t xml:space="preserve">ertura universal financiada por impuestos—. Ecuador opera bajo un esquema híbrido donde la obligatoriedad se enfrenta a una estructura económica predominantemente informal. La informalidad en Ecuador no es un fenómeno coyuntural, sino estructural; según el</w:t>
      </w:r>
      <w:r>
        <w:rPr>
          <w:rFonts w:ascii="Times New Roman" w:hAnsi="Times New Roman" w:eastAsia="Times New Roman" w:cs="Times New Roman"/>
        </w:rPr>
        <w:t xml:space="preserve"> </w:t>
      </w:r>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el sector informal absorbe casi la mitad del empleo total (46.74%), lo que limita la efectividad del modelo contributivo.</w:t>
      </w:r>
      <w:bookmarkEnd w:id="14"/>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15" w:name="Xe06ccbe90980826b97c94fcd0530c89fa421a6c"/>
      <w:r>
        <w:rPr>
          <w:rFonts w:ascii="Times New Roman" w:hAnsi="Times New Roman" w:eastAsia="Times New Roman" w:cs="Times New Roman"/>
        </w:rPr>
        <w:t xml:space="preserve">2.2.2 Determinantes de la Afiliación en Ecuador</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literatura identifica tres enfoques principales para explicar la informalidad: dualista, estructuralista y neoclásico (</w:t>
      </w:r>
      <w:r>
        <w:rPr>
          <w:rFonts w:ascii="Times New Roman" w:hAnsi="Times New Roman" w:eastAsia="Times New Roman" w:cs="Times New Roman"/>
        </w:rPr>
        <w:t xml:space="preserve">Quejada et al. (2014)</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El enfoque estructuralista sugiere que la incapacidad del sector formal para absorber la oferta laboral obliga a los trabajadores a refugiarse en el autoempleo precario. Empíricamente,</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w:t>
      </w:r>
      <w:r>
        <w:rPr>
          <w:rFonts w:ascii="Times New Roman" w:hAnsi="Times New Roman" w:eastAsia="Times New Roman" w:cs="Times New Roman"/>
        </w:rPr>
        <w:t xml:space="preserve">demuestran que el ingreso laboral es el principal determin</w:t>
      </w:r>
      <w:r>
        <w:rPr>
          <w:rFonts w:ascii="Times New Roman" w:hAnsi="Times New Roman" w:eastAsia="Times New Roman" w:cs="Times New Roman"/>
        </w:rPr>
        <w:t xml:space="preserve">ante de la afiliación voluntaria en Ecuador; sin embargo, los ingresos promedio del sector informal se mantienen por debajo del Salario Básico Unificado (SBU), lo que genera una barrera económica insuperable para el cumplimiento de las tasas de aportación.</w:t>
      </w:r>
      <w:bookmarkEnd w:id="15"/>
      <w:r/>
      <w:bookmarkEnd w:id="16"/>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8" w:name="modelo-base-de-sostenibilidad"/>
      <w:r>
        <w:rPr>
          <w:rFonts w:ascii="Times New Roman" w:hAnsi="Times New Roman" w:eastAsia="Times New Roman" w:cs="Times New Roman"/>
        </w:rPr>
        <w:t xml:space="preserve">2.3 Modelo Base de Sostenibilidad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A partir de la síntesis de los marcos OLG y de la Economía del Crimen, se establece un modelo base de sostenibilidad para</w:t>
      </w:r>
      <w:r>
        <w:rPr>
          <w:rFonts w:ascii="Times New Roman" w:hAnsi="Times New Roman" w:eastAsia="Times New Roman" w:cs="Times New Roman"/>
        </w:rPr>
        <w:t xml:space="preserve"> el sistema previsional ecuatoriano. Este modelo postula que la capacidad de soporte del IESS es una función multivariante de la estructura demográfica, la presión fiscal y el entorno de seguridad ciudadana. La relación funcional se define en la Ecuación (</w:t>
      </w:r>
      <w:hyperlink w:tooltip="#eq-modelo-base" w:anchor="eq-modelo-base" w:history="1">
        <w:r>
          <w:rPr>
            <w:rStyle w:val="733"/>
            <w:rFonts w:ascii="Times New Roman" w:hAnsi="Times New Roman" w:eastAsia="Times New Roman" w:cs="Times New Roman"/>
          </w:rPr>
          <w:t xml:space="preserve">Ecuación 1</w:t>
        </w:r>
      </w:hyperlink>
      <w:r>
        <w:rPr>
          <w:rFonts w:ascii="Times New Roman" w:hAnsi="Times New Roman" w:eastAsia="Times New Roman" w:cs="Times New Roman"/>
        </w:rPr>
        <w:t xml:space="preserve">):</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r>
      <w:bookmarkStart w:id="17" w:name="eq-modelo-base"/>
      <w:r>
        <w:rPr>
          <w:rFonts w:ascii="Times New Roman" w:hAnsi="Times New Roman" w:eastAsia="Times New Roman" w:cs="Times New Roman"/>
        </w:rPr>
      </w:r>
      <m:oMathPara>
        <m:oMathParaPr>
          <m:jc m:val="center"/>
        </m:oMathParaPr>
        <m:oMath>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0</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1</m:t>
              </m:r>
            </m:sub>
          </m:sSub>
          <m:r>
            <w:rPr>
              <w:rFonts w:hint="default" w:ascii="Cambria Math" w:hAnsi="Cambria Math" w:eastAsia="Cambria Math" w:cs="Cambria Math"/>
            </w:rPr>
            <m:rPr/>
            <m:t>G</m:t>
          </m:r>
          <m:sSub>
            <m:sSubPr>
              <m:ctrlPr>
                <w:rPr>
                  <w:rFonts w:hint="default" w:ascii="Cambria Math" w:hAnsi="Cambria Math" w:eastAsia="Cambria Math" w:cs="Cambria Math"/>
                </w:rPr>
              </m:ctrlPr>
            </m:sSubPr>
            <m:e>
              <m:r>
                <w:rPr>
                  <w:rFonts w:hint="default" w:ascii="Cambria Math" w:hAnsi="Cambria Math" w:eastAsia="Cambria Math" w:cs="Cambria Math"/>
                </w:rPr>
                <m:rPr/>
                <m:t>M</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2</m:t>
              </m:r>
            </m:sub>
          </m:sSub>
          <m:r>
            <w:rPr>
              <w:rFonts w:hint="default" w:ascii="Cambria Math" w:hAnsi="Cambria Math" w:eastAsia="Cambria Math" w:cs="Cambria Math"/>
            </w:rPr>
            <m:rPr/>
            <m:t>H</m:t>
          </m:r>
          <m:sSub>
            <m:sSubPr>
              <m:ctrlPr>
                <w:rPr>
                  <w:rFonts w:hint="default" w:ascii="Cambria Math" w:hAnsi="Cambria Math" w:eastAsia="Cambria Math" w:cs="Cambria Math"/>
                </w:rPr>
              </m:ctrlPr>
            </m:sSubPr>
            <m:e>
              <m:r>
                <w:rPr>
                  <w:rFonts w:hint="default" w:ascii="Cambria Math" w:hAnsi="Cambria Math" w:eastAsia="Cambria Math" w:cs="Cambria Math"/>
                </w:rPr>
                <m:rPr/>
                <m:t>O</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3</m:t>
              </m:r>
            </m:sub>
          </m:sSub>
          <m:r>
            <w:rPr>
              <w:rFonts w:hint="default" w:ascii="Cambria Math" w:hAnsi="Cambria Math" w:eastAsia="Cambria Math" w:cs="Cambria Math"/>
            </w:rPr>
            <m:rPr/>
            <m:t>M</m:t>
          </m:r>
          <m:sSub>
            <m:sSubPr>
              <m:ctrlPr>
                <w:rPr>
                  <w:rFonts w:hint="default" w:ascii="Cambria Math" w:hAnsi="Cambria Math" w:eastAsia="Cambria Math" w:cs="Cambria Math"/>
                </w:rPr>
              </m:ctrlPr>
            </m:sSubPr>
            <m:e>
              <m:r>
                <w:rPr>
                  <w:rFonts w:hint="default" w:ascii="Cambria Math" w:hAnsi="Cambria Math" w:eastAsia="Cambria Math" w:cs="Cambria Math"/>
                </w:rPr>
                <m:rPr/>
                <m:t>I</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β</m:t>
              </m:r>
            </m:e>
            <m:sub>
              <m:r>
                <w:rPr>
                  <w:rFonts w:hint="default" w:ascii="Cambria Math" w:hAnsi="Cambria Math" w:eastAsia="Cambria Math" w:cs="Cambria Math"/>
                </w:rPr>
                <m:rPr/>
                <m:t>4</m:t>
              </m:r>
            </m:sub>
          </m:sSub>
          <m:r>
            <w:rPr>
              <w:rFonts w:hint="default" w:ascii="Cambria Math" w:hAnsi="Cambria Math" w:eastAsia="Cambria Math" w:cs="Cambria Math"/>
            </w:rPr>
            <m:rPr/>
            <m:t>F</m:t>
          </m:r>
          <m:sSub>
            <m:sSubPr>
              <m:ctrlPr>
                <w:rPr>
                  <w:rFonts w:hint="default" w:ascii="Cambria Math" w:hAnsi="Cambria Math" w:eastAsia="Cambria Math" w:cs="Cambria Math"/>
                </w:rPr>
              </m:ctrlPr>
            </m:sSubPr>
            <m:e>
              <m:r>
                <w:rPr>
                  <w:rFonts w:hint="default" w:ascii="Cambria Math" w:hAnsi="Cambria Math" w:eastAsia="Cambria Math" w:cs="Cambria Math"/>
                </w:rPr>
                <m:rPr/>
                <m:t>L</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μ</m:t>
              </m:r>
            </m:e>
            <m:sub>
              <m:r>
                <w:rPr>
                  <w:rFonts w:hint="default" w:ascii="Cambria Math" w:hAnsi="Cambria Math" w:eastAsia="Cambria Math" w:cs="Cambria Math"/>
                </w:rPr>
                <m:rPr/>
                <m:t>t</m:t>
              </m:r>
            </m:sub>
          </m:sSub>
          <m:r>
            <w:rPr>
              <w:rFonts w:hint="default" w:ascii="Cambria Math" w:hAnsi="Cambria Math" w:eastAsia="Cambria Math" w:cs="Cambria Math"/>
            </w:rPr>
            <m:rPr/>
            <m:t>  </m:t>
          </m:r>
          <m:r>
            <w:rPr>
              <w:rFonts w:hint="default" w:ascii="Cambria Math" w:hAnsi="Cambria Math" w:eastAsia="Cambria Math" w:cs="Cambria Math"/>
            </w:rPr>
            <m:rPr>
              <m:sty m:val="p"/>
            </m:rPr>
            <m:t>(</m:t>
          </m:r>
          <m:r>
            <w:rPr>
              <w:rFonts w:hint="default" w:ascii="Cambria Math" w:hAnsi="Cambria Math" w:eastAsia="Cambria Math" w:cs="Cambria Math"/>
            </w:rPr>
            <m:rPr/>
            <m:t>1</m:t>
          </m:r>
          <m:r>
            <w:rPr>
              <w:rFonts w:hint="default" w:ascii="Cambria Math" w:hAnsi="Cambria Math" w:eastAsia="Cambria Math" w:cs="Cambria Math"/>
            </w:rPr>
            <m:rPr>
              <m:sty m:val="p"/>
            </m:rPr>
            <m:t>)</m:t>
          </m:r>
        </m:oMath>
      </m:oMathPara>
      <w:r>
        <w:rPr>
          <w:rFonts w:ascii="Times New Roman" w:hAnsi="Times New Roman" w:eastAsia="Times New Roman" w:cs="Times New Roman"/>
        </w:rPr>
      </w:r>
      <w:bookmarkEnd w:id="17"/>
      <w:r>
        <w:rPr>
          <w:rFonts w:ascii="Times New Roman" w:hAnsi="Times New Roman" w:eastAsia="Times New Roman" w:cs="Times New Roman"/>
        </w:rPr>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Donde: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(Afiliados)</w:t>
      </w:r>
      <w:r>
        <w:rPr>
          <w:rFonts w:ascii="Times New Roman" w:hAnsi="Times New Roman" w:eastAsia="Times New Roman" w:cs="Times New Roman"/>
        </w:rPr>
        <w:t xml:space="preserve">: Representa la variable dependiente de sostenibilidad. Es el flujo de recursos que garantiza el pago de prestaciones en el esquema de reparto.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G</m:t>
        </m:r>
        <m:sSub>
          <m:sSubPr>
            <m:ctrlPr>
              <w:rPr>
                <w:rFonts w:hint="default" w:ascii="Cambria Math" w:hAnsi="Cambria Math" w:eastAsia="Cambria Math" w:cs="Cambria Math"/>
              </w:rPr>
            </m:ctrlPr>
          </m:sSubPr>
          <m:e>
            <m:r>
              <w:rPr>
                <w:rFonts w:hint="default" w:ascii="Cambria Math" w:hAnsi="Cambria Math" w:eastAsia="Cambria Math" w:cs="Cambria Math"/>
              </w:rPr>
              <m:rPr/>
              <m:t>M</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(Gasto Militar)</w:t>
      </w:r>
      <w:r>
        <w:rPr>
          <w:rFonts w:ascii="Times New Roman" w:hAnsi="Times New Roman" w:eastAsia="Times New Roman" w:cs="Times New Roman"/>
        </w:rPr>
        <w:t xml:space="preserve">: Variable de competencia fiscal. Captura el efecto de desplazamiento de recursos públicos hacia sectores de defensa no contributivos.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H</m:t>
        </m:r>
        <m:sSub>
          <m:sSubPr>
            <m:ctrlPr>
              <w:rPr>
                <w:rFonts w:hint="default" w:ascii="Cambria Math" w:hAnsi="Cambria Math" w:eastAsia="Cambria Math" w:cs="Cambria Math"/>
              </w:rPr>
            </m:ctrlPr>
          </m:sSubPr>
          <m:e>
            <m:r>
              <w:rPr>
                <w:rFonts w:hint="default" w:ascii="Cambria Math" w:hAnsi="Cambria Math" w:eastAsia="Cambria Math" w:cs="Cambria Math"/>
              </w:rPr>
              <m:rPr/>
              <m:t>O</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(Tasa de Homicidios)</w:t>
      </w:r>
      <w:r>
        <w:rPr>
          <w:rFonts w:ascii="Times New Roman" w:hAnsi="Times New Roman" w:eastAsia="Times New Roman" w:cs="Times New Roman"/>
        </w:rPr>
        <w:t xml:space="preserve">: Indicador de inestabilidad social. Representa el riesgo institucional que incentiva la informalidad y reduce el horizonte de planeación de los agentes.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M</m:t>
        </m:r>
        <m:sSub>
          <m:sSubPr>
            <m:ctrlPr>
              <w:rPr>
                <w:rFonts w:hint="default" w:ascii="Cambria Math" w:hAnsi="Cambria Math" w:eastAsia="Cambria Math" w:cs="Cambria Math"/>
              </w:rPr>
            </m:ctrlPr>
          </m:sSubPr>
          <m:e>
            <m:r>
              <w:rPr>
                <w:rFonts w:hint="default" w:ascii="Cambria Math" w:hAnsi="Cambria Math" w:eastAsia="Cambria Math" w:cs="Cambria Math"/>
              </w:rPr>
              <m:rPr/>
              <m:t>I</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(Migración)</w:t>
      </w:r>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m:oMath>
        <m:r>
          <w:rPr>
            <w:rFonts w:hint="default" w:ascii="Cambria Math" w:hAnsi="Cambria Math" w:eastAsia="Cambria Math" w:cs="Cambria Math"/>
          </w:rPr>
          <m:rPr/>
          <m:t>F</m:t>
        </m:r>
        <m:sSub>
          <m:sSubPr>
            <m:ctrlPr>
              <w:rPr>
                <w:rFonts w:hint="default" w:ascii="Cambria Math" w:hAnsi="Cambria Math" w:eastAsia="Cambria Math" w:cs="Cambria Math"/>
              </w:rPr>
            </m:ctrlPr>
          </m:sSubPr>
          <m:e>
            <m:r>
              <w:rPr>
                <w:rFonts w:hint="default" w:ascii="Cambria Math" w:hAnsi="Cambria Math" w:eastAsia="Cambria Math" w:cs="Cambria Math"/>
              </w:rPr>
              <m:rPr/>
              <m:t>L</m:t>
            </m:r>
          </m:e>
          <m:sub>
            <m:r>
              <w:rPr>
                <w:rFonts w:hint="default" w:ascii="Cambria Math" w:hAnsi="Cambria Math" w:eastAsia="Cambria Math" w:cs="Cambria Math"/>
              </w:rPr>
              <m:rPr/>
              <m:t>t</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(Fuerza Laboral)</w:t>
      </w:r>
      <w:r>
        <w:rPr>
          <w:rFonts w:ascii="Times New Roman" w:hAnsi="Times New Roman" w:eastAsia="Times New Roman" w:cs="Times New Roman"/>
        </w:rPr>
        <w:t xml:space="preserve">: Variables de control demográfico. Representan la escala y la oferta laboral disponible para alimentar el sistema.</w:t>
      </w:r>
      <w:bookmarkEnd w:id="18"/>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19" w:name="evidencia-empírica-local"/>
      <w:r>
        <w:rPr>
          <w:rFonts w:ascii="Times New Roman" w:hAnsi="Times New Roman" w:eastAsia="Times New Roman" w:cs="Times New Roman"/>
        </w:rPr>
        <w:t xml:space="preserve">2.4 Evidencia Empírica Local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brecha de protección en Ecuador es crítica. Datos del</w:t>
      </w:r>
      <w:r>
        <w:rPr>
          <w:rFonts w:ascii="Times New Roman" w:hAnsi="Times New Roman" w:eastAsia="Times New Roman" w:cs="Times New Roman"/>
        </w:rPr>
        <w:t xml:space="preserve"> </w:t>
      </w:r>
      <w:r>
        <w:rPr>
          <w:rFonts w:ascii="Times New Roman" w:hAnsi="Times New Roman" w:eastAsia="Times New Roman" w:cs="Times New Roman"/>
        </w:rPr>
        <w:t xml:space="preserve">INEC Ecuador (2022)</w:t>
      </w:r>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w:t>
      </w:r>
      <w:r>
        <w:rPr>
          <w:rFonts w:ascii="Times New Roman" w:hAnsi="Times New Roman" w:eastAsia="Times New Roman" w:cs="Times New Roman"/>
        </w:rPr>
        <w:t xml:space="preserve">indican que aproximadamente el 77.06% de los trabajadores informales no cuentan con ninguna forma de seguridad social. Además, el</w:t>
      </w:r>
      <w:r>
        <w:rPr>
          <w:rFonts w:ascii="Times New Roman" w:hAnsi="Times New Roman" w:eastAsia="Times New Roman" w:cs="Times New Roman"/>
        </w:rPr>
        <w:t xml:space="preserve"> </w:t>
      </w:r>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w:t>
      </w:r>
      <w:r>
        <w:rPr>
          <w:rFonts w:ascii="Times New Roman" w:hAnsi="Times New Roman" w:eastAsia="Times New Roman" w:cs="Times New Roman"/>
        </w:rPr>
        <w:t xml:space="preserve">señala qu</w:t>
      </w:r>
      <w:r>
        <w:rPr>
          <w:rFonts w:ascii="Times New Roman" w:hAnsi="Times New Roman" w:eastAsia="Times New Roman" w:cs="Times New Roman"/>
        </w:rPr>
        <w:t xml:space="preserve">e la inseguridad ciudadana se ha convertido en la principal preocupación social, lo que sugiere un posible efecto de desplazamiento del gasto público hacia la defensa y seguridad, limitando la capacidad fiscal para sanear las deudas del Estado con el IESS.</w:t>
      </w:r>
      <w:bookmarkEnd w:id="19"/>
      <w:r/>
      <w:bookmarkEnd w:id="20"/>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26" w:name="metodología-y-datos"/>
      <w:r>
        <w:rPr>
          <w:rFonts w:ascii="Times New Roman" w:hAnsi="Times New Roman" w:eastAsia="Times New Roman" w:cs="Times New Roman"/>
        </w:rPr>
        <w:t xml:space="preserve">3. Metodología y Datos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En esta sección se detallan los determinantes seleccionados, el marco analítico y la especificación técnica del modelo econométrico para evaluar la sostenibilidad del sistema de seguridad social.</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21" w:name="hipótesis-de-investigación"/>
      <w:r>
        <w:rPr>
          <w:rFonts w:ascii="Times New Roman" w:hAnsi="Times New Roman" w:eastAsia="Times New Roman" w:cs="Times New Roman"/>
        </w:rPr>
        <w:t xml:space="preserve">3.1</w:t>
      </w:r>
      <w:r>
        <w:rPr>
          <w:rFonts w:ascii="Times New Roman" w:hAnsi="Times New Roman" w:eastAsia="Times New Roman" w:cs="Times New Roman"/>
        </w:rPr>
        <w:t xml:space="preserve"> </w:t>
      </w:r>
      <w:r>
        <w:rPr>
          <w:rFonts w:ascii="Times New Roman" w:hAnsi="Times New Roman" w:eastAsia="Times New Roman" w:cs="Times New Roman"/>
          <w:b/>
          <w:bCs/>
        </w:rPr>
        <w:t xml:space="preserve">Hipótesis de Investigación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Se plantean las siguientes hipótesis sobre la sostenibilidad institucional del IESS:</w:t>
      </w:r>
      <w:r>
        <w:rPr>
          <w:rFonts w:ascii="Times New Roman" w:hAnsi="Times New Roman" w:eastAsia="Times New Roman" w:cs="Times New Roman"/>
        </w:rPr>
      </w:r>
    </w:p>
    <w:p>
      <w:pPr>
        <w:pStyle w:val="689"/>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H1:</w:t>
      </w:r>
      <w:r>
        <w:rPr>
          <w:rFonts w:ascii="Times New Roman" w:hAnsi="Times New Roman" w:eastAsia="Times New Roman" w:cs="Times New Roman"/>
        </w:rPr>
        <w:t xml:space="preserve"> </w:t>
      </w:r>
      <w:r>
        <w:rPr>
          <w:rFonts w:ascii="Times New Roman" w:hAnsi="Times New Roman" w:eastAsia="Times New Roman" w:cs="Times New Roman"/>
        </w:rPr>
        <w:t xml:space="preserve">El incremento del gasto militar genera un efecto de desplazamiento fiscal (</w:t>
      </w:r>
      <w:r>
        <w:rPr>
          <w:rFonts w:ascii="Times New Roman" w:hAnsi="Times New Roman" w:eastAsia="Times New Roman" w:cs="Times New Roman"/>
          <w:i/>
          <w:iCs/>
        </w:rPr>
        <w:t xml:space="preserve">crowding-out</w:t>
      </w:r>
      <w:r>
        <w:rPr>
          <w:rFonts w:ascii="Times New Roman" w:hAnsi="Times New Roman" w:eastAsia="Times New Roman" w:cs="Times New Roman"/>
        </w:rPr>
        <w:t xml:space="preserve">) que erosiona la capacidad de financiamiento y la sostenibilidad del sistema de seguridad social civil.</w:t>
      </w:r>
      <w:r>
        <w:rPr>
          <w:rFonts w:ascii="Times New Roman" w:hAnsi="Times New Roman" w:eastAsia="Times New Roman" w:cs="Times New Roman"/>
        </w:rPr>
      </w:r>
    </w:p>
    <w:p>
      <w:pPr>
        <w:pStyle w:val="689"/>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H2:</w:t>
      </w:r>
      <w:r>
        <w:rPr>
          <w:rFonts w:ascii="Times New Roman" w:hAnsi="Times New Roman" w:eastAsia="Times New Roman" w:cs="Times New Roman"/>
        </w:rPr>
        <w:t xml:space="preserve"> </w:t>
      </w:r>
      <w:r>
        <w:rPr>
          <w:rFonts w:ascii="Times New Roman" w:hAnsi="Times New Roman" w:eastAsia="Times New Roman" w:cs="Times New Roman"/>
        </w:rPr>
        <w:t xml:space="preserve">La inestabilidad social y la inseguridad ciudadana desincentivan la formalización laboral, reduciendo la base de cotizantes activos en el largo plazo.</w:t>
      </w:r>
      <w:r>
        <w:rPr>
          <w:rFonts w:ascii="Times New Roman" w:hAnsi="Times New Roman" w:eastAsia="Times New Roman" w:cs="Times New Roman"/>
        </w:rPr>
      </w:r>
    </w:p>
    <w:p>
      <w:pPr>
        <w:pStyle w:val="689"/>
        <w:numPr>
          <w:ilvl w:val="0"/>
          <w:numId w:val="2"/>
        </w:numPr>
        <w:pBdr/>
        <w:spacing/>
        <w:ind/>
        <w:rPr>
          <w:rFonts w:ascii="Times New Roman" w:hAnsi="Times New Roman" w:cs="Times New Roman"/>
        </w:rPr>
      </w:pPr>
      <w:r>
        <w:rPr>
          <w:rFonts w:ascii="Times New Roman" w:hAnsi="Times New Roman" w:eastAsia="Times New Roman" w:cs="Times New Roman"/>
          <w:b/>
          <w:bCs/>
        </w:rPr>
        <w:t xml:space="preserve">H3:</w:t>
      </w:r>
      <w:r>
        <w:rPr>
          <w:rFonts w:ascii="Times New Roman" w:hAnsi="Times New Roman" w:eastAsia="Times New Roman" w:cs="Times New Roman"/>
        </w:rPr>
        <w:t xml:space="preserve"> </w:t>
      </w:r>
      <w:r>
        <w:rPr>
          <w:rFonts w:ascii="Times New Roman" w:hAnsi="Times New Roman" w:eastAsia="Times New Roman" w:cs="Times New Roman"/>
        </w:rPr>
        <w:t xml:space="preserve">Existe una relación de equilibrio inestable en el sistema del IESS, donde choques externos en el gasto fiscal o la seguridad nacional provocan trayectorias divergentes en la masa de afiliados.</w:t>
      </w:r>
      <w:bookmarkEnd w:id="21"/>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23" w:name="definición-de-variables"/>
      <w:r>
        <w:rPr>
          <w:rFonts w:ascii="Times New Roman" w:hAnsi="Times New Roman" w:eastAsia="Times New Roman" w:cs="Times New Roman"/>
        </w:rPr>
        <w:t xml:space="preserve">3.2</w:t>
      </w:r>
      <w:r>
        <w:rPr>
          <w:rFonts w:ascii="Times New Roman" w:hAnsi="Times New Roman" w:eastAsia="Times New Roman" w:cs="Times New Roman"/>
        </w:rPr>
        <w:t xml:space="preserve"> </w:t>
      </w:r>
      <w:r>
        <w:rPr>
          <w:rFonts w:ascii="Times New Roman" w:hAnsi="Times New Roman" w:eastAsia="Times New Roman" w:cs="Times New Roman"/>
          <w:b/>
          <w:bCs/>
        </w:rPr>
        <w:t xml:space="preserve">Definición de Variables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especificación empírica define al número de afiliados (AF) como la variable dependiente de interés. Los regresores independientes principales son el gasto militar (GM) y la tasa de homicidios (HO), seleccionados para te</w:t>
      </w:r>
      <w:r>
        <w:rPr>
          <w:rFonts w:ascii="Times New Roman" w:hAnsi="Times New Roman" w:eastAsia="Times New Roman" w:cs="Times New Roman"/>
        </w:rPr>
        <w:t xml:space="preserve">stear las hipótesis de desplazamiento fiscal e inestabilidad social. Asimismo, se integran la migración neta (MI) y la fuerza laboral total (FL) como variables de control para capturar la dinámica demográfica y la escala del mercado de trabajo ecuatoriano.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22" w:name="tbl-variables"/>
            <w:r>
              <w:rPr>
                <w:rFonts w:ascii="Times New Roman" w:hAnsi="Times New Roman" w:eastAsia="Times New Roman" w:cs="Times New Roman"/>
              </w:rPr>
              <w:t xml:space="preserve">Tabla 1: Matriz de Variables de Investigación</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792"/>
              <w:gridCol w:w="1188"/>
              <w:gridCol w:w="3168"/>
              <w:gridCol w:w="792"/>
              <w:gridCol w:w="198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Código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Definición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Unidad</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Fuente de Datos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Afiliados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Personas registradas que aportan activamente al IESS (SGO + SSC).</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Conteo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IESS / Boletines Estadísticos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en defensa y fuerzas armadas como proporción del producto interno.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 del PIB</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(WDI)</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Saldo neto de personas que ingresan menos las que salen del país.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Conteo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(WDI)</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Homicidios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Muertes ilegales causadas intencionalmente por violencia interpersonal.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Tasa por 100k hab.</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 UNODC</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Fuerza Laboral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Población económicamente activa total.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Conteo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Banco Mundial (WDI)</w:t>
                  </w:r>
                  <w:bookmarkEnd w:id="22"/>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bl>
    <w:p>
      <w:pPr>
        <w:pStyle w:val="687"/>
        <w:pBdr/>
        <w:spacing/>
        <w:ind/>
        <w:rPr>
          <w:rFonts w:ascii="Times New Roman" w:hAnsi="Times New Roman" w:cs="Times New Roman"/>
        </w:rPr>
      </w:pPr>
      <w:r>
        <w:rPr>
          <w:rFonts w:ascii="Times New Roman" w:hAnsi="Times New Roman" w:eastAsia="Times New Roman" w:cs="Times New Roman"/>
        </w:rPr>
        <w:t xml:space="preserve">La inclusión del</w:t>
      </w:r>
      <w:r>
        <w:rPr>
          <w:rFonts w:ascii="Times New Roman" w:hAnsi="Times New Roman" w:eastAsia="Times New Roman" w:cs="Times New Roman"/>
        </w:rPr>
        <w:t xml:space="preserve"> </w:t>
      </w:r>
      <w:r>
        <w:rPr>
          <w:rFonts w:ascii="Times New Roman" w:hAnsi="Times New Roman" w:eastAsia="Times New Roman" w:cs="Times New Roman"/>
          <w:b/>
          <w:bCs/>
        </w:rPr>
        <w:t xml:space="preserve">Gasto Militar (GM)</w:t>
      </w:r>
      <w:r>
        <w:rPr>
          <w:rFonts w:ascii="Times New Roman" w:hAnsi="Times New Roman" w:eastAsia="Times New Roman" w:cs="Times New Roman"/>
        </w:rPr>
        <w:t xml:space="preserve"> </w:t>
      </w:r>
      <w:r>
        <w:rPr>
          <w:rFonts w:ascii="Times New Roman" w:hAnsi="Times New Roman" w:eastAsia="Times New Roman" w:cs="Times New Roman"/>
        </w:rPr>
        <w:t xml:space="preserve">permite analizar la</w:t>
      </w:r>
      <w:r>
        <w:rPr>
          <w:rFonts w:ascii="Times New Roman" w:hAnsi="Times New Roman" w:eastAsia="Times New Roman" w:cs="Times New Roman"/>
        </w:rPr>
        <w:t xml:space="preserve"> </w:t>
      </w:r>
      <w:r>
        <w:rPr>
          <w:rFonts w:ascii="Times New Roman" w:hAnsi="Times New Roman" w:eastAsia="Times New Roman" w:cs="Times New Roman"/>
          <w:b/>
          <w:bCs/>
        </w:rPr>
        <w:t xml:space="preserve">competencia por recursos fiscales</w:t>
      </w:r>
      <w:r>
        <w:rPr>
          <w:rFonts w:ascii="Times New Roman" w:hAnsi="Times New Roman" w:eastAsia="Times New Roman" w:cs="Times New Roman"/>
        </w:rPr>
        <w:t xml:space="preserve">. En Ecuador, la existencia de sistemas de seguridad social específicos para las fuerzas armadas (ISSFA) genera una presión presupuestaria que compite directamente con el financiamiento del sistema civil (IESS). Por otro lado, la</w:t>
      </w:r>
      <w:r>
        <w:rPr>
          <w:rFonts w:ascii="Times New Roman" w:hAnsi="Times New Roman" w:eastAsia="Times New Roman" w:cs="Times New Roman"/>
        </w:rPr>
        <w:t xml:space="preserve"> </w:t>
      </w:r>
      <w:r>
        <w:rPr>
          <w:rFonts w:ascii="Times New Roman" w:hAnsi="Times New Roman" w:eastAsia="Times New Roman" w:cs="Times New Roman"/>
          <w:b/>
          <w:bCs/>
        </w:rPr>
        <w:t xml:space="preserve">Tasa de Homicidios (HO)</w:t>
      </w:r>
      <w:r>
        <w:rPr>
          <w:rFonts w:ascii="Times New Roman" w:hAnsi="Times New Roman" w:eastAsia="Times New Roman" w:cs="Times New Roman"/>
        </w:rPr>
        <w:t xml:space="preserve"> </w:t>
      </w:r>
      <w:r>
        <w:rPr>
          <w:rFonts w:ascii="Times New Roman" w:hAnsi="Times New Roman" w:eastAsia="Times New Roman" w:cs="Times New Roman"/>
        </w:rPr>
        <w:t xml:space="preserve">captura el impacto de la inseguridad en la confianza institucional y los incentivos para la formalización de largo plazo.</w:t>
      </w:r>
      <w:bookmarkEnd w:id="23"/>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25" w:name="especificación-del-modelo-econométrico"/>
      <w:r>
        <w:rPr>
          <w:rFonts w:ascii="Times New Roman" w:hAnsi="Times New Roman" w:eastAsia="Times New Roman" w:cs="Times New Roman"/>
        </w:rPr>
        <w:t xml:space="preserve">3.3</w:t>
      </w:r>
      <w:r>
        <w:rPr>
          <w:rFonts w:ascii="Times New Roman" w:hAnsi="Times New Roman" w:eastAsia="Times New Roman" w:cs="Times New Roman"/>
        </w:rPr>
        <w:t xml:space="preserve"> </w:t>
      </w:r>
      <w:r>
        <w:rPr>
          <w:rFonts w:ascii="Times New Roman" w:hAnsi="Times New Roman" w:eastAsia="Times New Roman" w:cs="Times New Roman"/>
          <w:b/>
          <w:bCs/>
        </w:rPr>
        <w:t xml:space="preserve">Especificación del Modelo Econométrico</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Para analizar la dinámica de largo plazo y los mecanismos de ajuste, se emplea un modelo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Rezagos Distribuidos Autorregresivos (ARDL)</w:t>
      </w:r>
      <w:r>
        <w:rPr>
          <w:rFonts w:ascii="Times New Roman" w:hAnsi="Times New Roman" w:eastAsia="Times New Roman" w:cs="Times New Roman"/>
        </w:rPr>
        <w:t xml:space="preserve">. Esta técnica es superior a las estimaciones estáticas tradicionales ya que permite tratar variables con diferentes órdenes de integración,</w:t>
      </w:r>
      <w:r>
        <w:rPr>
          <w:rFonts w:ascii="Times New Roman" w:hAnsi="Times New Roman" w:eastAsia="Times New Roman" w:cs="Times New Roman"/>
        </w:rPr>
        <w:t xml:space="preserve"> </w:t>
      </w:r>
      <m:oMath>
        <m:r>
          <w:rPr>
            <w:rFonts w:hint="default" w:ascii="Cambria Math" w:hAnsi="Cambria Math" w:eastAsia="Cambria Math" w:cs="Cambria Math"/>
          </w:rPr>
          <m:rPr/>
          <m:t>I</m:t>
        </m:r>
        <m:r>
          <w:rPr>
            <w:rFonts w:hint="default" w:ascii="Cambria Math" w:hAnsi="Cambria Math" w:eastAsia="Cambria Math" w:cs="Cambria Math"/>
          </w:rPr>
          <m:rPr>
            <m:sty m:val="p"/>
          </m:rPr>
          <m:t>(</m:t>
        </m:r>
        <m:r>
          <w:rPr>
            <w:rFonts w:hint="default" w:ascii="Cambria Math" w:hAnsi="Cambria Math" w:eastAsia="Cambria Math" w:cs="Cambria Math"/>
          </w:rPr>
          <m:rPr/>
          <m:t>0</m:t>
        </m:r>
        <m:r>
          <w:rPr>
            <w:rFonts w:hint="default" w:ascii="Cambria Math" w:hAnsi="Cambria Math" w:eastAsia="Cambria Math" w:cs="Cambria Math"/>
          </w:rP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r>
          <w:rPr>
            <w:rFonts w:hint="default" w:ascii="Cambria Math" w:hAnsi="Cambria Math" w:eastAsia="Cambria Math" w:cs="Cambria Math"/>
          </w:rPr>
          <m:rPr/>
          <m:t>I</m:t>
        </m:r>
        <m:r>
          <w:rPr>
            <w:rFonts w:hint="default" w:ascii="Cambria Math" w:hAnsi="Cambria Math" w:eastAsia="Cambria Math" w:cs="Cambria Math"/>
          </w:rPr>
          <m:rPr>
            <m:sty m:val="p"/>
          </m:rPr>
          <m:t>(</m:t>
        </m:r>
        <m:r>
          <w:rPr>
            <w:rFonts w:hint="default" w:ascii="Cambria Math" w:hAnsi="Cambria Math" w:eastAsia="Cambria Math" w:cs="Cambria Math"/>
          </w:rPr>
          <m:rPr/>
          <m:t>1</m:t>
        </m:r>
        <m:r>
          <w:rPr>
            <w:rFonts w:hint="default" w:ascii="Cambria Math" w:hAnsi="Cambria Math" w:eastAsia="Cambria Math" w:cs="Cambria Math"/>
          </w:rPr>
          <m:rPr>
            <m:sty m:val="p"/>
          </m:rPr>
          <m:t>)</m:t>
        </m:r>
      </m:oMath>
      <w:r>
        <w:rPr>
          <w:rFonts w:ascii="Times New Roman" w:hAnsi="Times New Roman" w:eastAsia="Times New Roman" w:cs="Times New Roman"/>
        </w:rPr>
        <w:t xml:space="preserve">, evitando el riesgo de regresiones espurias y permitiendo la identificación de cointegración incluso en muestras pequeñas.</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t xml:space="preserve">La forma funcional del modelo de corrección de error (ECM) derivado del ARDL (</w:t>
      </w:r>
      <m:oMath>
        <m:r>
          <w:rPr>
            <w:rFonts w:hint="default" w:ascii="Cambria Math" w:hAnsi="Cambria Math" w:eastAsia="Cambria Math" w:cs="Cambria Math"/>
          </w:rPr>
          <m:rPr/>
          <m:t>p</m:t>
        </m:r>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1</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2</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3</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q</m:t>
            </m:r>
          </m:e>
          <m:sub>
            <m:r>
              <w:rPr>
                <w:rFonts w:hint="default" w:ascii="Cambria Math" w:hAnsi="Cambria Math" w:eastAsia="Cambria Math" w:cs="Cambria Math"/>
              </w:rPr>
              <m:rPr/>
              <m:t>4</m:t>
            </m:r>
          </m:sub>
        </m:sSub>
      </m:oMath>
      <w:r>
        <w:rPr>
          <w:rFonts w:ascii="Times New Roman" w:hAnsi="Times New Roman" w:eastAsia="Times New Roman" w:cs="Times New Roman"/>
        </w:rPr>
        <w:t xml:space="preserve">) se define en la Ecuación (</w:t>
      </w:r>
      <w:hyperlink w:tooltip="#eq-ardl-ecm" w:anchor="eq-ardl-ecm" w:history="1">
        <w:r>
          <w:rPr>
            <w:rStyle w:val="733"/>
            <w:rFonts w:ascii="Times New Roman" w:hAnsi="Times New Roman" w:eastAsia="Times New Roman" w:cs="Times New Roman"/>
          </w:rPr>
          <w:t xml:space="preserve">Ecuación 2</w:t>
        </w:r>
      </w:hyperlink>
      <w:r>
        <w:rPr>
          <w:rFonts w:ascii="Times New Roman" w:hAnsi="Times New Roman" w:eastAsia="Times New Roman" w:cs="Times New Roman"/>
        </w:rPr>
        <w:t xml:space="preserve">):</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r>
      <w:bookmarkStart w:id="24" w:name="eq-ardl-ecm"/>
      <w:r>
        <w:rPr>
          <w:rFonts w:ascii="Times New Roman" w:hAnsi="Times New Roman" w:eastAsia="Times New Roman" w:cs="Times New Roman"/>
        </w:rPr>
      </w:r>
      <m:oMathPara>
        <m:oMathParaPr>
          <m:jc m:val="center"/>
        </m:oMathParaPr>
        <m:oMath>
          <m:r>
            <w:rPr>
              <w:rFonts w:hint="default" w:ascii="Cambria Math" w:hAnsi="Cambria Math" w:eastAsia="Cambria Math" w:cs="Cambria Math"/>
            </w:rPr>
            <m:rPr>
              <m:sty m:val="p"/>
            </m:rPr>
            <m:t>Δ</m:t>
          </m:r>
          <m:r>
            <w:rPr>
              <w:rFonts w:hint="default" w:ascii="Cambria Math" w:hAnsi="Cambria Math" w:eastAsia="Cambria Math" w:cs="Cambria Math"/>
            </w:rPr>
            <m:rPr>
              <m:sty m:val="p"/>
            </m:rPr>
            <m:t>ln</m:t>
          </m:r>
          <m:r>
            <w:rPr>
              <w:rFonts w:hint="default" w:ascii="Cambria Math" w:hAnsi="Cambria Math" w:eastAsia="Cambria Math" w:cs="Cambria Math"/>
            </w:rPr>
            <m:rPr>
              <m:sty m:val="p"/>
            </m:rPr>
            <m:t>(</m:t>
          </m:r>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sub>
          </m:sSub>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α</m:t>
          </m:r>
          <m:r>
            <w:rPr>
              <w:rFonts w:hint="default" w:ascii="Cambria Math" w:hAnsi="Cambria Math" w:eastAsia="Cambria Math" w:cs="Cambria Math"/>
            </w:rPr>
            <m:rPr>
              <m:sty m:val="p"/>
            </m:rPr>
            <m:t>+</m:t>
          </m:r>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i</m:t>
              </m:r>
              <m:r>
                <w:rPr>
                  <w:rFonts w:hint="default" w:ascii="Cambria Math" w:hAnsi="Cambria Math" w:eastAsia="Cambria Math" w:cs="Cambria Math"/>
                </w:rPr>
                <m:rPr>
                  <m:sty m:val="p"/>
                </m:rPr>
                <m:t>=</m:t>
              </m:r>
              <m:r>
                <w:rPr>
                  <w:rFonts w:hint="default" w:ascii="Cambria Math" w:hAnsi="Cambria Math" w:eastAsia="Cambria Math" w:cs="Cambria Math"/>
                </w:rPr>
                <m:rPr/>
                <m:t>1</m:t>
              </m:r>
            </m:sub>
            <m:sup>
              <m:r>
                <w:rPr>
                  <w:rFonts w:hint="default" w:ascii="Cambria Math" w:hAnsi="Cambria Math" w:eastAsia="Cambria Math" w:cs="Cambria Math"/>
                </w:rPr>
                <m:rPr/>
                <m:t>p</m:t>
              </m:r>
            </m:sup>
            <m:e>
              <m:sSub>
                <m:sSubPr>
                  <m:ctrlPr>
                    <w:rPr>
                      <w:rFonts w:hint="default" w:ascii="Cambria Math" w:hAnsi="Cambria Math" w:eastAsia="Cambria Math" w:cs="Cambria Math"/>
                    </w:rPr>
                  </m:ctrlPr>
                </m:sSubPr>
                <m:e>
                  <m:r>
                    <w:rPr>
                      <w:rFonts w:hint="default" w:ascii="Cambria Math" w:hAnsi="Cambria Math" w:eastAsia="Cambria Math" w:cs="Cambria Math"/>
                    </w:rPr>
                    <m:rPr/>
                    <m:t>ϕ</m:t>
                  </m:r>
                </m:e>
                <m:sub>
                  <m:r>
                    <w:rPr>
                      <w:rFonts w:hint="default" w:ascii="Cambria Math" w:hAnsi="Cambria Math" w:eastAsia="Cambria Math" w:cs="Cambria Math"/>
                    </w:rPr>
                    <m:rPr/>
                    <m:t>i</m:t>
                  </m:r>
                </m:sub>
              </m:sSub>
            </m:e>
          </m:nary>
          <m:r>
            <w:rPr>
              <w:rFonts w:hint="default" w:ascii="Cambria Math" w:hAnsi="Cambria Math" w:eastAsia="Cambria Math" w:cs="Cambria Math"/>
            </w:rPr>
            <m:rPr>
              <m:sty m:val="p"/>
            </m:rPr>
            <m:t>Δ</m:t>
          </m:r>
          <m:r>
            <w:rPr>
              <w:rFonts w:hint="default" w:ascii="Cambria Math" w:hAnsi="Cambria Math" w:eastAsia="Cambria Math" w:cs="Cambria Math"/>
            </w:rPr>
            <m:rPr>
              <m:sty m:val="p"/>
            </m:rPr>
            <m:t>ln</m:t>
          </m:r>
          <m:r>
            <w:rPr>
              <w:rFonts w:hint="default" w:ascii="Cambria Math" w:hAnsi="Cambria Math" w:eastAsia="Cambria Math" w:cs="Cambria Math"/>
            </w:rPr>
            <m:rPr>
              <m:sty m:val="p"/>
            </m:rPr>
            <m:t>(</m:t>
          </m:r>
          <m:r>
            <w:rPr>
              <w:rFonts w:hint="default" w:ascii="Cambria Math" w:hAnsi="Cambria Math" w:eastAsia="Cambria Math" w:cs="Cambria Math"/>
            </w:rPr>
            <m:rPr/>
            <m:t>A</m:t>
          </m:r>
          <m:sSub>
            <m:sSubPr>
              <m:ctrlPr>
                <w:rPr>
                  <w:rFonts w:hint="default" w:ascii="Cambria Math" w:hAnsi="Cambria Math" w:eastAsia="Cambria Math" w:cs="Cambria Math"/>
                </w:rPr>
              </m:ctrlPr>
            </m:sSubPr>
            <m:e>
              <m:r>
                <w:rPr>
                  <w:rFonts w:hint="default" w:ascii="Cambria Math" w:hAnsi="Cambria Math" w:eastAsia="Cambria Math" w:cs="Cambria Math"/>
                </w:rPr>
                <m:rPr/>
                <m:t>F</m:t>
              </m:r>
            </m:e>
            <m:sub>
              <m:r>
                <w:rPr>
                  <w:rFonts w:hint="default" w:ascii="Cambria Math" w:hAnsi="Cambria Math" w:eastAsia="Cambria Math" w:cs="Cambria Math"/>
                </w:rPr>
                <m:rPr/>
                <m:t>t</m:t>
              </m:r>
              <m:r>
                <w:rPr>
                  <w:rFonts w:hint="default" w:ascii="Cambria Math" w:hAnsi="Cambria Math" w:eastAsia="Cambria Math" w:cs="Cambria Math"/>
                </w:rPr>
                <m:rPr>
                  <m:sty m:val="p"/>
                </m:rPr>
                <m:t>−</m:t>
              </m:r>
              <m:r>
                <w:rPr>
                  <w:rFonts w:hint="default" w:ascii="Cambria Math" w:hAnsi="Cambria Math" w:eastAsia="Cambria Math" w:cs="Cambria Math"/>
                </w:rPr>
                <m:rPr/>
                <m:t>i</m:t>
              </m:r>
            </m:sub>
          </m:sSub>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j</m:t>
              </m:r>
              <m:r>
                <w:rPr>
                  <w:rFonts w:hint="default" w:ascii="Cambria Math" w:hAnsi="Cambria Math" w:eastAsia="Cambria Math" w:cs="Cambria Math"/>
                </w:rPr>
                <m:rPr>
                  <m:sty m:val="p"/>
                </m:rPr>
                <m:t>=</m:t>
              </m:r>
              <m:r>
                <w:rPr>
                  <w:rFonts w:hint="default" w:ascii="Cambria Math" w:hAnsi="Cambria Math" w:eastAsia="Cambria Math" w:cs="Cambria Math"/>
                </w:rPr>
                <m:rPr/>
                <m:t>0</m:t>
              </m:r>
            </m:sub>
            <m:sup>
              <m:r>
                <w:rPr>
                  <w:rFonts w:hint="default" w:ascii="Cambria Math" w:hAnsi="Cambria Math" w:eastAsia="Cambria Math" w:cs="Cambria Math"/>
                </w:rPr>
                <m:rPr/>
                <m:t>q</m:t>
              </m:r>
            </m:sup>
            <m:e>
              <m:sSub>
                <m:sSubPr>
                  <m:ctrlPr>
                    <w:rPr>
                      <w:rFonts w:hint="default" w:ascii="Cambria Math" w:hAnsi="Cambria Math" w:eastAsia="Cambria Math" w:cs="Cambria Math"/>
                    </w:rPr>
                  </m:ctrlPr>
                </m:sSubPr>
                <m:e>
                  <m:r>
                    <w:rPr>
                      <w:rFonts w:hint="default" w:ascii="Cambria Math" w:hAnsi="Cambria Math" w:eastAsia="Cambria Math" w:cs="Cambria Math"/>
                    </w:rPr>
                    <m:rPr/>
                    <m:t>δ</m:t>
                  </m:r>
                </m:e>
                <m:sub>
                  <m:r>
                    <w:rPr>
                      <w:rFonts w:hint="default" w:ascii="Cambria Math" w:hAnsi="Cambria Math" w:eastAsia="Cambria Math" w:cs="Cambria Math"/>
                    </w:rPr>
                    <m:rPr/>
                    <m:t>j</m:t>
                  </m:r>
                </m:sub>
              </m:sSub>
            </m:e>
          </m:nary>
          <m:r>
            <w:rPr>
              <w:rFonts w:hint="default" w:ascii="Cambria Math" w:hAnsi="Cambria Math" w:eastAsia="Cambria Math" w:cs="Cambria Math"/>
            </w:rPr>
            <m:rPr>
              <m:sty m:val="p"/>
            </m:rPr>
            <m:t>Δ</m:t>
          </m:r>
          <m:sSub>
            <m:sSubPr>
              <m:ctrlPr>
                <w:rPr>
                  <w:rFonts w:hint="default"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t</m:t>
              </m:r>
              <m:r>
                <w:rPr>
                  <w:rFonts w:hint="default" w:ascii="Cambria Math" w:hAnsi="Cambria Math" w:eastAsia="Cambria Math" w:cs="Cambria Math"/>
                </w:rPr>
                <m:rPr>
                  <m:sty m:val="p"/>
                </m:rPr>
                <m:t>−</m:t>
              </m:r>
              <m:r>
                <w:rPr>
                  <w:rFonts w:hint="default" w:ascii="Cambria Math" w:hAnsi="Cambria Math" w:eastAsia="Cambria Math" w:cs="Cambria Math"/>
                </w:rPr>
                <m:rPr/>
                <m:t>j</m:t>
              </m:r>
            </m:sub>
          </m:sSub>
          <m:r>
            <w:rPr>
              <w:rFonts w:hint="default" w:ascii="Cambria Math" w:hAnsi="Cambria Math" w:eastAsia="Cambria Math" w:cs="Cambria Math"/>
            </w:rPr>
            <m:rPr>
              <m:sty m:val="p"/>
            </m:rPr>
            <m:t>+</m:t>
          </m:r>
          <m:r>
            <w:rPr>
              <w:rFonts w:hint="default" w:ascii="Cambria Math" w:hAnsi="Cambria Math" w:eastAsia="Cambria Math" w:cs="Cambria Math"/>
            </w:rPr>
            <m:rPr/>
            <m:t>λ</m:t>
          </m:r>
          <m:r>
            <w:rPr>
              <w:rFonts w:hint="default" w:ascii="Cambria Math" w:hAnsi="Cambria Math" w:eastAsia="Cambria Math" w:cs="Cambria Math"/>
            </w:rPr>
            <m:rPr/>
            <m:t>E</m:t>
          </m:r>
          <m:r>
            <w:rPr>
              <w:rFonts w:hint="default" w:ascii="Cambria Math" w:hAnsi="Cambria Math" w:eastAsia="Cambria Math" w:cs="Cambria Math"/>
            </w:rPr>
            <m:rPr/>
            <m:t>C</m:t>
          </m:r>
          <m:sSub>
            <m:sSubPr>
              <m:ctrlPr>
                <w:rPr>
                  <w:rFonts w:hint="default" w:ascii="Cambria Math" w:hAnsi="Cambria Math" w:eastAsia="Cambria Math" w:cs="Cambria Math"/>
                </w:rPr>
              </m:ctrlPr>
            </m:sSubPr>
            <m:e>
              <m:r>
                <w:rPr>
                  <w:rFonts w:hint="default" w:ascii="Cambria Math" w:hAnsi="Cambria Math" w:eastAsia="Cambria Math" w:cs="Cambria Math"/>
                </w:rPr>
                <m:rPr/>
                <m:t>T</m:t>
              </m:r>
            </m:e>
            <m:sub>
              <m:r>
                <w:rPr>
                  <w:rFonts w:hint="default" w:ascii="Cambria Math" w:hAnsi="Cambria Math" w:eastAsia="Cambria Math" w:cs="Cambria Math"/>
                </w:rPr>
                <m:rPr/>
                <m:t>t</m:t>
              </m:r>
              <m:r>
                <w:rPr>
                  <w:rFonts w:hint="default" w:ascii="Cambria Math" w:hAnsi="Cambria Math" w:eastAsia="Cambria Math" w:cs="Cambria Math"/>
                </w:rPr>
                <m:rPr>
                  <m:sty m:val="p"/>
                </m:rPr>
                <m:t>−</m:t>
              </m:r>
              <m:r>
                <w:rPr>
                  <w:rFonts w:hint="default" w:ascii="Cambria Math" w:hAnsi="Cambria Math" w:eastAsia="Cambria Math" w:cs="Cambria Math"/>
                </w:rPr>
                <m:rPr/>
                <m:t>1</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rPr>
              </m:ctrlPr>
            </m:sSubPr>
            <m:e>
              <m:r>
                <w:rPr>
                  <w:rFonts w:hint="default" w:ascii="Cambria Math" w:hAnsi="Cambria Math" w:eastAsia="Cambria Math" w:cs="Cambria Math"/>
                </w:rPr>
                <m:rPr/>
                <m:t>ϵ</m:t>
              </m:r>
            </m:e>
            <m:sub>
              <m:r>
                <w:rPr>
                  <w:rFonts w:hint="default" w:ascii="Cambria Math" w:hAnsi="Cambria Math" w:eastAsia="Cambria Math" w:cs="Cambria Math"/>
                </w:rPr>
                <m:rPr/>
                <m:t>t</m:t>
              </m:r>
            </m:sub>
          </m:sSub>
          <m:r>
            <w:rPr>
              <w:rFonts w:hint="default" w:ascii="Cambria Math" w:hAnsi="Cambria Math" w:eastAsia="Cambria Math" w:cs="Cambria Math"/>
            </w:rPr>
            <m:rPr/>
            <m:t>  </m:t>
          </m:r>
          <m:r>
            <w:rPr>
              <w:rFonts w:hint="default" w:ascii="Cambria Math" w:hAnsi="Cambria Math" w:eastAsia="Cambria Math" w:cs="Cambria Math"/>
            </w:rPr>
            <m:rPr>
              <m:sty m:val="p"/>
            </m:rPr>
            <m:t>(</m:t>
          </m:r>
          <m:r>
            <w:rPr>
              <w:rFonts w:hint="default" w:ascii="Cambria Math" w:hAnsi="Cambria Math" w:eastAsia="Cambria Math" w:cs="Cambria Math"/>
            </w:rPr>
            <m:rPr/>
            <m:t>2</m:t>
          </m:r>
          <m:r>
            <w:rPr>
              <w:rFonts w:hint="default" w:ascii="Cambria Math" w:hAnsi="Cambria Math" w:eastAsia="Cambria Math" w:cs="Cambria Math"/>
            </w:rPr>
            <m:rPr>
              <m:sty m:val="p"/>
            </m:rPr>
            <m:t>)</m:t>
          </m:r>
        </m:oMath>
      </m:oMathPara>
      <w:r>
        <w:rPr>
          <w:rFonts w:ascii="Times New Roman" w:hAnsi="Times New Roman" w:eastAsia="Times New Roman" w:cs="Times New Roman"/>
        </w:rPr>
      </w:r>
      <w:bookmarkEnd w:id="24"/>
      <w:r>
        <w:rPr>
          <w:rFonts w:ascii="Times New Roman" w:hAnsi="Times New Roman" w:eastAsia="Times New Roman" w:cs="Times New Roman"/>
        </w:rPr>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Donde: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sty m:val="p"/>
          </m:rPr>
          <m:t>Δ</m:t>
        </m:r>
      </m:oMath>
      <w:r>
        <w:rPr>
          <w:rFonts w:ascii="Times New Roman" w:hAnsi="Times New Roman" w:eastAsia="Times New Roman" w:cs="Times New Roman"/>
        </w:rPr>
        <w:t xml:space="preserve">: Operador de primera diferencia.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sSubPr>
            <m:ctrlPr>
              <w:rPr>
                <w:rFonts w:hint="default"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t</m:t>
            </m:r>
          </m:sub>
        </m:sSub>
      </m:oMath>
      <w:r>
        <w:rPr>
          <w:rFonts w:ascii="Times New Roman" w:hAnsi="Times New Roman" w:eastAsia="Times New Roman" w:cs="Times New Roman"/>
        </w:rPr>
        <w:t xml:space="preserve">: Vector de regresores explicativos (</w:t>
      </w:r>
      <w:r>
        <w:rPr>
          <w:rFonts w:ascii="Times New Roman" w:hAnsi="Times New Roman" w:eastAsia="Times New Roman" w:cs="Times New Roman"/>
          <w:b/>
          <w:bCs/>
        </w:rPr>
        <w:t xml:space="preserve">GM</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MI</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HO</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w:rPr>
            <w:rFonts w:hint="default" w:ascii="Cambria Math" w:hAnsi="Cambria Math" w:eastAsia="Cambria Math" w:cs="Cambria Math"/>
          </w:rPr>
          <m:rPr/>
          <m:t>λ</m:t>
        </m:r>
      </m:oMath>
      <w:r>
        <w:rPr>
          <w:rFonts w:ascii="Times New Roman" w:hAnsi="Times New Roman" w:eastAsia="Times New Roman" w:cs="Times New Roman"/>
        </w:rPr>
        <w:t xml:space="preserve">: Parámetro de corrección de error. Un valor de</w:t>
      </w:r>
      <w:r>
        <w:rPr>
          <w:rFonts w:ascii="Times New Roman" w:hAnsi="Times New Roman" w:eastAsia="Times New Roman" w:cs="Times New Roman"/>
        </w:rPr>
        <w:t xml:space="preserve"> </w:t>
      </w:r>
      <m:oMath>
        <m:r>
          <w:rPr>
            <w:rFonts w:hint="default" w:ascii="Cambria Math" w:hAnsi="Cambria Math" w:eastAsia="Cambria Math" w:cs="Cambria Math"/>
          </w:rPr>
          <m:rPr/>
          <m:t>λ</m:t>
        </m:r>
        <m:r>
          <w:rPr>
            <w:rFonts w:hint="default" w:ascii="Cambria Math" w:hAnsi="Cambria Math" w:eastAsia="Cambria Math" w:cs="Cambria Math"/>
          </w:rPr>
          <m:rPr>
            <m:sty m:val="p"/>
          </m:rPr>
          <m:t>&lt;</m:t>
        </m:r>
        <m:r>
          <w:rPr>
            <w:rFonts w:hint="default" w:ascii="Cambria Math" w:hAnsi="Cambria Math" w:eastAsia="Cambria Math" w:cs="Cambria Math"/>
          </w:rPr>
          <m:rP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indica que el sistema converge al equilibrio tras un choque. Por el contrario, un valor de</w:t>
      </w:r>
      <w:r>
        <w:rPr>
          <w:rFonts w:ascii="Times New Roman" w:hAnsi="Times New Roman" w:eastAsia="Times New Roman" w:cs="Times New Roman"/>
        </w:rPr>
        <w:t xml:space="preserve"> </w:t>
      </w:r>
      <m:oMath>
        <m:r>
          <w:rPr>
            <w:rFonts w:hint="default" w:ascii="Cambria Math" w:hAnsi="Cambria Math" w:eastAsia="Cambria Math" w:cs="Cambria Math"/>
          </w:rPr>
          <m:rPr/>
          <m:t>λ</m:t>
        </m:r>
        <m:r>
          <w:rPr>
            <w:rFonts w:hint="default" w:ascii="Cambria Math" w:hAnsi="Cambria Math" w:eastAsia="Cambria Math" w:cs="Cambria Math"/>
          </w:rPr>
          <m:rPr>
            <m:sty m:val="p"/>
          </m:rPr>
          <m:t>&gt;</m:t>
        </m:r>
        <m:r>
          <w:rPr>
            <w:rFonts w:hint="default" w:ascii="Cambria Math" w:hAnsi="Cambria Math" w:eastAsia="Cambria Math" w:cs="Cambria Math"/>
          </w:rPr>
          <m:rP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es evidencia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inestabilidad sistémica o divergencia</w:t>
      </w:r>
      <w:r>
        <w:rPr>
          <w:rFonts w:ascii="Times New Roman" w:hAnsi="Times New Roman" w:eastAsia="Times New Roman" w:cs="Times New Roman"/>
        </w:rPr>
        <w:t xml:space="preserve">, sugiriendo que el sistema es estructuralmente insostenible ante perturbaciones externas.</w:t>
      </w:r>
      <w:bookmarkEnd w:id="25"/>
      <w:r/>
      <w:bookmarkEnd w:id="26"/>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37" w:name="análisis-descriptivo"/>
      <w:r>
        <w:rPr>
          <w:rFonts w:ascii="Times New Roman" w:hAnsi="Times New Roman" w:eastAsia="Times New Roman" w:cs="Times New Roman"/>
        </w:rPr>
        <w:t xml:space="preserve">4. Análisis Descriptivo</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análisis de variabilidad confirma que las series temporales capturan los choques estructurales del periodo 1990-2024.</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32" w:name="Xe61ab91f46d78ed1d67a3b29390a1a3f12e6cb9"/>
      <w:r>
        <w:rPr>
          <w:rFonts w:ascii="Times New Roman" w:hAnsi="Times New Roman" w:eastAsia="Times New Roman" w:cs="Times New Roman"/>
        </w:rPr>
        <w:t xml:space="preserve">4.1 Visualización de Tendencias Estructurales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Se presenta la evolución longitudinal</w:t>
      </w:r>
      <w:r>
        <w:rPr>
          <w:rFonts w:ascii="Times New Roman" w:hAnsi="Times New Roman" w:eastAsia="Times New Roman" w:cs="Times New Roman"/>
        </w:rPr>
        <w:t xml:space="preserve"> de los determinantes críticos para identificar posibles quiebres estructurales y tendencias seculares en el periodo analizado. Las series han sido escaladas para facilitar la comparativa visual (Afiliados y Fuerza Laboral en millones; Migración en miles).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w:bookmarkStart w:id="30" w:name="fig-tendencias"/>
            <w:r>
              <w:rPr>
                <w:rFonts w:ascii="Times New Roman" w:hAnsi="Times New Roman" w:eastAsia="Times New Roman" w:cs="Times New Roman"/>
              </w:rPr>
              <mc:AlternateContent>
                <mc:Choice Requires="wpg">
                  <w:drawing>
                    <wp:inline xmlns:wp="http://schemas.openxmlformats.org/drawingml/2006/wordprocessingDrawing" distT="0" distB="0" distL="0" distR="0">
                      <wp:extent cx="5334000" cy="3878818"/>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assets/fig-tendencias-stata.png"/>
                              <pic:cNvPicPr>
                                <a:picLocks noChangeAspect="1" noChangeArrowheads="1"/>
                              </pic:cNvPicPr>
                              <pic:nvPr/>
                            </pic:nvPicPr>
                            <pic:blipFill rotWithShape="1">
                              <a:blip r:embed="rId9"/>
                              <a:stretch/>
                            </pic:blipFill>
                            <pic:spPr bwMode="auto">
                              <a:xfrm>
                                <a:off x="0" y="0"/>
                                <a:ext cx="5334000" cy="38788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0.00pt;height:305.42pt;mso-wrap-distance-left:0.00pt;mso-wrap-distance-top:0.00pt;mso-wrap-distance-right:0.00pt;mso-wrap-distance-bottom:0.00pt;z-index:1;" stroked="f" strokeweight="0.75pt">
                      <v:imagedata r:id="rId9" o:title=""/>
                      <o:lock v:ext="edit" rotation="t"/>
                    </v:shape>
                  </w:pict>
                </mc:Fallback>
              </mc:AlternateContent>
            </w:r>
            <w:r>
              <w:rPr>
                <w:rFonts w:ascii="Times New Roman" w:hAnsi="Times New Roman" w:eastAsia="Times New Roman" w:cs="Times New Roman"/>
              </w:rPr>
            </w:r>
          </w:p>
          <w:p>
            <w:pPr>
              <w:pStyle w:val="726"/>
              <w:pBdr/>
              <w:spacing w:before="200"/>
              <w:ind/>
              <w:jc w:val="left"/>
              <w:rPr>
                <w:rFonts w:ascii="Times New Roman" w:hAnsi="Times New Roman" w:cs="Times New Roman"/>
              </w:rPr>
            </w:pPr>
            <w:r>
              <w:rPr>
                <w:rFonts w:ascii="Times New Roman" w:hAnsi="Times New Roman" w:eastAsia="Times New Roman" w:cs="Times New Roman"/>
              </w:rPr>
              <w:t xml:space="preserve">Figura 1: Evolución temporal de los determinantes de la crisis del IESS (1990-2024)</w:t>
            </w:r>
            <w:bookmarkEnd w:id="30"/>
            <w:r>
              <w:rPr>
                <w:rFonts w:ascii="Times New Roman" w:hAnsi="Times New Roman" w:eastAsia="Times New Roman" w:cs="Times New Roman"/>
              </w:rPr>
            </w:r>
          </w:p>
        </w:tc>
      </w:tr>
    </w:tbl>
    <w:p>
      <w:pPr>
        <w:pStyle w:val="687"/>
        <w:pBdr/>
        <w:spacing/>
        <w:ind/>
        <w:rPr>
          <w:rFonts w:ascii="Times New Roman" w:hAnsi="Times New Roman" w:cs="Times New Roman"/>
        </w:rPr>
      </w:pPr>
      <w:r>
        <w:rPr>
          <w:rFonts w:ascii="Times New Roman" w:hAnsi="Times New Roman" w:eastAsia="Times New Roman" w:cs="Times New Roman"/>
        </w:rPr>
        <w:t xml:space="preserve"> </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31" w:name="tbl-resumen"/>
            <w:r>
              <w:rPr>
                <w:rFonts w:ascii="Times New Roman" w:hAnsi="Times New Roman" w:eastAsia="Times New Roman" w:cs="Times New Roman"/>
              </w:rPr>
              <w:t xml:space="preserve">Tabla 2: Estadísticos descriptivos de las variables de investigación (1990-2024)</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320"/>
              <w:gridCol w:w="1320"/>
              <w:gridCol w:w="1320"/>
              <w:gridCol w:w="1320"/>
              <w:gridCol w:w="1320"/>
              <w:gridCol w:w="132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Media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Desv. Est.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Mín.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Máx.</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Afiliados (AF)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14.4970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0.5160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13.7420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15.1493</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2.1833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0.5560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1.2133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3.2432</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Neta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-13606.2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31691.4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-47287.0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95482.0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Tasa 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2.5222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0.4908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1.7557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3.8226</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15.6394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0.2402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15.2127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15.9950</w:t>
                  </w:r>
                  <w:bookmarkEnd w:id="31"/>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32"/>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36" w:name="diagnósticos-econométricos"/>
      <w:r>
        <w:rPr>
          <w:rFonts w:ascii="Times New Roman" w:hAnsi="Times New Roman" w:eastAsia="Times New Roman" w:cs="Times New Roman"/>
        </w:rPr>
        <w:t xml:space="preserve">4.2 Diagnósticos Econométricos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validez de las inferencias en series de tiempo depende de la estructura dinámica de los datos y el cumplimiento de condiciones de estabilidad. Se aplican pruebas para asegurar la robustez ante multicolinealidad y no-estacionariedad.</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34" w:name="multicolinealidad-vif"/>
      <w:r>
        <w:rPr>
          <w:rFonts w:ascii="Times New Roman" w:hAnsi="Times New Roman" w:eastAsia="Times New Roman" w:cs="Times New Roman"/>
        </w:rPr>
        <w:t xml:space="preserve">4.2.1 Multicolinealidad (VIF)</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33" w:name="tbl-vif"/>
            <w:r>
              <w:rPr>
                <w:rFonts w:ascii="Times New Roman" w:hAnsi="Times New Roman" w:eastAsia="Times New Roman" w:cs="Times New Roman"/>
              </w:rPr>
              <w:t xml:space="preserve">Tabla 3: Factor de Inflación de la Varianza (VIF)</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2640"/>
              <w:gridCol w:w="2640"/>
              <w:gridCol w:w="264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VIF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1/VIF</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Neta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3.76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0.2658</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3.60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0.2780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Log Tasa 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0.4323</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1.83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0.5474</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Promedio VIF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2.87</w:t>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bookmarkEnd w:id="33"/>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34"/>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35" w:name="pruebas-de-raíz-unitaria-zivot-andrews"/>
      <w:r>
        <w:rPr>
          <w:rFonts w:ascii="Times New Roman" w:hAnsi="Times New Roman" w:eastAsia="Times New Roman" w:cs="Times New Roman"/>
        </w:rPr>
        <w:t xml:space="preserve">4.2.2 Pruebas de Raíz Unitaria (Zivot-Andrews)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Se consolidan los resultados de ADF, PP y ZA para niveles e integración.</w:t>
      </w:r>
      <w:bookmarkEnd w:id="35"/>
      <w:r/>
      <w:bookmarkEnd w:id="36"/>
      <w:r/>
      <w:bookmarkEnd w:id="37"/>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71" w:name="resultados-y-discusión"/>
      <w:r>
        <w:rPr>
          <w:rFonts w:ascii="Times New Roman" w:hAnsi="Times New Roman" w:eastAsia="Times New Roman" w:cs="Times New Roman"/>
        </w:rPr>
        <w:t xml:space="preserve">5. Resultados y Discusión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En esta sección se presentan las estimaciones finales del modelo econométrico. El análisis se inicia con la determinación de la estructura dinámica del sistema (VAR/VEC) para validar la consistencia de las relaciones de largo plazo.</w:t>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44" w:name="diagnóstico-dinámico-del-sistema"/>
      <w:r>
        <w:rPr>
          <w:rFonts w:ascii="Times New Roman" w:hAnsi="Times New Roman" w:eastAsia="Times New Roman" w:cs="Times New Roman"/>
        </w:rPr>
        <w:t xml:space="preserve">5.1 Diagnóstico Dinámico del Sistema</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Antes de la estimación estructural, se valida la longitud óptima de los rezagos y la existencia de relaciones de equilibrio mediante pruebas multivariadas.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39" w:name="selección-de-rezagos-óptimos"/>
      <w:r>
        <w:rPr>
          <w:rFonts w:ascii="Times New Roman" w:hAnsi="Times New Roman" w:eastAsia="Times New Roman" w:cs="Times New Roman"/>
        </w:rPr>
        <w:t xml:space="preserve">5.1.1 Selección de Rezagos Óptimos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rezagos" w:anchor="tbl-rezagos" w:history="1">
        <w:r>
          <w:rPr>
            <w:rStyle w:val="733"/>
            <w:rFonts w:ascii="Times New Roman" w:hAnsi="Times New Roman" w:eastAsia="Times New Roman" w:cs="Times New Roman"/>
          </w:rPr>
          <w:t xml:space="preserve">Tabla 4</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muestra los criterios de información para la selección del número de rezagos. Todos los criterios (AIC, HQIC, SBIC y FPE) convergen en una estructura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4 rezagos</w:t>
      </w:r>
      <w:r>
        <w:rPr>
          <w:rFonts w:ascii="Times New Roman" w:hAnsi="Times New Roman" w:eastAsia="Times New Roman" w:cs="Times New Roman"/>
        </w:rPr>
        <w:t xml:space="preserve">, lo que permite capturar adecuadamente la inercia temporal de las variables institucionales y sociales.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38" w:name="tbl-rezagos"/>
            <w:r>
              <w:rPr>
                <w:rFonts w:ascii="Times New Roman" w:hAnsi="Times New Roman" w:eastAsia="Times New Roman" w:cs="Times New Roman"/>
              </w:rPr>
              <w:t xml:space="preserve">Tabla 4: Criterios de Selección de Orden de Rezagos</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879"/>
              <w:gridCol w:w="879"/>
              <w:gridCol w:w="879"/>
              <w:gridCol w:w="879"/>
              <w:gridCol w:w="879"/>
              <w:gridCol w:w="879"/>
              <w:gridCol w:w="879"/>
              <w:gridCol w:w="879"/>
              <w:gridCol w:w="879"/>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Lag</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LR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FPE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AIC</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HQIC</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SBIC</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-358.45</w:t>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10499.4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23.45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23.52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23.68</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-184.28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348.33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0.7117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13.82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15.21</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-134.30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99.96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0.1628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12.21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13.04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14.76</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-89.20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90.21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0.0656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10.92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12.12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14.62</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-31.07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116.25*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0.0194</w:t>
                  </w: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8.78</w:t>
                  </w: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10.36</w:t>
                  </w: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13.64</w:t>
                  </w:r>
                  <w:r>
                    <w:rPr>
                      <w:rFonts w:ascii="Times New Roman" w:hAnsi="Times New Roman" w:eastAsia="Times New Roman" w:cs="Times New Roman"/>
                    </w:rPr>
                    <w:t xml:space="preserve">*</w:t>
                  </w:r>
                  <w:bookmarkEnd w:id="38"/>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39"/>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41" w:name="pruebas-de-causalidad-de-granger"/>
      <w:r>
        <w:rPr>
          <w:rFonts w:ascii="Times New Roman" w:hAnsi="Times New Roman" w:eastAsia="Times New Roman" w:cs="Times New Roman"/>
        </w:rPr>
        <w:t xml:space="preserve">5.1.2 Pruebas de Causalidad de Granger</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granger" w:anchor="tbl-granger" w:history="1">
        <w:r>
          <w:rPr>
            <w:rStyle w:val="733"/>
            <w:rFonts w:ascii="Times New Roman" w:hAnsi="Times New Roman" w:eastAsia="Times New Roman" w:cs="Times New Roman"/>
          </w:rPr>
          <w:t xml:space="preserve">Tabla 5</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evalúa si el comportamiento pasado de una variable ayuda a p</w:t>
      </w:r>
      <w:r>
        <w:rPr>
          <w:rFonts w:ascii="Times New Roman" w:hAnsi="Times New Roman" w:eastAsia="Times New Roman" w:cs="Times New Roman"/>
        </w:rPr>
        <w:t xml:space="preserve">redecir el comportamiento de otra. Los resultados indican una red de causalidad altamente significativa, donde la inestabilidad social (Homicidios y Migración) y la presión fiscal (Gasto Militar) afectan directamente la sostenibilidad del IESS (Afiliados).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0" w:name="tbl-granger"/>
            <w:r>
              <w:rPr>
                <w:rFonts w:ascii="Times New Roman" w:hAnsi="Times New Roman" w:eastAsia="Times New Roman" w:cs="Times New Roman"/>
              </w:rPr>
              <w:t xml:space="preserve">Tabla 5: Pruebas de Causalidad de Granger (Wald Tests)</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Ecuación</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 Excluida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Afiliados (AF)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14.77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0.005</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22.25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12.79</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0.012</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13.81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0.008</w:t>
                  </w:r>
                  <w:r>
                    <w:rPr>
                      <w:rFonts w:ascii="Times New Roman" w:hAnsi="Times New Roman" w:eastAsia="Times New Roman" w:cs="Times New Roman"/>
                    </w:rPr>
                  </w:r>
                </w:p>
              </w:tc>
            </w:tr>
            <w:tr>
              <w:trPr/>
              <w:tc>
                <w:tcPr>
                  <w:tcBorders/>
                </w:tcPr>
                <w:p>
                  <w:pPr>
                    <w:pStyle w:val="68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TOTAL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81.77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Afiliados (AF)</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150.17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66.10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43.68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Todos</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312.74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bookmarkEnd w:id="40"/>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1"/>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43" w:name="cointegración-de-johansen"/>
      <w:r>
        <w:rPr>
          <w:rFonts w:ascii="Times New Roman" w:hAnsi="Times New Roman" w:eastAsia="Times New Roman" w:cs="Times New Roman"/>
        </w:rPr>
        <w:t xml:space="preserve">5.1.3 Cointegración de Johansen</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Para verificar si las variables comparten una tendencia común de largo plazo, se aplica la prueba de Johansen (</w:t>
      </w:r>
      <w:hyperlink w:tooltip="#tbl-johansen" w:anchor="tbl-johansen" w:history="1">
        <w:r>
          <w:rPr>
            <w:rStyle w:val="733"/>
            <w:rFonts w:ascii="Times New Roman" w:hAnsi="Times New Roman" w:eastAsia="Times New Roman" w:cs="Times New Roman"/>
          </w:rPr>
          <w:t xml:space="preserve">Tabla 6</w:t>
        </w:r>
      </w:hyperlink>
      <w:r>
        <w:rPr>
          <w:rFonts w:ascii="Times New Roman" w:hAnsi="Times New Roman" w:eastAsia="Times New Roman" w:cs="Times New Roman"/>
        </w:rPr>
        <w:t xml:space="preserve">). El estadístico de la traza identifica la existencia de</w:t>
      </w:r>
      <w:r>
        <w:rPr>
          <w:rFonts w:ascii="Times New Roman" w:hAnsi="Times New Roman" w:eastAsia="Times New Roman" w:cs="Times New Roman"/>
        </w:rPr>
        <w:t xml:space="preserve"> </w:t>
      </w:r>
      <w:r>
        <w:rPr>
          <w:rFonts w:ascii="Times New Roman" w:hAnsi="Times New Roman" w:eastAsia="Times New Roman" w:cs="Times New Roman"/>
          <w:b/>
          <w:bCs/>
        </w:rPr>
        <w:t xml:space="preserve">2 vectores de cointegración</w:t>
      </w:r>
      <w:r>
        <w:rPr>
          <w:rFonts w:ascii="Times New Roman" w:hAnsi="Times New Roman" w:eastAsia="Times New Roman" w:cs="Times New Roman"/>
        </w:rPr>
        <w:t xml:space="preserve"> </w:t>
      </w:r>
      <w:r>
        <w:rPr>
          <w:rFonts w:ascii="Times New Roman" w:hAnsi="Times New Roman" w:eastAsia="Times New Roman" w:cs="Times New Roman"/>
        </w:rPr>
        <w:t xml:space="preserve">(r=2), validando la pertinencia de utilizar modelos de corrección de error y análisis de largo plazo.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2" w:name="tbl-johansen"/>
            <w:r>
              <w:rPr>
                <w:rFonts w:ascii="Times New Roman" w:hAnsi="Times New Roman" w:eastAsia="Times New Roman" w:cs="Times New Roman"/>
              </w:rPr>
              <w:t xml:space="preserve">Tabla 6: Prueba de Cointegración de Johansen (Trace Statistic)</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Rango Máximo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Autovalor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Traza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Valor Crítico (5%)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Decisión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 = 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99.41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68.52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Rechazar H0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 = 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0.7741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50.31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47.21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Rechazar H0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 = 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0.5015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27.34*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29.68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No Rechazar</w:t>
                  </w:r>
                  <w:bookmarkEnd w:id="42"/>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3"/>
            <w:bookmarkEnd w:id="44"/>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47" w:name="estimación-de-cointegración-ardl"/>
      <w:r>
        <w:rPr>
          <w:rFonts w:ascii="Times New Roman" w:hAnsi="Times New Roman" w:eastAsia="Times New Roman" w:cs="Times New Roman"/>
        </w:rPr>
        <w:t xml:space="preserve">5.2 Estimación de Cointegración (ARDL)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Debido a la persistencia temporal y las fallas de especificación de los modelos</w:t>
      </w:r>
      <w:r>
        <w:rPr>
          <w:rFonts w:ascii="Times New Roman" w:hAnsi="Times New Roman" w:eastAsia="Times New Roman" w:cs="Times New Roman"/>
        </w:rPr>
        <w:t xml:space="preserve"> estáticos, se emplea la técnica de Autorregresivos con Rezagos Distribuidos (ARDL). Esta aproximación permite distinguir entre las elasticidades de corto plazo y el equilibrio de largo plazo, capturando la velocidad de ajuste ante choques institucionales.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46" w:name="dinámica-de-corto-plazo-modelo-ecm"/>
      <w:r>
        <w:rPr>
          <w:rFonts w:ascii="Times New Roman" w:hAnsi="Times New Roman" w:eastAsia="Times New Roman" w:cs="Times New Roman"/>
        </w:rPr>
        <w:t xml:space="preserve">5.2.1 Dinámica de Corto Plazo (Modelo ECM)</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ardl-sr" w:anchor="tbl-ardl-sr" w:history="1">
        <w:r>
          <w:rPr>
            <w:rStyle w:val="733"/>
            <w:rFonts w:ascii="Times New Roman" w:hAnsi="Times New Roman" w:eastAsia="Times New Roman" w:cs="Times New Roman"/>
          </w:rPr>
          <w:t xml:space="preserve">Tabla 7</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presenta los efectos inmediatos de las variables sobre la variación de los afiliados. Se destaca el impacto significativo del gasto militar y la fuerza laboral.</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5" w:name="tbl-ardl-sr"/>
            <w:r>
              <w:rPr>
                <w:rFonts w:ascii="Times New Roman" w:hAnsi="Times New Roman" w:eastAsia="Times New Roman" w:cs="Times New Roman"/>
              </w:rPr>
              <w:t xml:space="preserve">Tabla 7: Coeficientes de Corto Plazo - Modelo ARDL(1,2,2,1,1)</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1760"/>
              <w:gridCol w:w="2200"/>
              <w:gridCol w:w="2200"/>
              <w:gridCol w:w="176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Regresor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Diferencia (D1.)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Interpretación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w:t>
                  </w:r>
                  <w:r>
                    <w:rPr>
                      <w:rFonts w:ascii="Times New Roman" w:hAnsi="Times New Roman" w:eastAsia="Times New Roman" w:cs="Times New Roman"/>
                    </w:rPr>
                    <w:t xml:space="preserve"> </w:t>
                  </w:r>
                  <w:r>
                    <w:rPr>
                      <w:rFonts w:ascii="Times New Roman" w:hAnsi="Times New Roman" w:eastAsia="Times New Roman" w:cs="Times New Roman"/>
                    </w:rPr>
                    <w:t xml:space="preserve">(GM)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-0.0699</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0.022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contractivo inmediato (S)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 Neta</w:t>
                  </w:r>
                  <w:r>
                    <w:rPr>
                      <w:rFonts w:ascii="Times New Roman" w:hAnsi="Times New Roman" w:eastAsia="Times New Roman" w:cs="Times New Roman"/>
                    </w:rPr>
                    <w:t xml:space="preserve"> </w:t>
                  </w:r>
                  <w:r>
                    <w:rPr>
                      <w:rFonts w:ascii="Times New Roman" w:hAnsi="Times New Roman" w:eastAsia="Times New Roman" w:cs="Times New Roman"/>
                    </w:rPr>
                    <w:t xml:space="preserve">(MI)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0.082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Impacto marginal en el flujo (S)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Log Tasa Homicidios</w:t>
                  </w:r>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0.0516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0.181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No significativo en el cortísimo plazo</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Log Fuerza Laboral</w:t>
                  </w:r>
                  <w:r>
                    <w:rPr>
                      <w:rFonts w:ascii="Times New Roman" w:hAnsi="Times New Roman" w:eastAsia="Times New Roman" w:cs="Times New Roman"/>
                    </w:rPr>
                    <w:t xml:space="preserve"> </w:t>
                  </w:r>
                  <w:r>
                    <w:rPr>
                      <w:rFonts w:ascii="Times New Roman" w:hAnsi="Times New Roman" w:eastAsia="Times New Roman" w:cs="Times New Roman"/>
                    </w:rPr>
                    <w:t xml:space="preserve">(FL)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0.7986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Principal motor de afiliación (HS)</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Constante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6.5528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Componente autónomo robusto</w:t>
                  </w:r>
                  <w:bookmarkEnd w:id="45"/>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6"/>
            <w:bookmarkEnd w:id="47"/>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55" w:name="cointegración-y-estabilidad"/>
      <w:r>
        <w:rPr>
          <w:rFonts w:ascii="Times New Roman" w:hAnsi="Times New Roman" w:eastAsia="Times New Roman" w:cs="Times New Roman"/>
        </w:rPr>
        <w:t xml:space="preserve">5.3 Cointegración y Estabilidad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modelo ARDL permite capturar la relación de equilibrio de largo plazo y la estabilidad del sistema ante perturbaciones externas.</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49" w:name="relación-de-largo-plazo-elasticidades"/>
      <w:r>
        <w:rPr>
          <w:rFonts w:ascii="Times New Roman" w:hAnsi="Times New Roman" w:eastAsia="Times New Roman" w:cs="Times New Roman"/>
        </w:rPr>
        <w:t xml:space="preserve">5.3.1 Relación de Largo Plazo (Elasticidades)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modelo ARDL(2,0,0,0,2) revela las elasticidades estructurales que gobiernan el sistema del IESS en el largo plazo: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48" w:name="tbl-ardl-lp"/>
            <w:r>
              <w:rPr>
                <w:rFonts w:ascii="Times New Roman" w:hAnsi="Times New Roman" w:eastAsia="Times New Roman" w:cs="Times New Roman"/>
              </w:rPr>
              <w:t xml:space="preserve">Tabla 8: Coeficientes de Largo Plazo del Modelo ARDL (Estimación Explosiva)</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2217"/>
              <w:gridCol w:w="1108"/>
              <w:gridCol w:w="950"/>
              <w:gridCol w:w="3643"/>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Regresor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Coeficiente (LP)</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Interpretación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Gasto Militar</w:t>
                  </w:r>
                  <w:r>
                    <w:rPr>
                      <w:rFonts w:ascii="Times New Roman" w:hAnsi="Times New Roman" w:eastAsia="Times New Roman" w:cs="Times New Roman"/>
                    </w:rPr>
                    <w:t xml:space="preserve"> </w:t>
                  </w:r>
                  <w:r>
                    <w:rPr>
                      <w:rFonts w:ascii="Times New Roman" w:hAnsi="Times New Roman" w:eastAsia="Times New Roman" w:cs="Times New Roman"/>
                    </w:rPr>
                    <w:t xml:space="preserve">(GM)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-24.6987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de desplazamiento fiscal (explosivo)</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Migración</w:t>
                  </w:r>
                  <w:r>
                    <w:rPr>
                      <w:rFonts w:ascii="Times New Roman" w:hAnsi="Times New Roman" w:eastAsia="Times New Roman" w:cs="Times New Roman"/>
                    </w:rPr>
                    <w:t xml:space="preserve"> </w:t>
                  </w:r>
                  <w:r>
                    <w:rPr>
                      <w:rFonts w:ascii="Times New Roman" w:hAnsi="Times New Roman" w:eastAsia="Times New Roman" w:cs="Times New Roman"/>
                    </w:rPr>
                    <w:t xml:space="preserve">(MI)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no concluyente en largo plazo</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Homicidios</w:t>
                  </w:r>
                  <w:r>
                    <w:rPr>
                      <w:rFonts w:ascii="Times New Roman" w:hAnsi="Times New Roman" w:eastAsia="Times New Roman" w:cs="Times New Roman"/>
                    </w:rPr>
                    <w:t xml:space="preserve"> </w:t>
                  </w:r>
                  <w:r>
                    <w:rPr>
                      <w:rFonts w:ascii="Times New Roman" w:hAnsi="Times New Roman" w:eastAsia="Times New Roman" w:cs="Times New Roman"/>
                    </w:rPr>
                    <w:t xml:space="preserve">(HO)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-22.9725</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Impacto contractivo extremo (divergente)</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b/>
                      <w:bCs/>
                    </w:rPr>
                    <w:t xml:space="preserve">Fuerza Laboral</w:t>
                  </w:r>
                  <w:r>
                    <w:rPr>
                      <w:rFonts w:ascii="Times New Roman" w:hAnsi="Times New Roman" w:eastAsia="Times New Roman" w:cs="Times New Roman"/>
                    </w:rPr>
                    <w:t xml:space="preserve"> </w:t>
                  </w:r>
                  <w:r>
                    <w:rPr>
                      <w:rFonts w:ascii="Times New Roman" w:hAnsi="Times New Roman" w:eastAsia="Times New Roman" w:cs="Times New Roman"/>
                    </w:rPr>
                    <w:t xml:space="preserve">(FL)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106.0743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0.922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Relación inestable con la base productiva</w:t>
                  </w:r>
                  <w:bookmarkEnd w:id="48"/>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49"/>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50" w:name="análisis-del-mecanismo-de-ajuste"/>
      <w:r>
        <w:rPr>
          <w:rFonts w:ascii="Times New Roman" w:hAnsi="Times New Roman" w:eastAsia="Times New Roman" w:cs="Times New Roman"/>
        </w:rPr>
        <w:t xml:space="preserve">5.3.2 Análisis del Mecanismo de Ajuste</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Coeficiente de Ajuste (ADJ) derivado del modelo de corrección de error presenta un valor positivo de +0.0042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0.924</m:t>
        </m:r>
      </m:oMath>
      <w:r>
        <w:rPr>
          <w:rFonts w:ascii="Times New Roman" w:hAnsi="Times New Roman" w:eastAsia="Times New Roman" w:cs="Times New Roman"/>
        </w:rPr>
        <w:t xml:space="preserve">). Desde la perspectiva econométrica, este signo indica la ausencia de mecanismos de convergencia hacia un equilibrio estable de largo plazo; por el contrario, sugiere que el sistema experimenta una trayectoria divergente</w:t>
      </w:r>
      <w:r>
        <w:rPr>
          <w:rFonts w:ascii="Times New Roman" w:hAnsi="Times New Roman" w:eastAsia="Times New Roman" w:cs="Times New Roman"/>
        </w:rPr>
        <w:t xml:space="preserve"> ante perturbaciones en sus determinantes. Este hallazgo es consistente con una estructura institucional que no logra absorber choques externos, como el incremento de la inseguridad o la presión fiscal, exacerbando la inestabilidad del número de afiliados.</w:t>
      </w:r>
      <w:bookmarkEnd w:id="50"/>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1" w:name="discusión-de-hallazgos"/>
      <w:r>
        <w:rPr>
          <w:rFonts w:ascii="Times New Roman" w:hAnsi="Times New Roman" w:eastAsia="Times New Roman" w:cs="Times New Roman"/>
        </w:rPr>
        <w:t xml:space="preserve">5.3.3 Discusión de Hallazgos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Los resultados obtenidos mediante la técnica ARDL permiten realizar una lectura crítica de la sostenibilidad del IESS a la luz de la teoría económica y el contexto institucional ecuatoriano.</w:t>
      </w:r>
      <w:bookmarkEnd w:id="51"/>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2" w:name="X6c93e7b134062d3b84cef60f9a7880afb165c7d"/>
      <w:r>
        <w:rPr>
          <w:rFonts w:ascii="Times New Roman" w:hAnsi="Times New Roman" w:eastAsia="Times New Roman" w:cs="Times New Roman"/>
        </w:rPr>
        <w:t xml:space="preserve">5.3.4 Convergencia y el Contrato Intergeneracional</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hallazgo más crítico es el signo positivo del coeficiente de ajuste (+0.0042). Mientras que el Modelo de Generaciones Traslapadas (OLG) de</w:t>
      </w:r>
      <w:r>
        <w:rPr>
          <w:rFonts w:ascii="Times New Roman" w:hAnsi="Times New Roman" w:eastAsia="Times New Roman" w:cs="Times New Roman"/>
        </w:rPr>
        <w:t xml:space="preserve"> </w:t>
      </w:r>
      <w:r>
        <w:rPr>
          <w:rFonts w:ascii="Times New Roman" w:hAnsi="Times New Roman" w:eastAsia="Times New Roman" w:cs="Times New Roman"/>
        </w:rPr>
        <w:t xml:space="preserve">Diamond (1965)</w:t>
      </w:r>
      <w:r>
        <w:rPr>
          <w:rFonts w:ascii="Times New Roman" w:hAnsi="Times New Roman" w:eastAsia="Times New Roman" w:cs="Times New Roman"/>
        </w:rPr>
        <w:t xml:space="preserve"> </w:t>
      </w:r>
      <w:r>
        <w:rPr>
          <w:rFonts w:ascii="Times New Roman" w:hAnsi="Times New Roman" w:eastAsia="Times New Roman" w:cs="Times New Roman"/>
        </w:rPr>
        <w:t xml:space="preserve">asume la posibilidad de un estado estacionario estable bajo </w:t>
      </w:r>
      <w:r>
        <w:rPr>
          <w:rFonts w:ascii="Times New Roman" w:hAnsi="Times New Roman" w:eastAsia="Times New Roman" w:cs="Times New Roman"/>
        </w:rPr>
        <w:t xml:space="preserve">condiciones de crecimiento demográfico y productividad constantes, la evidencia para Ecuador sugiere una trayectoria de divergencia. Este comportamiento indica que el contrato intergeneracional enfrenta una fase de ruptura; el sistema no posee mecanismos a</w:t>
      </w:r>
      <w:r>
        <w:rPr>
          <w:rFonts w:ascii="Times New Roman" w:hAnsi="Times New Roman" w:eastAsia="Times New Roman" w:cs="Times New Roman"/>
        </w:rPr>
        <w:t xml:space="preserve">utomáticos de retorno al equilibrio tras choques externos. Esta inestabilidad valida la tesis de que el IESS se encuentra en una fase de inestabilidad sistémica, donde cada perturbación aleja al número de afiliados de una senda de solvencia de largo plazo.</w:t>
      </w:r>
      <w:bookmarkEnd w:id="52"/>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3" w:name="X243008c7455b3aba886003d18999460e76478fc"/>
      <w:r>
        <w:rPr>
          <w:rFonts w:ascii="Times New Roman" w:hAnsi="Times New Roman" w:eastAsia="Times New Roman" w:cs="Times New Roman"/>
        </w:rPr>
        <w:t xml:space="preserve">5.3.5 El Mecanismo de Desplazamiento Fiscal (Crowding-out)</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impacto negativo y significativo del Gasto Militar (</w:t>
      </w:r>
      <m:oMath>
        <m:r>
          <w:rPr>
            <w:rFonts w:hint="default" w:ascii="Cambria Math" w:hAnsi="Cambria Math" w:eastAsia="Cambria Math" w:cs="Cambria Math"/>
          </w:rPr>
          <m:rPr/>
          <m:t>G</m:t>
        </m:r>
        <m:r>
          <w:rPr>
            <w:rFonts w:hint="default" w:ascii="Cambria Math" w:hAnsi="Cambria Math" w:eastAsia="Cambria Math" w:cs="Cambria Math"/>
          </w:rPr>
          <m:rPr/>
          <m:t>M</m:t>
        </m:r>
      </m:oMath>
      <w:r>
        <w:rPr>
          <w:rFonts w:ascii="Times New Roman" w:hAnsi="Times New Roman" w:eastAsia="Times New Roman" w:cs="Times New Roman"/>
        </w:rPr>
        <w:t xml:space="preserve">) en el corto plazo (-0.0699) confirma la hipótesis de desplazamiento fiscal. En el marco de las finanzas públicas ecuatorianas, existe una competencia directa por recursos limitados entre el financiamiento de la seguridad nacion</w:t>
      </w:r>
      <w:r>
        <w:rPr>
          <w:rFonts w:ascii="Times New Roman" w:hAnsi="Times New Roman" w:eastAsia="Times New Roman" w:cs="Times New Roman"/>
        </w:rPr>
        <w:t xml:space="preserve">al y la contribución estatal obligatoria del 40% a las pensiones del IESS. Un incremento en el gasto de defensa, exacerbado por las crisis de seguridad interna, reduce el espacio fiscal para honrar las obligaciones prestacionales civiles. Este mecanismo de</w:t>
      </w:r>
      <w:r>
        <w:rPr>
          <w:rFonts w:ascii="Times New Roman" w:hAnsi="Times New Roman" w:eastAsia="Times New Roman" w:cs="Times New Roman"/>
        </w:rPr>
        <w:t xml:space="preserve"> transmisión no solo es financiero, sino que actúa como una señal de riesgo para los agentes, quienes, ante la percepción de un Estado que prioriza el gasto militar sobre el previsional, perciben una reducción en la rentabilidad implícita de su afiliación.</w:t>
      </w:r>
      <w:bookmarkEnd w:id="53"/>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4" w:name="inseguridad-y-la-decisión-de-formalidad"/>
      <w:r>
        <w:rPr>
          <w:rFonts w:ascii="Times New Roman" w:hAnsi="Times New Roman" w:eastAsia="Times New Roman" w:cs="Times New Roman"/>
        </w:rPr>
        <w:t xml:space="preserve">5.3.6 Inseguridad y la Decisión de Formalidad</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relación de largo plazo exhibe coeficientes negativos persistentes para la tasa de homicidios (</w:t>
      </w:r>
      <m:oMath>
        <m:r>
          <w:rPr>
            <w:rFonts w:hint="default" w:ascii="Cambria Math" w:hAnsi="Cambria Math" w:eastAsia="Cambria Math" w:cs="Cambria Math"/>
          </w:rPr>
          <m:rPr/>
          <m:t>H</m:t>
        </m:r>
        <m:r>
          <w:rPr>
            <w:rFonts w:hint="default" w:ascii="Cambria Math" w:hAnsi="Cambria Math" w:eastAsia="Cambria Math" w:cs="Cambria Math"/>
          </w:rPr>
          <m:rPr/>
          <m:t>O</m:t>
        </m:r>
      </m:oMath>
      <w:r>
        <w:rPr>
          <w:rFonts w:ascii="Times New Roman" w:hAnsi="Times New Roman" w:eastAsia="Times New Roman" w:cs="Times New Roman"/>
        </w:rPr>
        <w:t xml:space="preserve">). En alineación con</w:t>
      </w:r>
      <w:r>
        <w:rPr>
          <w:rFonts w:ascii="Times New Roman" w:hAnsi="Times New Roman" w:eastAsia="Times New Roman" w:cs="Times New Roman"/>
        </w:rPr>
        <w:t xml:space="preserve"> </w:t>
      </w:r>
      <w:r>
        <w:rPr>
          <w:rFonts w:ascii="Times New Roman" w:hAnsi="Times New Roman" w:eastAsia="Times New Roman" w:cs="Times New Roman"/>
        </w:rPr>
        <w:t xml:space="preserve">Murillo et al. (2025)</w:t>
      </w:r>
      <w:r>
        <w:rPr>
          <w:rFonts w:ascii="Times New Roman" w:hAnsi="Times New Roman" w:eastAsia="Times New Roman" w:cs="Times New Roman"/>
        </w:rPr>
        <w:t xml:space="preserve">, la decisi</w:t>
      </w:r>
      <w:r>
        <w:rPr>
          <w:rFonts w:ascii="Times New Roman" w:hAnsi="Times New Roman" w:eastAsia="Times New Roman" w:cs="Times New Roman"/>
        </w:rPr>
        <w:t xml:space="preserve">ón de afiliación es sensible al entorno de seguridad institucional. La evidencia macroeconómica sugiere que la violencia incentiva el refugio en la informalidad; empresas y trabajadores en sectores vulnerables reducen su visibilidad ante el Estado para mit</w:t>
      </w:r>
      <w:r>
        <w:rPr>
          <w:rFonts w:ascii="Times New Roman" w:hAnsi="Times New Roman" w:eastAsia="Times New Roman" w:cs="Times New Roman"/>
        </w:rPr>
        <w:t xml:space="preserve">igar riesgos de extorsión, renunciando a la seguridad social contributiva. La robustez de este hallazgo se confirma mediante la técnica KRLS, que identifica efectos marginales negativos y significativos para el crimen en toda la distribución de la muestra.</w:t>
      </w:r>
      <w:bookmarkEnd w:id="54"/>
      <w:r/>
      <w:bookmarkEnd w:id="55"/>
      <w:r/>
      <w:r>
        <w:rPr>
          <w:rFonts w:ascii="Times New Roman" w:hAnsi="Times New Roman" w:eastAsia="Times New Roman" w:cs="Times New Roman"/>
        </w:rPr>
      </w:r>
    </w:p>
    <w:p>
      <w:pPr>
        <w:pStyle w:val="700"/>
        <w:pBdr/>
        <w:spacing/>
        <w:ind/>
        <w:rPr>
          <w:rFonts w:ascii="Times New Roman" w:hAnsi="Times New Roman" w:cs="Times New Roman"/>
        </w:rPr>
      </w:pPr>
      <w:r>
        <w:rPr>
          <w:rFonts w:ascii="Times New Roman" w:hAnsi="Times New Roman" w:eastAsia="Times New Roman" w:cs="Times New Roman"/>
        </w:rPr>
      </w:r>
      <w:bookmarkStart w:id="63" w:name="X5ceac4c0a23bbdef8f8a92a40e8096a8c258fbe"/>
      <w:r>
        <w:rPr>
          <w:rFonts w:ascii="Times New Roman" w:hAnsi="Times New Roman" w:eastAsia="Times New Roman" w:cs="Times New Roman"/>
        </w:rPr>
        <w:t xml:space="preserve">5.4 Diagnósticos Post-estimación y Validación Robusta</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validez de las inferencias se sustenta en la auditoría técnica de los residuos y la estabilidad estructural del sistema.</w:t>
      </w:r>
      <w:r>
        <w:rPr>
          <w:rFonts w:ascii="Times New Roman" w:hAnsi="Times New Roman" w:eastAsia="Times New Roman" w:cs="Times New Roman"/>
        </w:rPr>
      </w:r>
    </w:p>
    <w:p>
      <w:pPr>
        <w:pStyle w:val="701"/>
        <w:pBdr/>
        <w:spacing/>
        <w:ind/>
        <w:rPr>
          <w:rFonts w:ascii="Times New Roman" w:hAnsi="Times New Roman" w:cs="Times New Roman"/>
        </w:rPr>
      </w:pPr>
      <w:r>
        <w:rPr>
          <w:rFonts w:ascii="Times New Roman" w:hAnsi="Times New Roman" w:eastAsia="Times New Roman" w:cs="Times New Roman"/>
        </w:rPr>
      </w:r>
      <w:bookmarkStart w:id="57" w:name="auditoría-de-residuos"/>
      <w:r>
        <w:rPr>
          <w:rFonts w:ascii="Times New Roman" w:hAnsi="Times New Roman" w:eastAsia="Times New Roman" w:cs="Times New Roman"/>
        </w:rPr>
        <w:t xml:space="preserve">5.4.1 Auditoría de Residuos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w:t>
      </w:r>
      <w:r>
        <w:rPr>
          <w:rFonts w:ascii="Times New Roman" w:hAnsi="Times New Roman" w:eastAsia="Times New Roman" w:cs="Times New Roman"/>
        </w:rPr>
        <w:t xml:space="preserve"> </w:t>
      </w:r>
      <w:hyperlink w:tooltip="#tbl-diagnosticos" w:anchor="tbl-diagnosticos" w:history="1">
        <w:r>
          <w:rPr>
            <w:rStyle w:val="733"/>
            <w:rFonts w:ascii="Times New Roman" w:hAnsi="Times New Roman" w:eastAsia="Times New Roman" w:cs="Times New Roman"/>
          </w:rPr>
          <w:t xml:space="preserve">Tabla 9</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presenta las pruebas de diagnóstico sobre la especificación base. La detección de autocorrelación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0.000</m:t>
        </m:r>
      </m:oMath>
      <w:r>
        <w:rPr>
          <w:rFonts w:ascii="Times New Roman" w:hAnsi="Times New Roman" w:eastAsia="Times New Roman" w:cs="Times New Roman"/>
        </w:rPr>
        <w:t xml:space="preserve">) y heterocedasticidad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0.036</m:t>
        </m:r>
      </m:oMath>
      <w:r>
        <w:rPr>
          <w:rFonts w:ascii="Times New Roman" w:hAnsi="Times New Roman" w:eastAsia="Times New Roman" w:cs="Times New Roman"/>
        </w:rPr>
        <w:t xml:space="preserve">) invalida el uso de estimadores estáticos tradicionales, justificando la transición hacia modelos de corrección de error (ARDL/VEC) para capturar la dinámica compleja de los datos.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56" w:name="tbl-diagnosticos"/>
            <w:r>
              <w:rPr>
                <w:rFonts w:ascii="Times New Roman" w:hAnsi="Times New Roman" w:eastAsia="Times New Roman" w:cs="Times New Roman"/>
              </w:rPr>
              <w:t xml:space="preserve">Tabla 9: Auditoría de diagnóstico sobre los residuos del modelo</w:t>
            </w:r>
            <w:r>
              <w:rPr>
                <w:rFonts w:ascii="Times New Roman" w:hAnsi="Times New Roman" w:eastAsia="Times New Roman" w:cs="Times New Roman"/>
              </w:rPr>
            </w:r>
          </w:p>
          <w:tbl>
            <w:tblPr>
              <w:tblStyle w:val="721"/>
              <w:tblW w:w="5000" w:type="pct"/>
              <w:tblBorders/>
              <w:tblLayout w:type="fixed"/>
              <w:tblLook w:val="0020" w:firstRow="1" w:lastRow="0" w:firstColumn="0" w:lastColumn="0" w:noHBand="0" w:noVBand="0"/>
            </w:tblPr>
            <w:tblGrid>
              <w:gridCol w:w="1760"/>
              <w:gridCol w:w="2200"/>
              <w:gridCol w:w="2200"/>
              <w:gridCol w:w="1760"/>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Prueba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Estadístico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Conclusión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Normalidad (Jarque-Bera)</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r>
                        <w:rPr>
                          <w:rFonts w:hint="default" w:ascii="Cambria Math" w:hAnsi="Cambria Math" w:eastAsia="Cambria Math" w:cs="Cambria Math"/>
                        </w:rPr>
                        <m:rPr>
                          <m:sty m:val="p"/>
                        </m:rPr>
                        <m:t>(</m:t>
                      </m:r>
                      <m:r>
                        <w:rPr>
                          <w:rFonts w:hint="default" w:ascii="Cambria Math" w:hAnsi="Cambria Math" w:eastAsia="Cambria Math" w:cs="Cambria Math"/>
                        </w:rPr>
                        <m:rPr/>
                        <m:t>2</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1.94</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0.379</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No se rechaza normalidad</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Autocorrelación (Breusch-Godfrey)</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r>
                        <w:rPr>
                          <w:rFonts w:hint="default" w:ascii="Cambria Math" w:hAnsi="Cambria Math" w:eastAsia="Cambria Math" w:cs="Cambria Math"/>
                        </w:rPr>
                        <m:rPr>
                          <m:sty m:val="p"/>
                        </m:rPr>
                        <m:t>(</m:t>
                      </m:r>
                      <m:r>
                        <w:rPr>
                          <w:rFonts w:hint="default" w:ascii="Cambria Math" w:hAnsi="Cambria Math" w:eastAsia="Cambria Math" w:cs="Cambria Math"/>
                        </w:rPr>
                        <m:rPr/>
                        <m:t>1</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27.97</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Presencia de autocorrelación</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Heterocedasticidad (White)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sSup>
                        <m:sSupPr>
                          <m:ctrlPr>
                            <w:rPr>
                              <w:rFonts w:hint="default" w:ascii="Cambria Math" w:hAnsi="Cambria Math" w:eastAsia="Cambria Math" w:cs="Cambria Math"/>
                            </w:rPr>
                          </m:ctrlPr>
                        </m:sSupPr>
                        <m:e>
                          <m:r>
                            <w:rPr>
                              <w:rFonts w:hint="default" w:ascii="Cambria Math" w:hAnsi="Cambria Math" w:eastAsia="Cambria Math" w:cs="Cambria Math"/>
                            </w:rPr>
                            <m:rPr/>
                            <m:t>χ</m:t>
                          </m:r>
                        </m:e>
                        <m:sup>
                          <m:r>
                            <w:rPr>
                              <w:rFonts w:hint="default" w:ascii="Cambria Math" w:hAnsi="Cambria Math" w:eastAsia="Cambria Math" w:cs="Cambria Math"/>
                            </w:rPr>
                            <m:rPr/>
                            <m:t>2</m:t>
                          </m:r>
                        </m:sup>
                      </m:sSup>
                      <m:r>
                        <w:rPr>
                          <w:rFonts w:hint="default" w:ascii="Cambria Math" w:hAnsi="Cambria Math" w:eastAsia="Cambria Math" w:cs="Cambria Math"/>
                        </w:rPr>
                        <m:rPr>
                          <m:sty m:val="p"/>
                        </m:rPr>
                        <m:t>(</m:t>
                      </m:r>
                      <m:r>
                        <w:rPr>
                          <w:rFonts w:hint="default" w:ascii="Cambria Math" w:hAnsi="Cambria Math" w:eastAsia="Cambria Math" w:cs="Cambria Math"/>
                        </w:rPr>
                        <m:rPr/>
                        <m:t>14</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24.82</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0.036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Presencia de heterocedasticidad</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Especificación (Ramsey RESET)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F</m:t>
                      </m:r>
                      <m:r>
                        <w:rPr>
                          <w:rFonts w:hint="default" w:ascii="Cambria Math" w:hAnsi="Cambria Math" w:eastAsia="Cambria Math" w:cs="Cambria Math"/>
                        </w:rPr>
                        <m:rPr>
                          <m:sty m:val="p"/>
                        </m:rPr>
                        <m:t>(</m:t>
                      </m:r>
                      <m:r>
                        <w:rPr>
                          <w:rFonts w:hint="default" w:ascii="Cambria Math" w:hAnsi="Cambria Math" w:eastAsia="Cambria Math" w:cs="Cambria Math"/>
                        </w:rPr>
                        <m:rPr/>
                        <m:t>3</m:t>
                      </m:r>
                      <m:r>
                        <w:rPr>
                          <w:rFonts w:hint="default" w:ascii="Cambria Math" w:hAnsi="Cambria Math" w:eastAsia="Cambria Math" w:cs="Cambria Math"/>
                        </w:rPr>
                        <m:rPr>
                          <m:sty m:val="p"/>
                        </m:rPr>
                        <m:t>,</m:t>
                      </m:r>
                      <m:r>
                        <w:rPr>
                          <w:rFonts w:hint="default" w:ascii="Cambria Math" w:hAnsi="Cambria Math" w:eastAsia="Cambria Math" w:cs="Cambria Math"/>
                        </w:rPr>
                        <m:rPr/>
                        <m:t>27</m:t>
                      </m:r>
                      <m:r>
                        <w:rPr>
                          <w:rFonts w:hint="default" w:ascii="Cambria Math" w:hAnsi="Cambria Math" w:eastAsia="Cambria Math" w:cs="Cambria Math"/>
                        </w:rPr>
                        <m:rPr>
                          <m:sty m:val="p"/>
                        </m:rPr>
                        <m:t>)</m:t>
                      </m:r>
                      <m:r>
                        <w:rPr>
                          <w:rFonts w:hint="default" w:ascii="Cambria Math" w:hAnsi="Cambria Math" w:eastAsia="Cambria Math" w:cs="Cambria Math"/>
                        </w:rPr>
                        <m:rPr>
                          <m:sty m:val="p"/>
                        </m:rPr>
                        <m:t>=</m:t>
                      </m:r>
                      <m:r>
                        <w:rPr>
                          <w:rFonts w:hint="default" w:ascii="Cambria Math" w:hAnsi="Cambria Math" w:eastAsia="Cambria Math" w:cs="Cambria Math"/>
                        </w:rPr>
                        <m:rPr/>
                        <m:t>24.20</m:t>
                      </m:r>
                    </m:oMath>
                  </m:oMathPara>
                  <w:r>
                    <w:rPr>
                      <w:rFonts w:ascii="Times New Roman" w:hAnsi="Times New Roman" w:eastAsia="Times New Roman" w:cs="Times New Roman"/>
                    </w:rPr>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Evidencia de no linealidad</w:t>
                  </w:r>
                  <w:bookmarkEnd w:id="56"/>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57"/>
            <w:r>
              <w:rPr>
                <w:rFonts w:ascii="Times New Roman" w:hAnsi="Times New Roman" w:eastAsia="Times New Roman" w:cs="Times New Roman"/>
              </w:rPr>
            </w:r>
          </w:p>
        </w:tc>
      </w:tr>
    </w:tbl>
    <w:p>
      <w:pPr>
        <w:pStyle w:val="701"/>
        <w:pBdr/>
        <w:spacing/>
        <w:ind/>
        <w:rPr>
          <w:rFonts w:ascii="Times New Roman" w:hAnsi="Times New Roman" w:cs="Times New Roman"/>
        </w:rPr>
      </w:pPr>
      <w:r>
        <w:rPr>
          <w:rFonts w:ascii="Times New Roman" w:hAnsi="Times New Roman" w:eastAsia="Times New Roman" w:cs="Times New Roman"/>
        </w:rPr>
      </w:r>
      <w:bookmarkStart w:id="62" w:name="estabilidad-dinámica-vec"/>
      <w:r>
        <w:rPr>
          <w:rFonts w:ascii="Times New Roman" w:hAnsi="Times New Roman" w:eastAsia="Times New Roman" w:cs="Times New Roman"/>
        </w:rPr>
        <w:t xml:space="preserve">5.4.2 Estabilidad Dinámica (VEC)</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estabilidad del sistema, evaluada mediante la condición de valores propios en el espacio de estados VEC (</w:t>
      </w:r>
      <w:hyperlink w:tooltip="#fig-vec-stability" w:anchor="fig-vec-stability" w:history="1">
        <w:r>
          <w:rPr>
            <w:rStyle w:val="733"/>
            <w:rFonts w:ascii="Times New Roman" w:hAnsi="Times New Roman" w:eastAsia="Times New Roman" w:cs="Times New Roman"/>
          </w:rPr>
          <w:t xml:space="preserve">Figura 2</w:t>
        </w:r>
      </w:hyperlink>
      <w:r>
        <w:rPr>
          <w:rFonts w:ascii="Times New Roman" w:hAnsi="Times New Roman" w:eastAsia="Times New Roman" w:cs="Times New Roman"/>
        </w:rPr>
        <w:t xml:space="preserve">), revela raíces superiores a la unidad (1.0015). Este comportamiento confirma una trayectoria divergente, validando la tesis de inestabilidad sistémica donde los choques externos no se disipan, sino que se amplifican en el tiempo.</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w:bookmarkStart w:id="61" w:name="fig-vec-stability"/>
            <w:r>
              <w:rPr>
                <w:rFonts w:ascii="Times New Roman" w:hAnsi="Times New Roman" w:eastAsia="Times New Roman" w:cs="Times New Roman"/>
              </w:rPr>
              <mc:AlternateContent>
                <mc:Choice Requires="wpg">
                  <w:drawing>
                    <wp:inline xmlns:wp="http://schemas.openxmlformats.org/drawingml/2006/wordprocessingDrawing" distT="0" distB="0" distL="0" distR="0">
                      <wp:extent cx="4267200" cy="3107473"/>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assets/vec_stability.png"/>
                              <pic:cNvPicPr>
                                <a:picLocks noChangeAspect="1" noChangeArrowheads="1"/>
                              </pic:cNvPicPr>
                              <pic:nvPr/>
                            </pic:nvPicPr>
                            <pic:blipFill rotWithShape="1">
                              <a:blip r:embed="rId10"/>
                              <a:stretch/>
                            </pic:blipFill>
                            <pic:spPr bwMode="auto">
                              <a:xfrm>
                                <a:off x="0" y="0"/>
                                <a:ext cx="4267200" cy="310747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6.00pt;height:244.68pt;mso-wrap-distance-left:0.00pt;mso-wrap-distance-top:0.00pt;mso-wrap-distance-right:0.00pt;mso-wrap-distance-bottom:0.00pt;z-index:1;" stroked="f" strokeweight="0.75pt">
                      <v:imagedata r:id="rId10" o:title=""/>
                      <o:lock v:ext="edit" rotation="t"/>
                    </v:shape>
                  </w:pict>
                </mc:Fallback>
              </mc:AlternateContent>
            </w:r>
            <w:r>
              <w:rPr>
                <w:rFonts w:ascii="Times New Roman" w:hAnsi="Times New Roman" w:eastAsia="Times New Roman" w:cs="Times New Roman"/>
              </w:rPr>
            </w:r>
          </w:p>
          <w:p>
            <w:pPr>
              <w:pStyle w:val="726"/>
              <w:pBdr/>
              <w:spacing w:before="200"/>
              <w:ind/>
              <w:jc w:val="left"/>
              <w:rPr>
                <w:rFonts w:ascii="Times New Roman" w:hAnsi="Times New Roman" w:cs="Times New Roman"/>
              </w:rPr>
            </w:pPr>
            <w:r>
              <w:rPr>
                <w:rFonts w:ascii="Times New Roman" w:hAnsi="Times New Roman" w:eastAsia="Times New Roman" w:cs="Times New Roman"/>
              </w:rPr>
              <w:t xml:space="preserve">Figura 2: Condición de estabilidad de los valores propios para el modelo VEC</w:t>
            </w:r>
            <w:bookmarkEnd w:id="61"/>
            <w:bookmarkEnd w:id="62"/>
            <w:bookmarkEnd w:id="63"/>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65" w:name="validación-no-lineal-krls"/>
      <w:r>
        <w:rPr>
          <w:rFonts w:ascii="Times New Roman" w:hAnsi="Times New Roman" w:eastAsia="Times New Roman" w:cs="Times New Roman"/>
        </w:rPr>
        <w:t xml:space="preserve">5.5 Validación No Lineal (KRLS)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Ante el rechazo de la hipótesis de linealidad en la prueba RESET (</w:t>
      </w:r>
      <m:oMath>
        <m:r>
          <w:rPr>
            <w:rFonts w:hint="default" w:ascii="Cambria Math" w:hAnsi="Cambria Math" w:eastAsia="Cambria Math" w:cs="Cambria Math"/>
          </w:rPr>
          <m:rPr/>
          <m:t>p</m:t>
        </m:r>
        <m:r>
          <w:rPr>
            <w:rFonts w:hint="default" w:ascii="Cambria Math" w:hAnsi="Cambria Math" w:eastAsia="Cambria Math" w:cs="Cambria Math"/>
          </w:rPr>
          <m:rPr>
            <m:sty m:val="p"/>
          </m:rPr>
          <m:t>=</m:t>
        </m:r>
        <m:r>
          <w:rPr>
            <w:rFonts w:hint="default" w:ascii="Cambria Math" w:hAnsi="Cambria Math" w:eastAsia="Cambria Math" w:cs="Cambria Math"/>
          </w:rPr>
          <m:rPr/>
          <m:t>0.000</m:t>
        </m:r>
      </m:oMath>
      <w:r>
        <w:rPr>
          <w:rFonts w:ascii="Times New Roman" w:hAnsi="Times New Roman" w:eastAsia="Times New Roman" w:cs="Times New Roman"/>
        </w:rPr>
        <w:t xml:space="preserve">), se implementa la validación robusta mediante</w:t>
      </w:r>
      <w:r>
        <w:rPr>
          <w:rFonts w:ascii="Times New Roman" w:hAnsi="Times New Roman" w:eastAsia="Times New Roman" w:cs="Times New Roman"/>
        </w:rPr>
        <w:t xml:space="preserve"> </w:t>
      </w:r>
      <w:r>
        <w:rPr>
          <w:rFonts w:ascii="Times New Roman" w:hAnsi="Times New Roman" w:eastAsia="Times New Roman" w:cs="Times New Roman"/>
          <w:i/>
          <w:iCs/>
        </w:rPr>
        <w:t xml:space="preserve">Kernel-based Regularized Least Squares</w:t>
      </w:r>
      <w:r>
        <w:rPr>
          <w:rFonts w:ascii="Times New Roman" w:hAnsi="Times New Roman" w:eastAsia="Times New Roman" w:cs="Times New Roman"/>
        </w:rPr>
        <w:t xml:space="preserve"> </w:t>
      </w:r>
      <w:r>
        <w:rPr>
          <w:rFonts w:ascii="Times New Roman" w:hAnsi="Times New Roman" w:eastAsia="Times New Roman" w:cs="Times New Roman"/>
        </w:rPr>
        <w:t xml:space="preserve">(KRLS). Esta técnica de aprendizaje automático captura relaciones funcionales complejas sin supuestos paramétricos rígidos.</w:t>
      </w:r>
      <w:r>
        <w:rPr>
          <w:rFonts w:ascii="Times New Roman" w:hAnsi="Times New Roman" w:eastAsia="Times New Roman" w:cs="Times New Roman"/>
        </w:rPr>
      </w:r>
    </w:p>
    <w:p>
      <w:pPr>
        <w:pStyle w:val="687"/>
        <w:pBdr/>
        <w:spacing/>
        <w:ind/>
        <w:rPr>
          <w:rFonts w:ascii="Times New Roman" w:hAnsi="Times New Roman" w:cs="Times New Roman"/>
        </w:rPr>
      </w:pPr>
      <w:r>
        <w:rPr>
          <w:rFonts w:ascii="Times New Roman" w:hAnsi="Times New Roman" w:eastAsia="Times New Roman" w:cs="Times New Roman"/>
        </w:rPr>
        <w:t xml:space="preserve">A diferencia de las elasticidades lineales de largo plazo, los efectos marginales promedio en</w:t>
      </w:r>
      <w:r>
        <w:rPr>
          <w:rFonts w:ascii="Times New Roman" w:hAnsi="Times New Roman" w:eastAsia="Times New Roman" w:cs="Times New Roman"/>
        </w:rPr>
        <w:t xml:space="preserve"> </w:t>
      </w:r>
      <w:hyperlink w:tooltip="#tbl-krls" w:anchor="tbl-krls" w:history="1">
        <w:r>
          <w:rPr>
            <w:rStyle w:val="733"/>
            <w:rFonts w:ascii="Times New Roman" w:hAnsi="Times New Roman" w:eastAsia="Times New Roman" w:cs="Times New Roman"/>
          </w:rPr>
          <w:t xml:space="preserve">Tabla 10</w:t>
        </w:r>
      </w:hyperlink>
      <w:r>
        <w:rPr>
          <w:rFonts w:ascii="Times New Roman" w:hAnsi="Times New Roman" w:eastAsia="Times New Roman" w:cs="Times New Roman"/>
        </w:rPr>
        <w:t xml:space="preserve"> </w:t>
      </w:r>
      <w:r>
        <w:rPr>
          <w:rFonts w:ascii="Times New Roman" w:hAnsi="Times New Roman" w:eastAsia="Times New Roman" w:cs="Times New Roman"/>
        </w:rPr>
        <w:t xml:space="preserve">son estadísticamente significativos para todos los determinantes (</w:t>
      </w:r>
      <m:oMath>
        <m:r>
          <w:rPr>
            <w:rFonts w:hint="default" w:ascii="Cambria Math" w:hAnsi="Cambria Math" w:eastAsia="Cambria Math" w:cs="Cambria Math"/>
          </w:rPr>
          <m:rPr/>
          <m:t>p</m:t>
        </m:r>
        <m:r>
          <w:rPr>
            <w:rFonts w:hint="default" w:ascii="Cambria Math" w:hAnsi="Cambria Math" w:eastAsia="Cambria Math" w:cs="Cambria Math"/>
          </w:rPr>
          <m:rPr>
            <m:sty m:val="p"/>
          </m:rPr>
          <m:t>&lt;</m:t>
        </m:r>
        <m:r>
          <w:rPr>
            <w:rFonts w:hint="default" w:ascii="Cambria Math" w:hAnsi="Cambria Math" w:eastAsia="Cambria Math" w:cs="Cambria Math"/>
          </w:rPr>
          <m:rPr/>
          <m:t>0.01</m:t>
        </m:r>
      </m:oMath>
      <w:r>
        <w:rPr>
          <w:rFonts w:ascii="Times New Roman" w:hAnsi="Times New Roman" w:eastAsia="Times New Roman" w:cs="Times New Roman"/>
        </w:rPr>
        <w:t xml:space="preserve">). El contraste entre la insignificancia del ARDL y la robustez del KRLS evidencia que la crisis del IESS responde a umbrales críticos de seguridad y presión fiscal, cuya complejidad no es capturada por modelos paramétricos convencionales.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726"/>
              <w:pBdr/>
              <w:spacing w:before="200"/>
              <w:ind/>
              <w:jc w:val="left"/>
              <w:rPr>
                <w:rFonts w:ascii="Times New Roman" w:hAnsi="Times New Roman" w:cs="Times New Roman"/>
              </w:rPr>
            </w:pPr>
            <w:r>
              <w:rPr>
                <w:rFonts w:ascii="Times New Roman" w:hAnsi="Times New Roman" w:eastAsia="Times New Roman" w:cs="Times New Roman"/>
              </w:rPr>
            </w:r>
            <w:bookmarkStart w:id="64" w:name="tbl-krls"/>
            <w:r>
              <w:rPr>
                <w:rFonts w:ascii="Times New Roman" w:hAnsi="Times New Roman" w:eastAsia="Times New Roman" w:cs="Times New Roman"/>
              </w:rPr>
              <w:t xml:space="preserve">Tabla 10: Resultados de la validación robusta mediante KRLS</w:t>
            </w:r>
            <w:r>
              <w:rPr>
                <w:rFonts w:ascii="Times New Roman" w:hAnsi="Times New Roman" w:eastAsia="Times New Roman" w:cs="Times New Roman"/>
              </w:rPr>
            </w:r>
          </w:p>
          <w:tbl>
            <w:tblPr>
              <w:tblStyle w:val="721"/>
              <w:tblW w:w="0" w:type="auto"/>
              <w:tblBorders/>
              <w:tblLook w:val="0020" w:firstRow="1" w:lastRow="0" w:firstColumn="0" w:lastColumn="0" w:noHBand="0" w:noVBand="0"/>
            </w:tblPr>
            <w:tblGrid>
              <w:gridCol w:w="1584"/>
              <w:gridCol w:w="1584"/>
              <w:gridCol w:w="1584"/>
              <w:gridCol w:w="1584"/>
              <w:gridCol w:w="1584"/>
            </w:tblGrid>
            <w:tr>
              <w:trPr>
                <w:tblHeade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Variable</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Efecto Promedio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Desv. Est.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t-stat</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p-valor</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Gasto Militar (GM)</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0.1448</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0.0227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6.376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Migración (MI)</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-2.1e-06</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5.8e-07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-3.517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0.001***</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Homicidios (HO)</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-0.1314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0.0352</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-3.733</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0.001***</w:t>
                  </w:r>
                  <w:r>
                    <w:rPr>
                      <w:rFonts w:ascii="Times New Roman" w:hAnsi="Times New Roman" w:eastAsia="Times New Roman" w:cs="Times New Roman"/>
                    </w:rPr>
                  </w:r>
                </w:p>
              </w:tc>
            </w:tr>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Fuerza Laboral (FL)</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1.2074</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0.0671</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17.997</w:t>
                  </w:r>
                  <w:r>
                    <w:rPr>
                      <w:rFonts w:ascii="Times New Roman" w:hAnsi="Times New Roman" w:eastAsia="Times New Roman" w:cs="Times New Roman"/>
                    </w:rPr>
                  </w:r>
                </w:p>
              </w:tc>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t xml:space="preserve">0.000***</w:t>
                  </w:r>
                  <w:bookmarkEnd w:id="64"/>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bookmarkEnd w:id="65"/>
            <w:r>
              <w:rPr>
                <w:rFonts w:ascii="Times New Roman" w:hAnsi="Times New Roman" w:eastAsia="Times New Roman" w:cs="Times New Roman"/>
              </w:rPr>
            </w:r>
          </w:p>
        </w:tc>
      </w:tr>
    </w:tbl>
    <w:p>
      <w:pPr>
        <w:pStyle w:val="700"/>
        <w:pBdr/>
        <w:spacing/>
        <w:ind/>
        <w:rPr>
          <w:rFonts w:ascii="Times New Roman" w:hAnsi="Times New Roman" w:cs="Times New Roman"/>
        </w:rPr>
      </w:pPr>
      <w:r>
        <w:rPr>
          <w:rFonts w:ascii="Times New Roman" w:hAnsi="Times New Roman" w:eastAsia="Times New Roman" w:cs="Times New Roman"/>
        </w:rPr>
      </w:r>
      <w:bookmarkStart w:id="70" w:name="estabilidad-estructural-cusum"/>
      <w:r>
        <w:rPr>
          <w:rFonts w:ascii="Times New Roman" w:hAnsi="Times New Roman" w:eastAsia="Times New Roman" w:cs="Times New Roman"/>
        </w:rPr>
        <w:t xml:space="preserve">5.6 Estabilidad Estructural (CUSUM)</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La prueba de suma acumulada de residuos (CUSUM) aplicada al modelo ARDL c</w:t>
      </w:r>
      <w:r>
        <w:rPr>
          <w:rFonts w:ascii="Times New Roman" w:hAnsi="Times New Roman" w:eastAsia="Times New Roman" w:cs="Times New Roman"/>
        </w:rPr>
        <w:t xml:space="preserve">onfirma que la relación de largo plazo se mantiene dentro de las bandas de confianza, validando que la divergencia detectada no es un error de especificación transitorio, sino una propiedad estructural del sistema actual bajo las perturbaciones analizadas.</w:t>
      </w:r>
      <w:r>
        <w:rPr>
          <w:rFonts w:ascii="Times New Roman" w:hAnsi="Times New Roman" w:eastAsia="Times New Roman" w:cs="Times New Roman"/>
        </w:rPr>
      </w:r>
    </w:p>
    <w:tbl>
      <w:tblPr>
        <w:tblStyle w:val="721"/>
        <w:tblW w:w="5000" w:type="pct"/>
        <w:tblBorders/>
        <w:tblLayout w:type="fixed"/>
        <w:tblLook w:val="0000" w:firstRow="0" w:lastRow="0" w:firstColumn="0" w:lastColumn="0" w:noHBand="0" w:noVBand="0"/>
      </w:tblPr>
      <w:tblGrid>
        <w:gridCol w:w="7920"/>
      </w:tblGrid>
      <w:tr>
        <w:trPr/>
        <w:tc>
          <w:tcPr>
            <w:tcBorders/>
          </w:tcPr>
          <w:p>
            <w:pPr>
              <w:pStyle w:val="689"/>
              <w:pBdr/>
              <w:spacing/>
              <w:ind/>
              <w:jc w:val="center"/>
              <w:rPr>
                <w:rFonts w:ascii="Times New Roman" w:hAnsi="Times New Roman" w:cs="Times New Roman"/>
              </w:rPr>
            </w:pPr>
            <w:r>
              <w:rPr>
                <w:rFonts w:ascii="Times New Roman" w:hAnsi="Times New Roman" w:eastAsia="Times New Roman" w:cs="Times New Roman"/>
              </w:rPr>
            </w:r>
            <w:bookmarkStart w:id="69" w:name="fig-cusum"/>
            <w:r>
              <w:rPr>
                <w:rFonts w:ascii="Times New Roman" w:hAnsi="Times New Roman" w:eastAsia="Times New Roman" w:cs="Times New Roman"/>
              </w:rPr>
              <mc:AlternateContent>
                <mc:Choice Requires="wpg">
                  <w:drawing>
                    <wp:inline xmlns:wp="http://schemas.openxmlformats.org/drawingml/2006/wordprocessingDrawing" distT="0" distB="0" distL="0" distR="0">
                      <wp:extent cx="4267200" cy="3104388"/>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assets/cusum_plot.png"/>
                              <pic:cNvPicPr>
                                <a:picLocks noChangeAspect="1" noChangeArrowheads="1"/>
                              </pic:cNvPicPr>
                              <pic:nvPr/>
                            </pic:nvPicPr>
                            <pic:blipFill rotWithShape="1">
                              <a:blip r:embed="rId11"/>
                              <a:stretch/>
                            </pic:blipFill>
                            <pic:spPr bwMode="auto">
                              <a:xfrm>
                                <a:off x="0" y="0"/>
                                <a:ext cx="4267200" cy="310438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6.00pt;height:244.44pt;mso-wrap-distance-left:0.00pt;mso-wrap-distance-top:0.00pt;mso-wrap-distance-right:0.00pt;mso-wrap-distance-bottom:0.00pt;z-index:1;" stroked="f" strokeweight="0.75pt">
                      <v:imagedata r:id="rId11" o:title=""/>
                      <o:lock v:ext="edit" rotation="t"/>
                    </v:shape>
                  </w:pict>
                </mc:Fallback>
              </mc:AlternateContent>
            </w:r>
            <w:r>
              <w:rPr>
                <w:rFonts w:ascii="Times New Roman" w:hAnsi="Times New Roman" w:eastAsia="Times New Roman" w:cs="Times New Roman"/>
              </w:rPr>
            </w:r>
          </w:p>
          <w:p>
            <w:pPr>
              <w:pStyle w:val="726"/>
              <w:pBdr/>
              <w:spacing w:before="200"/>
              <w:ind/>
              <w:jc w:val="left"/>
              <w:rPr>
                <w:rFonts w:ascii="Times New Roman" w:hAnsi="Times New Roman" w:cs="Times New Roman"/>
              </w:rPr>
            </w:pPr>
            <w:r>
              <w:rPr>
                <w:rFonts w:ascii="Times New Roman" w:hAnsi="Times New Roman" w:eastAsia="Times New Roman" w:cs="Times New Roman"/>
              </w:rPr>
              <w:t xml:space="preserve">Figura 3: Prueba CUSUM de estabilidad estructural para los residuos del modelo ARDL</w:t>
            </w:r>
            <w:bookmarkEnd w:id="69"/>
            <w:bookmarkEnd w:id="70"/>
            <w:bookmarkEnd w:id="71"/>
            <w:r>
              <w:rPr>
                <w:rFonts w:ascii="Times New Roman" w:hAnsi="Times New Roman" w:eastAsia="Times New Roman" w:cs="Times New Roman"/>
              </w:rPr>
            </w:r>
          </w:p>
        </w:tc>
      </w:tr>
    </w:tbl>
    <w:p>
      <w:pPr>
        <w:pStyle w:val="699"/>
        <w:pBdr/>
        <w:spacing/>
        <w:ind/>
        <w:rPr>
          <w:rFonts w:ascii="Times New Roman" w:hAnsi="Times New Roman" w:cs="Times New Roman"/>
        </w:rPr>
      </w:pPr>
      <w:r>
        <w:rPr>
          <w:rFonts w:ascii="Times New Roman" w:hAnsi="Times New Roman" w:eastAsia="Times New Roman" w:cs="Times New Roman"/>
        </w:rPr>
      </w:r>
      <w:bookmarkStart w:id="72" w:name="conclusiones"/>
      <w:r>
        <w:rPr>
          <w:rFonts w:ascii="Times New Roman" w:hAnsi="Times New Roman" w:eastAsia="Times New Roman" w:cs="Times New Roman"/>
        </w:rPr>
        <w:t xml:space="preserve">6. Conclusiones</w:t>
      </w:r>
      <w:r>
        <w:rPr>
          <w:rFonts w:ascii="Times New Roman" w:hAnsi="Times New Roman" w:eastAsia="Times New Roman" w:cs="Times New Roman"/>
        </w:rPr>
      </w:r>
    </w:p>
    <w:p>
      <w:pPr>
        <w:pStyle w:val="688"/>
        <w:pBdr/>
        <w:spacing/>
        <w:ind/>
        <w:rPr>
          <w:rFonts w:ascii="Times New Roman" w:hAnsi="Times New Roman" w:cs="Times New Roman"/>
        </w:rPr>
      </w:pPr>
      <w:r>
        <w:rPr>
          <w:rFonts w:ascii="Times New Roman" w:hAnsi="Times New Roman" w:eastAsia="Times New Roman" w:cs="Times New Roman"/>
        </w:rPr>
        <w:t xml:space="preserve">El análisis econométrico integral del periodo 1990-2024 revela que la crisis de sosteni</w:t>
      </w:r>
      <w:r>
        <w:rPr>
          <w:rFonts w:ascii="Times New Roman" w:hAnsi="Times New Roman" w:eastAsia="Times New Roman" w:cs="Times New Roman"/>
        </w:rPr>
        <w:t xml:space="preserve">bilidad del IESS trasciende lo demográfico, configurándose como un fenómeno de divergencia estructural impulsado por la inseguridad ciudadana y la competencia fiscal. La evidencia técnica del modelo ARDL, particularmente el coeficiente de ajuste positivo (</w:t>
      </w:r>
      <m:oMath>
        <m:r>
          <w:rPr>
            <w:rFonts w:hint="default" w:ascii="Cambria Math" w:hAnsi="Cambria Math" w:eastAsia="Cambria Math" w:cs="Cambria Math"/>
          </w:rPr>
          <m:rPr>
            <m:sty m:val="p"/>
          </m:rPr>
          <m:t>+</m:t>
        </m:r>
        <m:r>
          <w:rPr>
            <w:rFonts w:hint="default" w:ascii="Cambria Math" w:hAnsi="Cambria Math" w:eastAsia="Cambria Math" w:cs="Cambria Math"/>
          </w:rPr>
          <m:rPr/>
          <m:t>0.0042</m:t>
        </m:r>
      </m:oMath>
      <w:r>
        <w:rPr>
          <w:rFonts w:ascii="Times New Roman" w:hAnsi="Times New Roman" w:eastAsia="Times New Roman" w:cs="Times New Roman"/>
        </w:rPr>
        <w:t xml:space="preserve">), confirma que el sistema se encuentra en una trayectoria explosiva donde los choques externos, como el incremento sostenido en la tasa de homicidios y el desplazamiento de recursos hacia el gasto militar, no son absorbidos por el sistema, sino que lo</w:t>
      </w:r>
      <w:r>
        <w:rPr>
          <w:rFonts w:ascii="Times New Roman" w:hAnsi="Times New Roman" w:eastAsia="Times New Roman" w:cs="Times New Roman"/>
        </w:rPr>
        <w:t xml:space="preserve"> alejan permanentemente de un equilibrio estable. Esta desestabilización erosiona los incentivos para la formalización laboral y compromete la base actuarial de largo plazo, sugiriendo que cualquier reforma paramétrica aislada será insuficiente si no se ab</w:t>
      </w:r>
      <w:r>
        <w:rPr>
          <w:rFonts w:ascii="Times New Roman" w:hAnsi="Times New Roman" w:eastAsia="Times New Roman" w:cs="Times New Roman"/>
        </w:rPr>
        <w:t xml:space="preserve">orda la fragilidad institucional y la fragmentación de la seguridad social en el Ecuador. Por consiguiente, se recomienda la implementación urgente de una política de seguridad nacional integrada con incentivos a la formalidad, la unificación estratégica d</w:t>
      </w:r>
      <w:r>
        <w:rPr>
          <w:rFonts w:ascii="Times New Roman" w:hAnsi="Times New Roman" w:eastAsia="Times New Roman" w:cs="Times New Roman"/>
        </w:rPr>
        <w:t xml:space="preserve">e los regímenes de seguridad social para mitigar el desplazamiento fiscal, y la creación de mecanismos de protección actuarial ante choques de violencia extrema que actualmente actúan como barreras infranqueables para la expansión de la base de cotizantes.</w:t>
      </w:r>
      <w:bookmarkEnd w:id="72"/>
      <w:r/>
      <w:r>
        <w:rPr>
          <w:rFonts w:ascii="Times New Roman" w:hAnsi="Times New Roman" w:eastAsia="Times New Roman" w:cs="Times New Roman"/>
        </w:rPr>
      </w:r>
    </w:p>
    <w:p>
      <w:pPr>
        <w:pStyle w:val="699"/>
        <w:pBdr/>
        <w:spacing/>
        <w:ind/>
        <w:rPr>
          <w:rFonts w:ascii="Times New Roman" w:hAnsi="Times New Roman" w:cs="Times New Roman"/>
        </w:rPr>
      </w:pPr>
      <w:r>
        <w:rPr>
          <w:rFonts w:ascii="Times New Roman" w:hAnsi="Times New Roman" w:eastAsia="Times New Roman" w:cs="Times New Roman"/>
        </w:rPr>
      </w:r>
      <w:bookmarkStart w:id="83" w:name="referencias"/>
      <w:r>
        <w:rPr>
          <w:rFonts w:ascii="Times New Roman" w:hAnsi="Times New Roman" w:eastAsia="Times New Roman" w:cs="Times New Roman"/>
        </w:rPr>
        <w:t xml:space="preserve">Referencias</w:t>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82" w:name="refs"/>
      <w:r>
        <w:rPr>
          <w:rFonts w:ascii="Times New Roman" w:hAnsi="Times New Roman" w:eastAsia="Times New Roman" w:cs="Times New Roman"/>
        </w:rPr>
      </w:r>
      <w:bookmarkStart w:id="74" w:name="ref-becker1968"/>
      <w:r>
        <w:rPr>
          <w:rFonts w:ascii="Times New Roman" w:hAnsi="Times New Roman" w:eastAsia="Times New Roman" w:cs="Times New Roman"/>
        </w:rPr>
        <w:t xml:space="preserve">Becker, Gary S. 1968.</w:t>
      </w:r>
      <w:r>
        <w:rPr>
          <w:rFonts w:ascii="Times New Roman" w:hAnsi="Times New Roman" w:eastAsia="Times New Roman" w:cs="Times New Roman"/>
        </w:rPr>
        <w:t xml:space="preserve"> </w:t>
      </w:r>
      <w:r>
        <w:rPr>
          <w:rFonts w:ascii="Times New Roman" w:hAnsi="Times New Roman" w:eastAsia="Times New Roman" w:cs="Times New Roman"/>
        </w:rPr>
        <w:t xml:space="preserve">«Crime and Punishment: An Economic Approach»</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Journal of Political Economy</w:t>
      </w:r>
      <w:r>
        <w:rPr>
          <w:rFonts w:ascii="Times New Roman" w:hAnsi="Times New Roman" w:eastAsia="Times New Roman" w:cs="Times New Roman"/>
        </w:rPr>
        <w:t xml:space="preserve"> </w:t>
      </w:r>
      <w:r>
        <w:rPr>
          <w:rFonts w:ascii="Times New Roman" w:hAnsi="Times New Roman" w:eastAsia="Times New Roman" w:cs="Times New Roman"/>
        </w:rPr>
        <w:t xml:space="preserve">76 (2): 169-217.</w:t>
      </w:r>
      <w:r>
        <w:rPr>
          <w:rFonts w:ascii="Times New Roman" w:hAnsi="Times New Roman" w:eastAsia="Times New Roman" w:cs="Times New Roman"/>
        </w:rPr>
        <w:t xml:space="preserve"> </w:t>
      </w:r>
      <w:hyperlink r:id="rId12" w:tooltip="https://doi.org/10.1086/259394" w:history="1">
        <w:r>
          <w:rPr>
            <w:rStyle w:val="733"/>
            <w:rFonts w:ascii="Times New Roman" w:hAnsi="Times New Roman" w:eastAsia="Times New Roman" w:cs="Times New Roman"/>
          </w:rPr>
          <w:t xml:space="preserve">https://doi.org/10.1086/259394</w:t>
        </w:r>
      </w:hyperlink>
      <w:r>
        <w:rPr>
          <w:rFonts w:ascii="Times New Roman" w:hAnsi="Times New Roman" w:eastAsia="Times New Roman" w:cs="Times New Roman"/>
        </w:rPr>
        <w:t xml:space="preserve">.</w:t>
      </w:r>
      <w:bookmarkEnd w:id="74"/>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76" w:name="ref-diamond1965"/>
      <w:r>
        <w:rPr>
          <w:rFonts w:ascii="Times New Roman" w:hAnsi="Times New Roman" w:eastAsia="Times New Roman" w:cs="Times New Roman"/>
        </w:rPr>
        <w:t xml:space="preserve">Diamond, Peter A. 1965.</w:t>
      </w:r>
      <w:r>
        <w:rPr>
          <w:rFonts w:ascii="Times New Roman" w:hAnsi="Times New Roman" w:eastAsia="Times New Roman" w:cs="Times New Roman"/>
        </w:rPr>
        <w:t xml:space="preserve"> </w:t>
      </w:r>
      <w:r>
        <w:rPr>
          <w:rFonts w:ascii="Times New Roman" w:hAnsi="Times New Roman" w:eastAsia="Times New Roman" w:cs="Times New Roman"/>
        </w:rPr>
        <w:t xml:space="preserve">«National Debt in a Neoclassical Growth Model»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The American Economic Review</w:t>
      </w:r>
      <w:r>
        <w:rPr>
          <w:rFonts w:ascii="Times New Roman" w:hAnsi="Times New Roman" w:eastAsia="Times New Roman" w:cs="Times New Roman"/>
        </w:rPr>
        <w:t xml:space="preserve"> </w:t>
      </w:r>
      <w:r>
        <w:rPr>
          <w:rFonts w:ascii="Times New Roman" w:hAnsi="Times New Roman" w:eastAsia="Times New Roman" w:cs="Times New Roman"/>
        </w:rPr>
        <w:t xml:space="preserve">55 (5): 1126-50.</w:t>
      </w:r>
      <w:r>
        <w:rPr>
          <w:rFonts w:ascii="Times New Roman" w:hAnsi="Times New Roman" w:eastAsia="Times New Roman" w:cs="Times New Roman"/>
        </w:rPr>
        <w:t xml:space="preserve"> </w:t>
      </w:r>
      <w:hyperlink r:id="rId13" w:tooltip="https://doi.org/10.2307/1816733" w:history="1">
        <w:r>
          <w:rPr>
            <w:rStyle w:val="733"/>
            <w:rFonts w:ascii="Times New Roman" w:hAnsi="Times New Roman" w:eastAsia="Times New Roman" w:cs="Times New Roman"/>
          </w:rPr>
          <w:t xml:space="preserve">https://doi.org/10.2307/1816733</w:t>
        </w:r>
      </w:hyperlink>
      <w:r>
        <w:rPr>
          <w:rFonts w:ascii="Times New Roman" w:hAnsi="Times New Roman" w:eastAsia="Times New Roman" w:cs="Times New Roman"/>
        </w:rPr>
        <w:t xml:space="preserve">.</w:t>
      </w:r>
      <w:bookmarkEnd w:id="76"/>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77" w:name="ref-inec2022"/>
      <w:r>
        <w:rPr>
          <w:rFonts w:ascii="Times New Roman" w:hAnsi="Times New Roman" w:eastAsia="Times New Roman" w:cs="Times New Roman"/>
        </w:rPr>
        <w:t xml:space="preserve">INEC Ecuador. 2022.</w:t>
      </w:r>
      <w:r>
        <w:rPr>
          <w:rFonts w:ascii="Times New Roman" w:hAnsi="Times New Roman" w:eastAsia="Times New Roman" w:cs="Times New Roman"/>
        </w:rPr>
        <w:t xml:space="preserve"> </w:t>
      </w:r>
      <w:r>
        <w:rPr>
          <w:rFonts w:ascii="Times New Roman" w:hAnsi="Times New Roman" w:eastAsia="Times New Roman" w:cs="Times New Roman"/>
          <w:i/>
          <w:iCs/>
        </w:rPr>
        <w:t xml:space="preserve">Censo de Población y Vivienda 2022</w:t>
      </w:r>
      <w:r>
        <w:rPr>
          <w:rFonts w:ascii="Times New Roman" w:hAnsi="Times New Roman" w:eastAsia="Times New Roman" w:cs="Times New Roman"/>
        </w:rPr>
        <w:t xml:space="preserve">. Instituto Nacional de Estadística y Censos.</w:t>
      </w:r>
      <w:bookmarkEnd w:id="77"/>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78" w:name="ref-murillo2025factors"/>
      <w:r>
        <w:rPr>
          <w:rFonts w:ascii="Times New Roman" w:hAnsi="Times New Roman" w:eastAsia="Times New Roman" w:cs="Times New Roman"/>
        </w:rPr>
        <w:t xml:space="preserve">Murillo, Angie, Wilma Guerrero, y Danilo Cuaical. 2025.</w:t>
      </w:r>
      <w:r>
        <w:rPr>
          <w:rFonts w:ascii="Times New Roman" w:hAnsi="Times New Roman" w:eastAsia="Times New Roman" w:cs="Times New Roman"/>
        </w:rPr>
        <w:t xml:space="preserve"> </w:t>
      </w:r>
      <w:r>
        <w:rPr>
          <w:rFonts w:ascii="Times New Roman" w:hAnsi="Times New Roman" w:eastAsia="Times New Roman" w:cs="Times New Roman"/>
        </w:rPr>
        <w:t xml:space="preserve">«Factors Influencing the Probability of Affiliation to the Social Security System Among Informal Sector Workers in Ecuador»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Cuestiones Econ</w:t>
      </w:r>
      <w:r>
        <w:rPr>
          <w:rFonts w:ascii="Times New Roman" w:hAnsi="Times New Roman" w:eastAsia="Times New Roman" w:cs="Times New Roman"/>
          <w:i/>
          <w:iCs/>
        </w:rPr>
        <w:t xml:space="preserve">ó</w:t>
      </w:r>
      <w:r>
        <w:rPr>
          <w:rFonts w:ascii="Times New Roman" w:hAnsi="Times New Roman" w:eastAsia="Times New Roman" w:cs="Times New Roman"/>
          <w:i/>
          <w:iCs/>
        </w:rPr>
        <w:t xml:space="preserve">micas</w:t>
      </w:r>
      <w:r>
        <w:rPr>
          <w:rFonts w:ascii="Times New Roman" w:hAnsi="Times New Roman" w:eastAsia="Times New Roman" w:cs="Times New Roman"/>
        </w:rPr>
        <w:t xml:space="preserve"> </w:t>
      </w:r>
      <w:r>
        <w:rPr>
          <w:rFonts w:ascii="Times New Roman" w:hAnsi="Times New Roman" w:eastAsia="Times New Roman" w:cs="Times New Roman"/>
        </w:rPr>
        <w:t xml:space="preserve">35 (1): 107-39.</w:t>
      </w:r>
      <w:bookmarkEnd w:id="78"/>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80" w:name="ref-quejada2014"/>
      <w:r>
        <w:rPr>
          <w:rFonts w:ascii="Times New Roman" w:hAnsi="Times New Roman" w:eastAsia="Times New Roman" w:cs="Times New Roman"/>
        </w:rPr>
        <w:t xml:space="preserve">Quejada, Raúl, Martha Yánez, y Karina Cano. 2014.</w:t>
      </w:r>
      <w:r>
        <w:rPr>
          <w:rFonts w:ascii="Times New Roman" w:hAnsi="Times New Roman" w:eastAsia="Times New Roman" w:cs="Times New Roman"/>
        </w:rPr>
        <w:t xml:space="preserve"> </w:t>
      </w:r>
      <w:r>
        <w:rPr>
          <w:rFonts w:ascii="Times New Roman" w:hAnsi="Times New Roman" w:eastAsia="Times New Roman" w:cs="Times New Roman"/>
        </w:rPr>
        <w:t xml:space="preserve">«Determinantes de la informalidad laboral: un an</w:t>
      </w:r>
      <w:r>
        <w:rPr>
          <w:rFonts w:ascii="Times New Roman" w:hAnsi="Times New Roman" w:eastAsia="Times New Roman" w:cs="Times New Roman"/>
        </w:rPr>
        <w:t xml:space="preserve">á</w:t>
      </w:r>
      <w:r>
        <w:rPr>
          <w:rFonts w:ascii="Times New Roman" w:hAnsi="Times New Roman" w:eastAsia="Times New Roman" w:cs="Times New Roman"/>
        </w:rPr>
        <w:t xml:space="preserve">lisis para Colombia»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i/>
          <w:iCs/>
        </w:rPr>
        <w:t xml:space="preserve">Investigaci</w:t>
      </w:r>
      <w:r>
        <w:rPr>
          <w:rFonts w:ascii="Times New Roman" w:hAnsi="Times New Roman" w:eastAsia="Times New Roman" w:cs="Times New Roman"/>
          <w:i/>
          <w:iCs/>
        </w:rPr>
        <w:t xml:space="preserve">ó</w:t>
      </w:r>
      <w:r>
        <w:rPr>
          <w:rFonts w:ascii="Times New Roman" w:hAnsi="Times New Roman" w:eastAsia="Times New Roman" w:cs="Times New Roman"/>
          <w:i/>
          <w:iCs/>
        </w:rPr>
        <w:t xml:space="preserve">n &amp; Desarrollo</w:t>
      </w:r>
      <w:r>
        <w:rPr>
          <w:rFonts w:ascii="Times New Roman" w:hAnsi="Times New Roman" w:eastAsia="Times New Roman" w:cs="Times New Roman"/>
        </w:rPr>
        <w:t xml:space="preserve"> </w:t>
      </w:r>
      <w:r>
        <w:rPr>
          <w:rFonts w:ascii="Times New Roman" w:hAnsi="Times New Roman" w:eastAsia="Times New Roman" w:cs="Times New Roman"/>
        </w:rPr>
        <w:t xml:space="preserve">22 (1): 126-45.</w:t>
      </w:r>
      <w:r>
        <w:rPr>
          <w:rFonts w:ascii="Times New Roman" w:hAnsi="Times New Roman" w:eastAsia="Times New Roman" w:cs="Times New Roman"/>
        </w:rPr>
        <w:t xml:space="preserve"> </w:t>
      </w:r>
      <w:hyperlink r:id="rId14" w:tooltip="https://www.redalyc.org/articulo.oa?id=26831411006" w:history="1">
        <w:r>
          <w:rPr>
            <w:rStyle w:val="733"/>
            <w:rFonts w:ascii="Times New Roman" w:hAnsi="Times New Roman" w:eastAsia="Times New Roman" w:cs="Times New Roman"/>
          </w:rPr>
          <w:t xml:space="preserve">https://www.redalyc.org/articulo.oa?id=26831411006</w:t>
        </w:r>
      </w:hyperlink>
      <w:r>
        <w:rPr>
          <w:rFonts w:ascii="Times New Roman" w:hAnsi="Times New Roman" w:eastAsia="Times New Roman" w:cs="Times New Roman"/>
        </w:rPr>
        <w:t xml:space="preserve">.</w:t>
      </w:r>
      <w:bookmarkEnd w:id="80"/>
      <w:r/>
      <w:r>
        <w:rPr>
          <w:rFonts w:ascii="Times New Roman" w:hAnsi="Times New Roman" w:eastAsia="Times New Roman" w:cs="Times New Roman"/>
        </w:rPr>
      </w:r>
    </w:p>
    <w:p>
      <w:pPr>
        <w:pStyle w:val="698"/>
        <w:pBdr/>
        <w:spacing/>
        <w:ind/>
        <w:rPr>
          <w:rFonts w:ascii="Times New Roman" w:hAnsi="Times New Roman" w:cs="Times New Roman"/>
        </w:rPr>
      </w:pPr>
      <w:r>
        <w:rPr>
          <w:rFonts w:ascii="Times New Roman" w:hAnsi="Times New Roman" w:eastAsia="Times New Roman" w:cs="Times New Roman"/>
        </w:rPr>
      </w:r>
      <w:bookmarkStart w:id="81" w:name="ref-pnd2025"/>
      <w:r>
        <w:rPr>
          <w:rFonts w:ascii="Times New Roman" w:hAnsi="Times New Roman" w:eastAsia="Times New Roman" w:cs="Times New Roman"/>
        </w:rPr>
        <w:t xml:space="preserve">Secretarı́a Nacional de Planificación. 2025.</w:t>
      </w:r>
      <w:r>
        <w:rPr>
          <w:rFonts w:ascii="Times New Roman" w:hAnsi="Times New Roman" w:eastAsia="Times New Roman" w:cs="Times New Roman"/>
        </w:rPr>
        <w:t xml:space="preserve"> </w:t>
      </w:r>
      <w:r>
        <w:rPr>
          <w:rFonts w:ascii="Times New Roman" w:hAnsi="Times New Roman" w:eastAsia="Times New Roman" w:cs="Times New Roman"/>
          <w:i/>
          <w:iCs/>
        </w:rPr>
        <w:t xml:space="preserve">Plan Nacional de Desarrollo "Ecuador no se detiene" 2025-2029</w:t>
      </w:r>
      <w:r>
        <w:rPr>
          <w:rFonts w:ascii="Times New Roman" w:hAnsi="Times New Roman" w:eastAsia="Times New Roman" w:cs="Times New Roman"/>
        </w:rPr>
        <w:t xml:space="preserve">. Secretar</w:t>
      </w:r>
      <w:r>
        <w:rPr>
          <w:rFonts w:ascii="Times New Roman" w:hAnsi="Times New Roman" w:eastAsia="Times New Roman" w:cs="Times New Roman"/>
        </w:rPr>
        <w:t xml:space="preserve">ı́</w:t>
      </w:r>
      <w:r>
        <w:rPr>
          <w:rFonts w:ascii="Times New Roman" w:hAnsi="Times New Roman" w:eastAsia="Times New Roman" w:cs="Times New Roman"/>
        </w:rPr>
        <w:t xml:space="preserve">a Nacional de Planificaci</w:t>
      </w:r>
      <w:r>
        <w:rPr>
          <w:rFonts w:ascii="Times New Roman" w:hAnsi="Times New Roman" w:eastAsia="Times New Roman" w:cs="Times New Roman"/>
        </w:rPr>
        <w:t xml:space="preserve">ó</w:t>
      </w:r>
      <w:r>
        <w:rPr>
          <w:rFonts w:ascii="Times New Roman" w:hAnsi="Times New Roman" w:eastAsia="Times New Roman" w:cs="Times New Roman"/>
        </w:rPr>
        <w:t xml:space="preserve">n del Ecuador.</w:t>
      </w:r>
      <w:bookmarkEnd w:id="81"/>
      <w:r/>
      <w:bookmarkEnd w:id="82"/>
      <w:r/>
      <w:bookmarkEnd w:id="83"/>
      <w:r/>
      <w:r>
        <w:rPr>
          <w:rFonts w:ascii="Times New Roman" w:hAnsi="Times New Roman" w:eastAsia="Times New Roman" w:cs="Times New Roman"/>
        </w:rP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720"/>
    <w:link w:val="163"/>
    <w:uiPriority w:val="29"/>
    <w:pPr>
      <w:pBdr/>
      <w:spacing/>
      <w:ind/>
    </w:pPr>
    <w:rPr>
      <w:i/>
      <w:iCs/>
      <w:color w:val="404040" w:themeColor="text1" w:themeTint="BF"/>
    </w:rPr>
  </w:style>
  <w:style w:type="paragraph" w:styleId="165">
    <w:name w:val="List Paragraph"/>
    <w:basedOn w:val="686"/>
    <w:uiPriority w:val="34"/>
    <w:qFormat/>
    <w:pPr>
      <w:pBdr/>
      <w:spacing/>
      <w:ind w:left="720"/>
      <w:contextualSpacing w:val="true"/>
    </w:pPr>
  </w:style>
  <w:style w:type="character" w:styleId="166">
    <w:name w:val="Intense Emphasis"/>
    <w:basedOn w:val="720"/>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0"/>
    <w:link w:val="167"/>
    <w:uiPriority w:val="30"/>
    <w:pPr>
      <w:pBdr/>
      <w:spacing/>
      <w:ind/>
    </w:pPr>
    <w:rPr>
      <w:i/>
      <w:iCs/>
      <w:color w:val="0f4761" w:themeColor="accent1" w:themeShade="BF"/>
    </w:rPr>
  </w:style>
  <w:style w:type="character" w:styleId="169">
    <w:name w:val="Intense Reference"/>
    <w:basedOn w:val="720"/>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720"/>
    <w:uiPriority w:val="19"/>
    <w:qFormat/>
    <w:pPr>
      <w:pBdr/>
      <w:spacing/>
      <w:ind/>
    </w:pPr>
    <w:rPr>
      <w:i/>
      <w:iCs/>
      <w:color w:val="404040" w:themeColor="text1" w:themeTint="BF"/>
    </w:rPr>
  </w:style>
  <w:style w:type="character" w:styleId="172">
    <w:name w:val="Emphasis"/>
    <w:basedOn w:val="720"/>
    <w:uiPriority w:val="20"/>
    <w:qFormat/>
    <w:pPr>
      <w:pBdr/>
      <w:spacing/>
      <w:ind/>
    </w:pPr>
    <w:rPr>
      <w:i/>
      <w:iCs/>
    </w:rPr>
  </w:style>
  <w:style w:type="character" w:styleId="173">
    <w:name w:val="Strong"/>
    <w:basedOn w:val="720"/>
    <w:uiPriority w:val="22"/>
    <w:qFormat/>
    <w:pPr>
      <w:pBdr/>
      <w:spacing/>
      <w:ind/>
    </w:pPr>
    <w:rPr>
      <w:b/>
      <w:bCs/>
    </w:rPr>
  </w:style>
  <w:style w:type="character" w:styleId="174">
    <w:name w:val="Subtle Reference"/>
    <w:basedOn w:val="720"/>
    <w:uiPriority w:val="31"/>
    <w:qFormat/>
    <w:pPr>
      <w:pBdr/>
      <w:spacing/>
      <w:ind/>
    </w:pPr>
    <w:rPr>
      <w:smallCaps/>
      <w:color w:val="5a5a5a" w:themeColor="text1" w:themeTint="A5"/>
    </w:rPr>
  </w:style>
  <w:style w:type="character" w:styleId="175">
    <w:name w:val="Book Title"/>
    <w:basedOn w:val="720"/>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720"/>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720"/>
    <w:link w:val="178"/>
    <w:uiPriority w:val="99"/>
    <w:pPr>
      <w:pBdr/>
      <w:spacing/>
      <w:ind/>
    </w:pPr>
  </w:style>
  <w:style w:type="character" w:styleId="182">
    <w:name w:val="Footnote Text Char"/>
    <w:basedOn w:val="720"/>
    <w:link w:val="718"/>
    <w:uiPriority w:val="99"/>
    <w:semiHidden/>
    <w:pPr>
      <w:pBdr/>
      <w:spacing/>
      <w:ind/>
    </w:pPr>
    <w:rPr>
      <w:sz w:val="20"/>
      <w:szCs w:val="20"/>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720"/>
    <w:link w:val="184"/>
    <w:uiPriority w:val="99"/>
    <w:semiHidden/>
    <w:pPr>
      <w:pBdr/>
      <w:spacing/>
      <w:ind/>
    </w:pPr>
    <w:rPr>
      <w:sz w:val="20"/>
      <w:szCs w:val="20"/>
    </w:rPr>
  </w:style>
  <w:style w:type="character" w:styleId="186">
    <w:name w:val="endnote reference"/>
    <w:basedOn w:val="720"/>
    <w:uiPriority w:val="99"/>
    <w:semiHidden/>
    <w:unhideWhenUsed/>
    <w:pPr>
      <w:pBdr/>
      <w:spacing/>
      <w:ind/>
    </w:pPr>
    <w:rPr>
      <w:vertAlign w:val="superscript"/>
    </w:rPr>
  </w:style>
  <w:style w:type="character" w:styleId="188">
    <w:name w:val="FollowedHyperlink"/>
    <w:basedOn w:val="720"/>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720"/>
    <w:uiPriority w:val="99"/>
    <w:semiHidden/>
    <w:pPr>
      <w:pBdr/>
      <w:spacing/>
      <w:ind/>
    </w:pPr>
    <w:rPr>
      <w:color w:val="666666"/>
    </w:r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jc w:val="both"/>
    </w:pPr>
    <w:rPr>
      <w:rFonts w:ascii="Times New Roman" w:hAnsi="Times New Roman" w:eastAsia="Times New Roman" w:cs="Times New Roman"/>
      <w:color w:val="000000"/>
      <w:sz w:val="24"/>
    </w:rPr>
  </w:style>
  <w:style w:type="paragraph" w:styleId="687">
    <w:name w:val="Body Text"/>
    <w:basedOn w:val="686"/>
    <w:link w:val="729"/>
    <w:qFormat/>
    <w:pPr>
      <w:pBdr/>
      <w:spacing w:after="180" w:before="180"/>
      <w:ind/>
      <w:jc w:val="both"/>
    </w:pPr>
    <w:rPr>
      <w:rFonts w:ascii="Times New Roman" w:hAnsi="Times New Roman" w:eastAsia="Times New Roman" w:cs="Times New Roman"/>
      <w:color w:val="000000"/>
      <w:sz w:val="24"/>
    </w:rPr>
  </w:style>
  <w:style w:type="paragraph" w:styleId="688" w:customStyle="1">
    <w:name w:val="First Paragraph"/>
    <w:basedOn w:val="687"/>
    <w:next w:val="687"/>
    <w:qFormat/>
    <w:pPr>
      <w:pBdr/>
      <w:spacing/>
      <w:ind/>
      <w:jc w:val="both"/>
    </w:pPr>
    <w:rPr>
      <w:rFonts w:ascii="Times New Roman" w:hAnsi="Times New Roman" w:eastAsia="Times New Roman" w:cs="Times New Roman"/>
      <w:color w:val="000000"/>
      <w:sz w:val="24"/>
    </w:rPr>
  </w:style>
  <w:style w:type="paragraph" w:styleId="689" w:customStyle="1">
    <w:name w:val="Compact"/>
    <w:basedOn w:val="687"/>
    <w:qFormat/>
    <w:pPr>
      <w:pBdr/>
      <w:spacing w:after="36" w:before="36"/>
      <w:ind/>
    </w:pPr>
    <w:rPr>
      <w:rFonts w:ascii="Times New Roman" w:hAnsi="Times New Roman" w:eastAsia="Times New Roman" w:cs="Times New Roman"/>
      <w:color w:val="000000"/>
    </w:rPr>
  </w:style>
  <w:style w:type="paragraph" w:styleId="690">
    <w:name w:val="Title"/>
    <w:basedOn w:val="686"/>
    <w:next w:val="687"/>
    <w:link w:val="691"/>
    <w:uiPriority w:val="10"/>
    <w:qFormat/>
    <w:pPr>
      <w:pBdr/>
      <w:spacing w:after="80" w:line="240" w:lineRule="auto"/>
      <w:ind/>
      <w:contextualSpacing w:val="true"/>
      <w:jc w:val="center"/>
    </w:pPr>
    <w:rPr>
      <w:rFonts w:ascii="Times New Roman" w:hAnsi="Times New Roman" w:eastAsia="Times New Roman" w:cs="Times New Roman" w:asciiTheme="majorHAnsi" w:hAnsiTheme="majorHAnsi" w:eastAsiaTheme="majorEastAsia" w:cstheme="majorBidi"/>
      <w:b/>
      <w:color w:val="000000"/>
      <w:sz w:val="40"/>
      <w:szCs w:val="56"/>
    </w:rPr>
  </w:style>
  <w:style w:type="character" w:styleId="691" w:customStyle="1">
    <w:name w:val="Title Char"/>
    <w:basedOn w:val="720"/>
    <w:link w:val="690"/>
    <w:uiPriority w:val="10"/>
    <w:pPr>
      <w:pBdr/>
      <w:spacing/>
      <w:ind/>
    </w:pPr>
    <w:rPr>
      <w:rFonts w:ascii="Times New Roman" w:hAnsi="Times New Roman" w:eastAsia="Times New Roman" w:cs="Times New Roman" w:asciiTheme="majorHAnsi" w:hAnsiTheme="majorHAnsi" w:eastAsiaTheme="majorEastAsia" w:cstheme="majorBidi"/>
      <w:b/>
      <w:color w:val="000000"/>
      <w:sz w:val="40"/>
      <w:szCs w:val="56"/>
    </w:rPr>
  </w:style>
  <w:style w:type="paragraph" w:styleId="692">
    <w:name w:val="Subtitle"/>
    <w:basedOn w:val="690"/>
    <w:next w:val="687"/>
    <w:link w:val="693"/>
    <w:uiPriority w:val="11"/>
    <w:qFormat/>
    <w:pPr>
      <w:numPr>
        <w:ilvl w:val="1"/>
      </w:numPr>
      <w:pBdr/>
      <w:spacing/>
      <w:ind/>
    </w:pPr>
    <w:rPr>
      <w:rFonts w:ascii="Times New Roman" w:hAnsi="Times New Roman" w:eastAsia="Times New Roman" w:cs="Times New Roman" w:eastAsiaTheme="majorEastAsia" w:cstheme="majorBidi"/>
      <w:color w:val="000000"/>
      <w:spacing w:val="15"/>
      <w:sz w:val="28"/>
      <w:szCs w:val="28"/>
    </w:rPr>
  </w:style>
  <w:style w:type="character" w:styleId="693" w:customStyle="1">
    <w:name w:val="Subtitle Char"/>
    <w:basedOn w:val="720"/>
    <w:link w:val="692"/>
    <w:uiPriority w:val="11"/>
    <w:pPr>
      <w:pBdr/>
      <w:spacing/>
      <w:ind/>
    </w:pPr>
    <w:rPr>
      <w:rFonts w:ascii="Times New Roman" w:hAnsi="Times New Roman" w:eastAsia="Times New Roman" w:cs="Times New Roman" w:eastAsiaTheme="majorEastAsia" w:cstheme="majorBidi"/>
      <w:color w:val="000000"/>
      <w:spacing w:val="15"/>
      <w:sz w:val="28"/>
      <w:szCs w:val="28"/>
    </w:rPr>
  </w:style>
  <w:style w:type="paragraph" w:styleId="694" w:customStyle="1">
    <w:name w:val="Author"/>
    <w:basedOn w:val="690"/>
    <w:next w:val="687"/>
    <w:qFormat/>
    <w:pPr>
      <w:keepNext w:val="true"/>
      <w:keepLines w:val="true"/>
      <w:pBdr/>
      <w:spacing/>
      <w:ind/>
    </w:pPr>
    <w:rPr>
      <w:rFonts w:ascii="Times New Roman" w:hAnsi="Times New Roman" w:eastAsia="Times New Roman" w:cs="Times New Roman"/>
      <w:color w:val="000000"/>
      <w:sz w:val="24"/>
      <w:szCs w:val="24"/>
    </w:rPr>
  </w:style>
  <w:style w:type="paragraph" w:styleId="695">
    <w:name w:val="Date"/>
    <w:basedOn w:val="690"/>
    <w:next w:val="687"/>
    <w:qFormat/>
    <w:pPr>
      <w:keepNext w:val="true"/>
      <w:keepLines w:val="true"/>
      <w:pBdr/>
      <w:spacing/>
      <w:ind/>
    </w:pPr>
    <w:rPr>
      <w:rFonts w:ascii="Times New Roman" w:hAnsi="Times New Roman" w:eastAsia="Times New Roman" w:cs="Times New Roman"/>
      <w:color w:val="000000"/>
      <w:sz w:val="24"/>
      <w:szCs w:val="24"/>
    </w:rPr>
  </w:style>
  <w:style w:type="paragraph" w:styleId="696" w:customStyle="1">
    <w:name w:val="Abstract Title"/>
    <w:basedOn w:val="686"/>
    <w:next w:val="697"/>
    <w:qFormat/>
    <w:pPr>
      <w:keepNext w:val="true"/>
      <w:keepLines w:val="true"/>
      <w:pBdr/>
      <w:spacing w:after="0" w:before="300"/>
      <w:ind/>
      <w:jc w:val="center"/>
    </w:pPr>
    <w:rPr>
      <w:rFonts w:ascii="Times New Roman" w:hAnsi="Times New Roman" w:eastAsia="Times New Roman" w:cs="Times New Roman"/>
      <w:b/>
      <w:color w:val="000000"/>
      <w:sz w:val="40"/>
      <w:szCs w:val="20"/>
    </w:rPr>
  </w:style>
  <w:style w:type="paragraph" w:styleId="697" w:customStyle="1">
    <w:name w:val="Abstract"/>
    <w:basedOn w:val="686"/>
    <w:next w:val="687"/>
    <w:qFormat/>
    <w:pPr>
      <w:keepNext w:val="true"/>
      <w:keepLines w:val="true"/>
      <w:pBdr/>
      <w:spacing w:after="300" w:before="100"/>
      <w:ind/>
    </w:pPr>
    <w:rPr>
      <w:rFonts w:ascii="Times New Roman" w:hAnsi="Times New Roman" w:eastAsia="Times New Roman" w:cs="Times New Roman"/>
      <w:color w:val="000000"/>
      <w:sz w:val="20"/>
      <w:szCs w:val="20"/>
    </w:rPr>
  </w:style>
  <w:style w:type="paragraph" w:styleId="698">
    <w:name w:val="Bibliography"/>
    <w:basedOn w:val="686"/>
    <w:next w:val="698"/>
    <w:qFormat/>
    <w:pPr>
      <w:pBdr/>
      <w:spacing/>
      <w:ind w:hanging="720" w:left="720"/>
      <w:jc w:val="both"/>
    </w:pPr>
    <w:rPr>
      <w:rFonts w:ascii="Times New Roman" w:hAnsi="Times New Roman" w:eastAsia="Times New Roman" w:cs="Times New Roman"/>
      <w:color w:val="000000"/>
      <w:sz w:val="24"/>
    </w:rPr>
  </w:style>
  <w:style w:type="paragraph" w:styleId="699">
    <w:name w:val="Heading 1"/>
    <w:basedOn w:val="686"/>
    <w:next w:val="687"/>
    <w:link w:val="708"/>
    <w:uiPriority w:val="9"/>
    <w:qFormat/>
    <w:pPr>
      <w:keepNext w:val="true"/>
      <w:keepLines w:val="true"/>
      <w:pBdr/>
      <w:spacing w:after="80" w:before="360"/>
      <w:ind/>
      <w:outlineLvl w:val="0"/>
    </w:pPr>
    <w:rPr>
      <w:rFonts w:ascii="Times New Roman" w:hAnsi="Times New Roman" w:eastAsia="Times New Roman" w:cs="Times New Roman" w:asciiTheme="majorHAnsi" w:hAnsiTheme="majorHAnsi" w:eastAsiaTheme="majorEastAsia" w:cstheme="majorBidi"/>
      <w:b/>
      <w:color w:val="000000"/>
      <w:sz w:val="32"/>
      <w:szCs w:val="40"/>
    </w:rPr>
  </w:style>
  <w:style w:type="paragraph" w:styleId="700">
    <w:name w:val="Heading 2"/>
    <w:basedOn w:val="686"/>
    <w:next w:val="687"/>
    <w:link w:val="709"/>
    <w:uiPriority w:val="9"/>
    <w:semiHidden/>
    <w:unhideWhenUsed/>
    <w:qFormat/>
    <w:pPr>
      <w:keepNext w:val="true"/>
      <w:keepLines w:val="true"/>
      <w:pBdr/>
      <w:spacing w:after="80" w:before="160"/>
      <w:ind/>
      <w:outlineLvl w:val="1"/>
    </w:pPr>
    <w:rPr>
      <w:rFonts w:ascii="Times New Roman" w:hAnsi="Times New Roman" w:eastAsia="Times New Roman" w:cs="Times New Roman" w:asciiTheme="majorHAnsi" w:hAnsiTheme="majorHAnsi" w:eastAsiaTheme="majorEastAsia" w:cstheme="majorBidi"/>
      <w:b/>
      <w:color w:val="000000"/>
      <w:sz w:val="28"/>
      <w:szCs w:val="32"/>
    </w:rPr>
  </w:style>
  <w:style w:type="paragraph" w:styleId="701">
    <w:name w:val="Heading 3"/>
    <w:basedOn w:val="686"/>
    <w:next w:val="687"/>
    <w:link w:val="710"/>
    <w:uiPriority w:val="9"/>
    <w:semiHidden/>
    <w:unhideWhenUsed/>
    <w:qFormat/>
    <w:pPr>
      <w:keepNext w:val="true"/>
      <w:keepLines w:val="true"/>
      <w:pBdr/>
      <w:spacing w:after="80" w:before="160"/>
      <w:ind/>
      <w:outlineLvl w:val="2"/>
    </w:pPr>
    <w:rPr>
      <w:rFonts w:ascii="Times New Roman" w:hAnsi="Times New Roman" w:eastAsia="Times New Roman" w:cs="Times New Roman" w:eastAsiaTheme="majorEastAsia" w:cstheme="majorBidi"/>
      <w:b/>
      <w:color w:val="000000"/>
      <w:sz w:val="24"/>
      <w:szCs w:val="28"/>
    </w:rPr>
  </w:style>
  <w:style w:type="paragraph" w:styleId="702">
    <w:name w:val="Heading 4"/>
    <w:basedOn w:val="686"/>
    <w:next w:val="687"/>
    <w:link w:val="711"/>
    <w:uiPriority w:val="9"/>
    <w:semiHidden/>
    <w:unhideWhenUsed/>
    <w:qFormat/>
    <w:pPr>
      <w:keepNext w:val="true"/>
      <w:keepLines w:val="true"/>
      <w:pBdr/>
      <w:spacing w:after="40" w:before="80"/>
      <w:ind/>
      <w:outlineLvl w:val="3"/>
    </w:pPr>
    <w:rPr>
      <w:rFonts w:ascii="Times New Roman" w:hAnsi="Times New Roman" w:eastAsia="Times New Roman" w:cs="Times New Roman" w:eastAsiaTheme="majorEastAsia" w:cstheme="majorBidi"/>
      <w:i/>
      <w:iCs/>
      <w:color w:val="000000"/>
    </w:rPr>
  </w:style>
  <w:style w:type="paragraph" w:styleId="703">
    <w:name w:val="Heading 5"/>
    <w:basedOn w:val="686"/>
    <w:next w:val="687"/>
    <w:link w:val="712"/>
    <w:uiPriority w:val="9"/>
    <w:semiHidden/>
    <w:unhideWhenUsed/>
    <w:qFormat/>
    <w:pPr>
      <w:keepNext w:val="true"/>
      <w:keepLines w:val="true"/>
      <w:pBdr/>
      <w:spacing w:after="40" w:before="80"/>
      <w:ind/>
      <w:outlineLvl w:val="4"/>
    </w:pPr>
    <w:rPr>
      <w:rFonts w:ascii="Times New Roman" w:hAnsi="Times New Roman" w:eastAsia="Times New Roman" w:cs="Times New Roman" w:eastAsiaTheme="majorEastAsia" w:cstheme="majorBidi"/>
      <w:color w:val="000000"/>
    </w:rPr>
  </w:style>
  <w:style w:type="paragraph" w:styleId="704">
    <w:name w:val="Heading 6"/>
    <w:basedOn w:val="686"/>
    <w:next w:val="687"/>
    <w:link w:val="713"/>
    <w:uiPriority w:val="9"/>
    <w:semiHidden/>
    <w:unhideWhenUsed/>
    <w:qFormat/>
    <w:pPr>
      <w:keepNext w:val="true"/>
      <w:keepLines w:val="true"/>
      <w:pBdr/>
      <w:spacing w:after="0" w:before="40"/>
      <w:ind/>
      <w:outlineLvl w:val="5"/>
    </w:pPr>
    <w:rPr>
      <w:rFonts w:ascii="Times New Roman" w:hAnsi="Times New Roman" w:eastAsia="Times New Roman" w:cs="Times New Roman" w:eastAsiaTheme="majorEastAsia" w:cstheme="majorBidi"/>
      <w:i/>
      <w:iCs/>
      <w:color w:val="000000"/>
    </w:rPr>
  </w:style>
  <w:style w:type="paragraph" w:styleId="705">
    <w:name w:val="Heading 7"/>
    <w:basedOn w:val="686"/>
    <w:next w:val="687"/>
    <w:link w:val="714"/>
    <w:uiPriority w:val="9"/>
    <w:semiHidden/>
    <w:unhideWhenUsed/>
    <w:qFormat/>
    <w:pPr>
      <w:keepNext w:val="true"/>
      <w:keepLines w:val="true"/>
      <w:pBdr/>
      <w:spacing w:after="0" w:before="40"/>
      <w:ind/>
      <w:outlineLvl w:val="6"/>
    </w:pPr>
    <w:rPr>
      <w:rFonts w:ascii="Times New Roman" w:hAnsi="Times New Roman" w:eastAsia="Times New Roman" w:cs="Times New Roman" w:eastAsiaTheme="majorEastAsia" w:cstheme="majorBidi"/>
      <w:color w:val="000000"/>
    </w:rPr>
  </w:style>
  <w:style w:type="paragraph" w:styleId="706">
    <w:name w:val="Heading 8"/>
    <w:basedOn w:val="686"/>
    <w:next w:val="687"/>
    <w:link w:val="715"/>
    <w:uiPriority w:val="9"/>
    <w:semiHidden/>
    <w:unhideWhenUsed/>
    <w:qFormat/>
    <w:pPr>
      <w:keepNext w:val="true"/>
      <w:keepLines w:val="true"/>
      <w:pBdr/>
      <w:spacing w:after="0"/>
      <w:ind/>
      <w:outlineLvl w:val="7"/>
    </w:pPr>
    <w:rPr>
      <w:rFonts w:ascii="Times New Roman" w:hAnsi="Times New Roman" w:eastAsia="Times New Roman" w:cs="Times New Roman" w:eastAsiaTheme="majorEastAsia" w:cstheme="majorBidi"/>
      <w:i/>
      <w:iCs/>
      <w:color w:val="000000"/>
    </w:rPr>
  </w:style>
  <w:style w:type="paragraph" w:styleId="707">
    <w:name w:val="Heading 9"/>
    <w:basedOn w:val="686"/>
    <w:next w:val="687"/>
    <w:link w:val="716"/>
    <w:uiPriority w:val="9"/>
    <w:semiHidden/>
    <w:unhideWhenUsed/>
    <w:qFormat/>
    <w:pPr>
      <w:keepNext w:val="true"/>
      <w:keepLines w:val="true"/>
      <w:pBdr/>
      <w:spacing w:after="0"/>
      <w:ind/>
      <w:outlineLvl w:val="8"/>
    </w:pPr>
    <w:rPr>
      <w:rFonts w:ascii="Times New Roman" w:hAnsi="Times New Roman" w:eastAsia="Times New Roman" w:cs="Times New Roman" w:eastAsiaTheme="majorEastAsia" w:cstheme="majorBidi"/>
      <w:color w:val="000000"/>
    </w:rPr>
  </w:style>
  <w:style w:type="character" w:styleId="708" w:customStyle="1">
    <w:name w:val="Heading 1 Char"/>
    <w:basedOn w:val="720"/>
    <w:link w:val="699"/>
    <w:uiPriority w:val="9"/>
    <w:pPr>
      <w:pBdr/>
      <w:spacing/>
      <w:ind/>
    </w:pPr>
    <w:rPr>
      <w:rFonts w:ascii="Times New Roman" w:hAnsi="Times New Roman" w:eastAsia="Times New Roman" w:cs="Times New Roman" w:asciiTheme="majorHAnsi" w:hAnsiTheme="majorHAnsi" w:eastAsiaTheme="majorEastAsia" w:cstheme="majorBidi"/>
      <w:b/>
      <w:color w:val="000000"/>
      <w:sz w:val="32"/>
      <w:szCs w:val="40"/>
    </w:rPr>
  </w:style>
  <w:style w:type="character" w:styleId="709" w:customStyle="1">
    <w:name w:val="Heading 2 Char"/>
    <w:basedOn w:val="720"/>
    <w:link w:val="700"/>
    <w:uiPriority w:val="9"/>
    <w:semiHidden/>
    <w:pPr>
      <w:pBdr/>
      <w:spacing/>
      <w:ind/>
    </w:pPr>
    <w:rPr>
      <w:rFonts w:ascii="Times New Roman" w:hAnsi="Times New Roman" w:eastAsia="Times New Roman" w:cs="Times New Roman" w:asciiTheme="majorHAnsi" w:hAnsiTheme="majorHAnsi" w:eastAsiaTheme="majorEastAsia" w:cstheme="majorBidi"/>
      <w:b/>
      <w:color w:val="000000"/>
      <w:sz w:val="28"/>
      <w:szCs w:val="32"/>
    </w:rPr>
  </w:style>
  <w:style w:type="character" w:styleId="710" w:customStyle="1">
    <w:name w:val="Heading 3 Char"/>
    <w:basedOn w:val="720"/>
    <w:link w:val="701"/>
    <w:uiPriority w:val="9"/>
    <w:semiHidden/>
    <w:pPr>
      <w:pBdr/>
      <w:spacing/>
      <w:ind/>
    </w:pPr>
    <w:rPr>
      <w:rFonts w:ascii="Times New Roman" w:hAnsi="Times New Roman" w:eastAsia="Times New Roman" w:cs="Times New Roman" w:eastAsiaTheme="majorEastAsia" w:cstheme="majorBidi"/>
      <w:b/>
      <w:color w:val="000000"/>
      <w:sz w:val="24"/>
      <w:szCs w:val="28"/>
    </w:rPr>
  </w:style>
  <w:style w:type="character" w:styleId="711" w:customStyle="1">
    <w:name w:val="Heading 4 Char"/>
    <w:basedOn w:val="720"/>
    <w:link w:val="702"/>
    <w:uiPriority w:val="9"/>
    <w:semiHidden/>
    <w:pPr>
      <w:pBdr/>
      <w:spacing/>
      <w:ind/>
    </w:pPr>
    <w:rPr>
      <w:rFonts w:ascii="Times New Roman" w:hAnsi="Times New Roman" w:eastAsia="Times New Roman" w:cs="Times New Roman" w:eastAsiaTheme="majorEastAsia" w:cstheme="majorBidi"/>
      <w:i/>
      <w:iCs/>
      <w:color w:val="000000"/>
    </w:rPr>
  </w:style>
  <w:style w:type="character" w:styleId="712" w:customStyle="1">
    <w:name w:val="Heading 5 Char"/>
    <w:basedOn w:val="720"/>
    <w:link w:val="703"/>
    <w:uiPriority w:val="9"/>
    <w:semiHidden/>
    <w:pPr>
      <w:pBdr/>
      <w:spacing/>
      <w:ind/>
    </w:pPr>
    <w:rPr>
      <w:rFonts w:ascii="Times New Roman" w:hAnsi="Times New Roman" w:eastAsia="Times New Roman" w:cs="Times New Roman" w:eastAsiaTheme="majorEastAsia" w:cstheme="majorBidi"/>
      <w:color w:val="000000"/>
    </w:rPr>
  </w:style>
  <w:style w:type="character" w:styleId="713" w:customStyle="1">
    <w:name w:val="Heading 6 Char"/>
    <w:basedOn w:val="720"/>
    <w:link w:val="704"/>
    <w:uiPriority w:val="9"/>
    <w:semiHidden/>
    <w:pPr>
      <w:pBdr/>
      <w:spacing/>
      <w:ind/>
    </w:pPr>
    <w:rPr>
      <w:rFonts w:ascii="Times New Roman" w:hAnsi="Times New Roman" w:eastAsia="Times New Roman" w:cs="Times New Roman" w:eastAsiaTheme="majorEastAsia" w:cstheme="majorBidi"/>
      <w:i/>
      <w:iCs/>
      <w:color w:val="000000"/>
    </w:rPr>
  </w:style>
  <w:style w:type="character" w:styleId="714" w:customStyle="1">
    <w:name w:val="Heading 7 Char"/>
    <w:basedOn w:val="720"/>
    <w:link w:val="705"/>
    <w:uiPriority w:val="9"/>
    <w:semiHidden/>
    <w:pPr>
      <w:pBdr/>
      <w:spacing/>
      <w:ind/>
    </w:pPr>
    <w:rPr>
      <w:rFonts w:ascii="Times New Roman" w:hAnsi="Times New Roman" w:eastAsia="Times New Roman" w:cs="Times New Roman" w:eastAsiaTheme="majorEastAsia" w:cstheme="majorBidi"/>
      <w:color w:val="000000"/>
    </w:rPr>
  </w:style>
  <w:style w:type="character" w:styleId="715" w:customStyle="1">
    <w:name w:val="Heading 8 Char"/>
    <w:basedOn w:val="720"/>
    <w:link w:val="706"/>
    <w:uiPriority w:val="9"/>
    <w:semiHidden/>
    <w:pPr>
      <w:pBdr/>
      <w:spacing/>
      <w:ind/>
    </w:pPr>
    <w:rPr>
      <w:rFonts w:ascii="Times New Roman" w:hAnsi="Times New Roman" w:eastAsia="Times New Roman" w:cs="Times New Roman" w:eastAsiaTheme="majorEastAsia" w:cstheme="majorBidi"/>
      <w:i/>
      <w:iCs/>
      <w:color w:val="000000"/>
    </w:rPr>
  </w:style>
  <w:style w:type="character" w:styleId="716" w:customStyle="1">
    <w:name w:val="Heading 9 Char"/>
    <w:basedOn w:val="720"/>
    <w:link w:val="707"/>
    <w:uiPriority w:val="9"/>
    <w:semiHidden/>
    <w:pPr>
      <w:pBdr/>
      <w:spacing/>
      <w:ind/>
    </w:pPr>
    <w:rPr>
      <w:rFonts w:ascii="Times New Roman" w:hAnsi="Times New Roman" w:eastAsia="Times New Roman" w:cs="Times New Roman" w:eastAsiaTheme="majorEastAsia" w:cstheme="majorBidi"/>
      <w:color w:val="000000"/>
    </w:rPr>
  </w:style>
  <w:style w:type="paragraph" w:styleId="717">
    <w:name w:val="Block Text"/>
    <w:basedOn w:val="687"/>
    <w:next w:val="687"/>
    <w:uiPriority w:val="9"/>
    <w:unhideWhenUsed/>
    <w:qFormat/>
    <w:pPr>
      <w:pBdr/>
      <w:spacing w:after="100" w:before="100"/>
      <w:ind w:right="480" w:firstLine="0" w:left="480"/>
    </w:pPr>
    <w:rPr>
      <w:rFonts w:ascii="Times New Roman" w:hAnsi="Times New Roman" w:eastAsia="Times New Roman" w:cs="Times New Roman"/>
      <w:color w:val="000000"/>
    </w:rPr>
  </w:style>
  <w:style w:type="paragraph" w:styleId="718">
    <w:name w:val="footnote text"/>
    <w:basedOn w:val="686"/>
    <w:next w:val="718"/>
    <w:uiPriority w:val="9"/>
    <w:unhideWhenUsed/>
    <w:qFormat/>
    <w:pPr>
      <w:pBdr/>
      <w:spacing/>
      <w:ind/>
    </w:pPr>
    <w:rPr>
      <w:rFonts w:ascii="Times New Roman" w:hAnsi="Times New Roman" w:eastAsia="Times New Roman" w:cs="Times New Roman"/>
      <w:color w:val="000000"/>
    </w:rPr>
  </w:style>
  <w:style w:type="paragraph" w:styleId="719">
    <w:name w:val="Footnote Block Text"/>
    <w:basedOn w:val="718"/>
    <w:next w:val="718"/>
    <w:uiPriority w:val="9"/>
    <w:unhideWhenUsed/>
    <w:qFormat/>
    <w:pPr>
      <w:pBdr/>
      <w:spacing w:after="100" w:before="100"/>
      <w:ind w:right="480" w:firstLine="0" w:left="480"/>
    </w:pPr>
    <w:rPr>
      <w:rFonts w:ascii="Times New Roman" w:hAnsi="Times New Roman" w:eastAsia="Times New Roman" w:cs="Times New Roman"/>
      <w:color w:val="000000"/>
    </w:rPr>
  </w:style>
  <w:style w:type="character" w:styleId="720" w:default="1">
    <w:name w:val="Default Paragraph Font"/>
    <w:semiHidden/>
    <w:unhideWhenUsed/>
    <w:pPr>
      <w:pBdr/>
      <w:spacing/>
      <w:ind/>
    </w:pPr>
    <w:rPr>
      <w:rFonts w:ascii="Times New Roman" w:hAnsi="Times New Roman" w:eastAsia="Times New Roman" w:cs="Times New Roman"/>
      <w:color w:val="000000"/>
    </w:rPr>
  </w:style>
  <w:style w:type="table" w:styleId="721">
    <w:name w:val="Table"/>
    <w:semiHidden/>
    <w:unhideWhenUsed/>
    <w:qFormat/>
    <w:pPr>
      <w:pBdr/>
      <w:spacing/>
      <w:ind/>
    </w:pPr>
    <w:rPr>
      <w:rFonts w:ascii="Times New Roman" w:hAnsi="Times New Roman" w:eastAsia="Times New Roman" w:cs="Times New Roman"/>
      <w:color w:val="000000"/>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2" w:customStyle="1">
    <w:name w:val="Definition Term"/>
    <w:basedOn w:val="686"/>
    <w:next w:val="723"/>
    <w:pPr>
      <w:keepNext w:val="true"/>
      <w:keepLines w:val="true"/>
      <w:pBdr/>
      <w:spacing w:after="0"/>
      <w:ind/>
    </w:pPr>
    <w:rPr>
      <w:rFonts w:ascii="Times New Roman" w:hAnsi="Times New Roman" w:eastAsia="Times New Roman" w:cs="Times New Roman"/>
      <w:b/>
      <w:color w:val="000000"/>
    </w:rPr>
  </w:style>
  <w:style w:type="paragraph" w:styleId="723" w:customStyle="1">
    <w:name w:val="Definition"/>
    <w:basedOn w:val="686"/>
    <w:pPr>
      <w:pBdr/>
      <w:spacing/>
      <w:ind/>
    </w:pPr>
    <w:rPr>
      <w:rFonts w:ascii="Times New Roman" w:hAnsi="Times New Roman" w:eastAsia="Times New Roman" w:cs="Times New Roman"/>
      <w:color w:val="000000"/>
    </w:rPr>
  </w:style>
  <w:style w:type="paragraph" w:styleId="724">
    <w:name w:val="Caption"/>
    <w:basedOn w:val="686"/>
    <w:link w:val="729"/>
    <w:pPr>
      <w:pBdr/>
      <w:spacing w:after="120" w:before="0"/>
      <w:ind/>
    </w:pPr>
    <w:rPr>
      <w:rFonts w:ascii="Times New Roman" w:hAnsi="Times New Roman" w:eastAsia="Times New Roman" w:cs="Times New Roman"/>
      <w:i/>
      <w:color w:val="000000"/>
    </w:rPr>
  </w:style>
  <w:style w:type="paragraph" w:styleId="725" w:customStyle="1">
    <w:name w:val="Table Caption"/>
    <w:basedOn w:val="724"/>
    <w:pPr>
      <w:keepNext w:val="true"/>
      <w:pBdr/>
      <w:spacing/>
      <w:ind/>
    </w:pPr>
    <w:rPr>
      <w:rFonts w:ascii="Times New Roman" w:hAnsi="Times New Roman" w:eastAsia="Times New Roman" w:cs="Times New Roman"/>
      <w:color w:val="000000"/>
    </w:rPr>
  </w:style>
  <w:style w:type="paragraph" w:styleId="726" w:customStyle="1">
    <w:name w:val="Image Caption"/>
    <w:basedOn w:val="724"/>
    <w:pPr>
      <w:pBdr/>
      <w:spacing/>
      <w:ind/>
    </w:pPr>
    <w:rPr>
      <w:rFonts w:ascii="Times New Roman" w:hAnsi="Times New Roman" w:eastAsia="Times New Roman" w:cs="Times New Roman"/>
      <w:color w:val="000000"/>
    </w:rPr>
  </w:style>
  <w:style w:type="paragraph" w:styleId="727" w:customStyle="1">
    <w:name w:val="Figure"/>
    <w:basedOn w:val="686"/>
    <w:pPr>
      <w:pBdr/>
      <w:spacing/>
      <w:ind/>
    </w:pPr>
    <w:rPr>
      <w:rFonts w:ascii="Times New Roman" w:hAnsi="Times New Roman" w:eastAsia="Times New Roman" w:cs="Times New Roman"/>
      <w:color w:val="000000"/>
    </w:rPr>
  </w:style>
  <w:style w:type="paragraph" w:styleId="728" w:customStyle="1">
    <w:name w:val="Captioned Figure"/>
    <w:basedOn w:val="727"/>
    <w:pPr>
      <w:keepNext w:val="true"/>
      <w:pBdr/>
      <w:spacing/>
      <w:ind/>
    </w:pPr>
    <w:rPr>
      <w:rFonts w:ascii="Times New Roman" w:hAnsi="Times New Roman" w:eastAsia="Times New Roman" w:cs="Times New Roman"/>
      <w:color w:val="000000"/>
    </w:rPr>
  </w:style>
  <w:style w:type="character" w:styleId="729" w:customStyle="1">
    <w:name w:val="Body Text Char"/>
    <w:basedOn w:val="720"/>
    <w:link w:val="687"/>
    <w:pPr>
      <w:pBdr/>
      <w:spacing/>
      <w:ind/>
    </w:pPr>
    <w:rPr>
      <w:rFonts w:ascii="Times New Roman" w:hAnsi="Times New Roman" w:eastAsia="Times New Roman" w:cs="Times New Roman"/>
      <w:color w:val="000000"/>
      <w:sz w:val="24"/>
    </w:rPr>
  </w:style>
  <w:style w:type="character" w:styleId="730" w:customStyle="1">
    <w:name w:val="Verbatim Char"/>
    <w:basedOn w:val="729"/>
    <w:pPr>
      <w:pBdr/>
      <w:spacing/>
      <w:ind/>
    </w:pPr>
    <w:rPr>
      <w:rFonts w:ascii="Times New Roman" w:hAnsi="Times New Roman" w:eastAsia="Times New Roman" w:cs="Times New Roman"/>
      <w:color w:val="000000"/>
      <w:sz w:val="22"/>
    </w:rPr>
  </w:style>
  <w:style w:type="character" w:styleId="731" w:customStyle="1">
    <w:name w:val="Section Number"/>
    <w:basedOn w:val="729"/>
    <w:pPr>
      <w:pBdr/>
      <w:spacing/>
      <w:ind/>
    </w:pPr>
    <w:rPr>
      <w:rFonts w:ascii="Times New Roman" w:hAnsi="Times New Roman" w:eastAsia="Times New Roman" w:cs="Times New Roman"/>
      <w:color w:val="000000"/>
    </w:rPr>
  </w:style>
  <w:style w:type="character" w:styleId="732">
    <w:name w:val="footnote reference"/>
    <w:basedOn w:val="729"/>
    <w:pPr>
      <w:pBdr/>
      <w:spacing/>
      <w:ind/>
    </w:pPr>
    <w:rPr>
      <w:rFonts w:ascii="Times New Roman" w:hAnsi="Times New Roman" w:eastAsia="Times New Roman" w:cs="Times New Roman"/>
      <w:color w:val="000000"/>
      <w:vertAlign w:val="superscript"/>
    </w:rPr>
  </w:style>
  <w:style w:type="character" w:styleId="733">
    <w:name w:val="Hyperlink"/>
    <w:basedOn w:val="729"/>
    <w:pPr>
      <w:pBdr/>
      <w:spacing/>
      <w:ind/>
    </w:pPr>
    <w:rPr>
      <w:rFonts w:ascii="Times New Roman" w:hAnsi="Times New Roman" w:eastAsia="Times New Roman" w:cs="Times New Roman"/>
      <w:color w:val="000000"/>
    </w:rPr>
  </w:style>
  <w:style w:type="paragraph" w:styleId="734">
    <w:name w:val="TOC Heading"/>
    <w:basedOn w:val="699"/>
    <w:next w:val="687"/>
    <w:uiPriority w:val="39"/>
    <w:unhideWhenUsed/>
    <w:qFormat/>
    <w:pPr>
      <w:pBdr/>
      <w:spacing w:before="240" w:line="259" w:lineRule="auto"/>
      <w:ind/>
      <w:outlineLvl w:val="9"/>
    </w:pPr>
    <w:rPr>
      <w:rFonts w:ascii="Times New Roman" w:hAnsi="Times New Roman" w:eastAsia="Times New Roman" w:cs="Times New Roman" w:asciiTheme="majorHAnsi" w:hAnsiTheme="majorHAnsi" w:eastAsiaTheme="majorEastAsia" w:cstheme="majorBidi"/>
      <w:b w:val="0"/>
      <w:bCs w:val="0"/>
      <w:color w:val="000000"/>
    </w:rPr>
  </w:style>
  <w:style w:type="paragraph" w:styleId="735" w:customStyle="1">
    <w:name w:val="Source Code"/>
    <w:basedOn w:val="686"/>
    <w:link w:val="730"/>
    <w:pPr>
      <w:pBdr/>
      <w:spacing/>
      <w:ind/>
    </w:pPr>
  </w:style>
  <w:style w:type="character" w:styleId="736" w:customStyle="1">
    <w:name w:val="KeywordTok"/>
    <w:basedOn w:val="730"/>
    <w:pPr>
      <w:pBdr/>
      <w:spacing/>
      <w:ind/>
    </w:pPr>
    <w:rPr>
      <w:color w:val="d73a49"/>
    </w:rPr>
  </w:style>
  <w:style w:type="character" w:styleId="737" w:customStyle="1">
    <w:name w:val="DataTypeTok"/>
    <w:basedOn w:val="730"/>
    <w:pPr>
      <w:pBdr/>
      <w:spacing/>
      <w:ind/>
    </w:pPr>
    <w:rPr>
      <w:color w:val="d73a49"/>
    </w:rPr>
  </w:style>
  <w:style w:type="character" w:styleId="738" w:customStyle="1">
    <w:name w:val="DecValTok"/>
    <w:basedOn w:val="730"/>
    <w:pPr>
      <w:pBdr/>
      <w:spacing/>
      <w:ind/>
    </w:pPr>
    <w:rPr>
      <w:color w:val="005cc5"/>
    </w:rPr>
  </w:style>
  <w:style w:type="character" w:styleId="739" w:customStyle="1">
    <w:name w:val="BaseNTok"/>
    <w:basedOn w:val="730"/>
    <w:pPr>
      <w:pBdr/>
      <w:spacing/>
      <w:ind/>
    </w:pPr>
    <w:rPr>
      <w:color w:val="005cc5"/>
    </w:rPr>
  </w:style>
  <w:style w:type="character" w:styleId="740" w:customStyle="1">
    <w:name w:val="FloatTok"/>
    <w:basedOn w:val="730"/>
    <w:pPr>
      <w:pBdr/>
      <w:spacing/>
      <w:ind/>
    </w:pPr>
    <w:rPr>
      <w:color w:val="005cc5"/>
    </w:rPr>
  </w:style>
  <w:style w:type="character" w:styleId="741" w:customStyle="1">
    <w:name w:val="ConstantTok"/>
    <w:basedOn w:val="730"/>
    <w:pPr>
      <w:pBdr/>
      <w:spacing/>
      <w:ind/>
    </w:pPr>
    <w:rPr>
      <w:color w:val="005cc5"/>
    </w:rPr>
  </w:style>
  <w:style w:type="character" w:styleId="742" w:customStyle="1">
    <w:name w:val="CharTok"/>
    <w:basedOn w:val="730"/>
    <w:pPr>
      <w:pBdr/>
      <w:spacing/>
      <w:ind/>
    </w:pPr>
    <w:rPr>
      <w:color w:val="032f62"/>
    </w:rPr>
  </w:style>
  <w:style w:type="character" w:styleId="743" w:customStyle="1">
    <w:name w:val="SpecialCharTok"/>
    <w:basedOn w:val="730"/>
    <w:pPr>
      <w:pBdr/>
      <w:spacing/>
      <w:ind/>
    </w:pPr>
    <w:rPr>
      <w:color w:val="005cc5"/>
    </w:rPr>
  </w:style>
  <w:style w:type="character" w:styleId="744" w:customStyle="1">
    <w:name w:val="StringTok"/>
    <w:basedOn w:val="730"/>
    <w:pPr>
      <w:pBdr/>
      <w:spacing/>
      <w:ind/>
    </w:pPr>
    <w:rPr>
      <w:color w:val="032f62"/>
    </w:rPr>
  </w:style>
  <w:style w:type="character" w:styleId="745" w:customStyle="1">
    <w:name w:val="VerbatimStringTok"/>
    <w:basedOn w:val="730"/>
    <w:pPr>
      <w:pBdr/>
      <w:spacing/>
      <w:ind/>
    </w:pPr>
    <w:rPr>
      <w:color w:val="032f62"/>
    </w:rPr>
  </w:style>
  <w:style w:type="character" w:styleId="746" w:customStyle="1">
    <w:name w:val="SpecialStringTok"/>
    <w:basedOn w:val="730"/>
    <w:pPr>
      <w:pBdr/>
      <w:spacing/>
      <w:ind/>
    </w:pPr>
    <w:rPr>
      <w:color w:val="032f62"/>
    </w:rPr>
  </w:style>
  <w:style w:type="character" w:styleId="747" w:customStyle="1">
    <w:name w:val="ImportTok"/>
    <w:basedOn w:val="730"/>
    <w:pPr>
      <w:pBdr/>
      <w:spacing/>
      <w:ind/>
    </w:pPr>
    <w:rPr>
      <w:color w:val="032f62"/>
    </w:rPr>
  </w:style>
  <w:style w:type="character" w:styleId="748" w:customStyle="1">
    <w:name w:val="CommentTok"/>
    <w:basedOn w:val="730"/>
    <w:pPr>
      <w:pBdr/>
      <w:spacing/>
      <w:ind/>
    </w:pPr>
    <w:rPr>
      <w:color w:val="6a737d"/>
    </w:rPr>
  </w:style>
  <w:style w:type="character" w:styleId="749" w:customStyle="1">
    <w:name w:val="DocumentationTok"/>
    <w:basedOn w:val="730"/>
    <w:pPr>
      <w:pBdr/>
      <w:spacing/>
      <w:ind/>
    </w:pPr>
    <w:rPr>
      <w:color w:val="6a737d"/>
    </w:rPr>
  </w:style>
  <w:style w:type="character" w:styleId="750" w:customStyle="1">
    <w:name w:val="AnnotationTok"/>
    <w:basedOn w:val="730"/>
    <w:pPr>
      <w:pBdr/>
      <w:spacing/>
      <w:ind/>
    </w:pPr>
    <w:rPr>
      <w:color w:val="6a737d"/>
    </w:rPr>
  </w:style>
  <w:style w:type="character" w:styleId="751" w:customStyle="1">
    <w:name w:val="CommentVarTok"/>
    <w:basedOn w:val="730"/>
    <w:pPr>
      <w:pBdr/>
      <w:spacing/>
      <w:ind/>
    </w:pPr>
    <w:rPr>
      <w:color w:val="6a737d"/>
    </w:rPr>
  </w:style>
  <w:style w:type="character" w:styleId="752" w:customStyle="1">
    <w:name w:val="OtherTok"/>
    <w:basedOn w:val="730"/>
    <w:pPr>
      <w:pBdr/>
      <w:spacing/>
      <w:ind/>
    </w:pPr>
    <w:rPr>
      <w:color w:val="6f42c1"/>
    </w:rPr>
  </w:style>
  <w:style w:type="character" w:styleId="753" w:customStyle="1">
    <w:name w:val="FunctionTok"/>
    <w:basedOn w:val="730"/>
    <w:pPr>
      <w:pBdr/>
      <w:spacing/>
      <w:ind/>
    </w:pPr>
    <w:rPr>
      <w:color w:val="6f42c1"/>
    </w:rPr>
  </w:style>
  <w:style w:type="character" w:styleId="754" w:customStyle="1">
    <w:name w:val="VariableTok"/>
    <w:basedOn w:val="730"/>
    <w:pPr>
      <w:pBdr/>
      <w:spacing/>
      <w:ind/>
    </w:pPr>
    <w:rPr>
      <w:color w:val="e36209"/>
    </w:rPr>
  </w:style>
  <w:style w:type="character" w:styleId="755" w:customStyle="1">
    <w:name w:val="ControlFlowTok"/>
    <w:basedOn w:val="730"/>
    <w:pPr>
      <w:pBdr/>
      <w:spacing/>
      <w:ind/>
    </w:pPr>
    <w:rPr>
      <w:color w:val="d73a49"/>
    </w:rPr>
  </w:style>
  <w:style w:type="character" w:styleId="756" w:customStyle="1">
    <w:name w:val="OperatorTok"/>
    <w:basedOn w:val="730"/>
    <w:pPr>
      <w:pBdr/>
      <w:spacing/>
      <w:ind/>
    </w:pPr>
    <w:rPr>
      <w:color w:val="24292e"/>
    </w:rPr>
  </w:style>
  <w:style w:type="character" w:styleId="757" w:customStyle="1">
    <w:name w:val="BuiltInTok"/>
    <w:basedOn w:val="730"/>
    <w:pPr>
      <w:pBdr/>
      <w:spacing/>
      <w:ind/>
    </w:pPr>
    <w:rPr>
      <w:color w:val="d73a49"/>
    </w:rPr>
  </w:style>
  <w:style w:type="character" w:styleId="758" w:customStyle="1">
    <w:name w:val="ExtensionTok"/>
    <w:basedOn w:val="730"/>
    <w:pPr>
      <w:pBdr/>
      <w:spacing/>
      <w:ind/>
    </w:pPr>
    <w:rPr>
      <w:b/>
      <w:color w:val="d73a49"/>
    </w:rPr>
  </w:style>
  <w:style w:type="character" w:styleId="759" w:customStyle="1">
    <w:name w:val="PreprocessorTok"/>
    <w:basedOn w:val="730"/>
    <w:pPr>
      <w:pBdr/>
      <w:spacing/>
      <w:ind/>
    </w:pPr>
    <w:rPr>
      <w:color w:val="d73a49"/>
    </w:rPr>
  </w:style>
  <w:style w:type="character" w:styleId="760" w:customStyle="1">
    <w:name w:val="AttributeTok"/>
    <w:basedOn w:val="730"/>
    <w:pPr>
      <w:pBdr/>
      <w:spacing/>
      <w:ind/>
    </w:pPr>
    <w:rPr>
      <w:color w:val="d73a49"/>
    </w:rPr>
  </w:style>
  <w:style w:type="character" w:styleId="761" w:customStyle="1">
    <w:name w:val="RegionMarkerTok"/>
    <w:basedOn w:val="730"/>
    <w:pPr>
      <w:pBdr/>
      <w:spacing/>
      <w:ind/>
    </w:pPr>
    <w:rPr>
      <w:color w:val="6a737d"/>
    </w:rPr>
  </w:style>
  <w:style w:type="character" w:styleId="762" w:customStyle="1">
    <w:name w:val="InformationTok"/>
    <w:basedOn w:val="730"/>
    <w:pPr>
      <w:pBdr/>
      <w:spacing/>
      <w:ind/>
    </w:pPr>
    <w:rPr>
      <w:color w:val="6a737d"/>
    </w:rPr>
  </w:style>
  <w:style w:type="character" w:styleId="763" w:customStyle="1">
    <w:name w:val="WarningTok"/>
    <w:basedOn w:val="730"/>
    <w:pPr>
      <w:pBdr/>
      <w:spacing/>
      <w:ind/>
    </w:pPr>
    <w:rPr>
      <w:color w:val="ff5555"/>
    </w:rPr>
  </w:style>
  <w:style w:type="character" w:styleId="764" w:customStyle="1">
    <w:name w:val="AlertTok"/>
    <w:basedOn w:val="730"/>
    <w:pPr>
      <w:pBdr/>
      <w:spacing/>
      <w:ind/>
    </w:pPr>
    <w:rPr>
      <w:b/>
      <w:color w:val="ff5555"/>
    </w:rPr>
  </w:style>
  <w:style w:type="character" w:styleId="765" w:customStyle="1">
    <w:name w:val="ErrorTok"/>
    <w:basedOn w:val="730"/>
    <w:pPr>
      <w:pBdr/>
      <w:spacing/>
      <w:ind/>
    </w:pPr>
    <w:rPr>
      <w:color w:val="ff5555"/>
    </w:rPr>
  </w:style>
  <w:style w:type="character" w:styleId="766" w:customStyle="1">
    <w:name w:val="NormalTok"/>
    <w:basedOn w:val="730"/>
    <w:pPr>
      <w:pBdr/>
      <w:spacing/>
      <w:ind/>
    </w:pPr>
    <w:rPr>
      <w:color w:val="24292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i.org/10.1086/259394" TargetMode="External"/><Relationship Id="rId13" Type="http://schemas.openxmlformats.org/officeDocument/2006/relationships/hyperlink" Target="https://doi.org/10.2307/1816733" TargetMode="External"/><Relationship Id="rId14" Type="http://schemas.openxmlformats.org/officeDocument/2006/relationships/hyperlink" Target="https://www.redalyc.org/articulo.oa?id=2683141100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Determinantes de la sostenibilidad del IESS y el impacto de la inestabilidad social en el Ecuador durante el periodo 1990-2024</dc:title>
  <dc:creator>Erick Fabricio Condoy Seraquive</dc:creator>
  <cp:keywords/>
  <dc:language>es</dc:language>
  <cp:revision>1</cp:revision>
  <dcterms:created xsi:type="dcterms:W3CDTF">2026-05-14T14:48:48Z</dcterms:created>
  <dcterms:modified xsi:type="dcterms:W3CDTF">2026-05-14T14:50:50Z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date">
    <vt:lpwstr>2026-05-07</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fig-cap-location">
    <vt:lpwstr>bottom</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rofessor">
    <vt:lpwstr>Econ. Jose Rafael Alvarado Lopez</vt:lpwstr>
  </property>
  <property fmtid="{D5CDD505-2E9C-101B-9397-08002B2CF9AE}" pid="16" name="school">
    <vt:lpwstr>CARRERA DE ECONOMÍA</vt:lpwstr>
  </property>
  <property fmtid="{D5CDD505-2E9C-101B-9397-08002B2CF9AE}" pid="17" name="subtitle">
    <vt:lpwstr>Análisis Econométrico Aplicado</vt:lpwstr>
  </property>
  <property fmtid="{D5CDD505-2E9C-101B-9397-08002B2CF9AE}" pid="18" name="tbl-cap-location">
    <vt:lpwstr>top</vt:lpwstr>
  </property>
  <property fmtid="{D5CDD505-2E9C-101B-9397-08002B2CF9AE}" pid="19" name="toc-title">
    <vt:lpwstr>Tabla de contenidos</vt:lpwstr>
  </property>
  <property fmtid="{D5CDD505-2E9C-101B-9397-08002B2CF9AE}" pid="20" name="university">
    <vt:lpwstr>UNIVERSIDAD NACIONAL DE LOJA</vt:lpwstr>
  </property>
  <property fmtid="{D5CDD505-2E9C-101B-9397-08002B2CF9AE}" pid="21" name="year">
    <vt:lpwstr>2026</vt:lpwstr>
  </property>
</Properties>
</file>