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Análisis Econométrico: Unidad 1</w:t>
      </w:r>
    </w:p>
    <w:p>
      <w:pPr>
        <w:pStyle w:val="Subtitle"/>
      </w:pPr>
      <w:r>
        <w:t xml:space="preserve">Auditoría Forense y Modelización</w:t>
      </w:r>
    </w:p>
    <w:p>
      <w:pPr>
        <w:pStyle w:val="Author"/>
      </w:pPr>
      <w:r>
        <w:t xml:space="preserve">Erick Fabricio Condoy Seraquive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esumen-ejecutivo"/>
    <w:p>
      <w:pPr>
        <w:pStyle w:val="Heading2"/>
      </w:pPr>
      <w:r>
        <w:t xml:space="preserve">1 Resumen Ejecutivo</w:t>
      </w:r>
    </w:p>
    <w:p>
      <w:pPr>
        <w:pStyle w:val="FirstParagraph"/>
      </w:pPr>
      <w:r>
        <w:t xml:space="preserve">Este informe detalla los hallazgos de la auditoría forense aplicada a los datos de la región LATAM-20, centrándose en la detección de anomalías y la construcción de un panel balanceado.</w:t>
      </w:r>
    </w:p>
    <w:bookmarkEnd w:id="9"/>
    <w:bookmarkStart w:id="10" w:name="introducción"/>
    <w:p>
      <w:pPr>
        <w:pStyle w:val="Heading2"/>
      </w:pPr>
      <w:r>
        <w:t xml:space="preserve">2 1. Introducción</w:t>
      </w:r>
    </w:p>
    <w:p>
      <w:pPr>
        <w:pStyle w:val="FirstParagraph"/>
      </w:pPr>
      <w:r>
        <w:t xml:space="preserve">El presente estudio se enmarca en la cátedra de Econometría Aplicada 2026. Se utiliza el backend institucional para garantizar la trazabilidad de cada observación.</w:t>
      </w:r>
    </w:p>
    <w:bookmarkEnd w:id="10"/>
    <w:bookmarkStart w:id="11" w:name="metodología"/>
    <w:p>
      <w:pPr>
        <w:pStyle w:val="Heading2"/>
      </w:pPr>
      <w:r>
        <w:t xml:space="preserve">3 2. Metodología</w:t>
      </w:r>
    </w:p>
    <w:p>
      <w:pPr>
        <w:pStyle w:val="FirstParagraph"/>
      </w:pPr>
      <w:r>
        <w:t xml:space="preserve">Se aplicó un pipeline de ingesta inteligente que prioriza fuentes de API (World Bank) y realiza un fallback a archivos locales normalizados.</w:t>
      </w:r>
    </w:p>
    <w:bookmarkEnd w:id="11"/>
    <w:bookmarkStart w:id="16" w:name="resultados"/>
    <w:p>
      <w:pPr>
        <w:pStyle w:val="Heading2"/>
      </w:pPr>
      <w:r>
        <w:t xml:space="preserve">4 3. Resultados</w:t>
      </w:r>
    </w:p>
    <w:p>
      <w:pPr>
        <w:pStyle w:val="FirstParagraph"/>
      </w:pPr>
      <w:r>
        <w:t xml:space="preserve">A continuación se presenta un análisis descriptivo preliminar de la muestra.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heck"/>
          <w:p>
            <w:pPr>
              <w:pStyle w:val="Compact"/>
              <w:jc w:val="center"/>
            </w:pPr>
            <w:r>
              <w:drawing>
                <wp:inline>
                  <wp:extent cx="5334000" cy="3494412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check-outpu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944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Distribución de Datos Normalizados</w:t>
            </w:r>
          </w:p>
          <w:bookmarkEnd w:id="15"/>
        </w:tc>
      </w:tr>
    </w:tbl>
    <w:bookmarkEnd w:id="16"/>
    <w:bookmarkStart w:id="17" w:name="conclusiones"/>
    <w:p>
      <w:pPr>
        <w:pStyle w:val="Heading2"/>
      </w:pPr>
      <w:r>
        <w:t xml:space="preserve">5 4. Conclusiones</w:t>
      </w:r>
    </w:p>
    <w:p>
      <w:pPr>
        <w:pStyle w:val="FirstParagraph"/>
      </w:pPr>
      <w:r>
        <w:t xml:space="preserve">La infraestructura de datos actual permite una transición fluida hacia modelos de estimación dinámicos (GMM, Panel Data).</w:t>
      </w:r>
    </w:p>
    <w:bookmarkEnd w:id="17"/>
    <w:bookmarkStart w:id="19" w:name="referencias"/>
    <w:p>
      <w:pPr>
        <w:pStyle w:val="Heading2"/>
      </w:pPr>
      <w:r>
        <w:t xml:space="preserve">Referencias</w:t>
      </w:r>
    </w:p>
    <w:bookmarkStart w:id="18" w:name="refs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Econométrico: Unidad 1</dc:title>
  <dc:creator>Erick Fabricio Condoy Seraquive</dc:creator>
  <cp:keywords/>
  <dcterms:created xsi:type="dcterms:W3CDTF">2026-04-19T01:25:40Z</dcterms:created>
  <dcterms:modified xsi:type="dcterms:W3CDTF">2026-04-19T01:25:40Z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sl">
    <vt:lpwstr>https://raw.githubusercontent.com/citation-style-language/styles/master/apa.csl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Auditoría Forense y Modelización</vt:lpwstr>
  </property>
  <property fmtid="{D5CDD505-2E9C-101B-9397-08002B2CF9AE}" pid="14" name="toc-title">
    <vt:lpwstr>Table of contents</vt:lpwstr>
  </property>
</Properties>
</file>