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Determinantes de la crisis del IESS en Ecuador (2000-2023)</w:t>
      </w:r>
    </w:p>
    <w:p>
      <w:pPr>
        <w:pStyle w:val="Subtitle"/>
      </w:pPr>
      <w:r>
        <w:t xml:space="preserve">Informe econométrico aplicado y operativa económica</w:t>
      </w:r>
    </w:p>
    <w:p>
      <w:pPr>
        <w:pStyle w:val="Author"/>
      </w:pPr>
      <w:r>
        <w:t xml:space="preserve">Erick Fabricio Condoy Seraquive</w:t>
      </w:r>
    </w:p>
    <w:p>
      <w:pPr>
        <w:pStyle w:val="Date"/>
      </w:pPr>
      <w:r>
        <w:t xml:space="preserve">2026-05-28</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0" w:name="resumen"/>
    <w:p>
      <w:pPr>
        <w:pStyle w:val="Heading1"/>
      </w:pPr>
      <w:r>
        <w:t xml:space="preserve">1. Resumen</w:t>
      </w:r>
    </w:p>
    <w:p>
      <w:pPr>
        <w:pStyle w:val="FirstParagraph"/>
      </w:pPr>
      <w:r>
        <w:t xml:space="preserve">Este informe evalúa la sostenibilidad del IESS bajo un marco macro-social con cinco variables clave: afiliación (AF), gasto militar (GM), migración neta (MI), homicidios (HO) y fuerza laboral (FL). Con evidencia anual 2000-2023 se estiman diagnósticos de estacionariedad, cointegración, causalidad y un esquema VEC/ELS para corto plazo. Los resultados apuntan a un canal fiscal-social donde el gasto militar y el deterioro social se asocian con menor robustez de la afiliación contributiva.</w:t>
      </w:r>
    </w:p>
    <w:bookmarkStart w:id="9" w:name="keywords-palabras-claves"/>
    <w:p>
      <w:pPr>
        <w:pStyle w:val="Heading2"/>
      </w:pPr>
      <w:r>
        <w:t xml:space="preserve">1.1 Keywords (palabras claves)</w:t>
      </w:r>
    </w:p>
    <w:p>
      <w:pPr>
        <w:pStyle w:val="FirstParagraph"/>
      </w:pPr>
      <w:r>
        <w:t xml:space="preserve">IESS, sostenibilidad previsional, cointegración, VECM, causalidad de Granger, quiebres estructurales.</w:t>
      </w:r>
    </w:p>
    <w:bookmarkEnd w:id="9"/>
    <w:bookmarkEnd w:id="10"/>
    <w:bookmarkStart w:id="11" w:name="introducción"/>
    <w:p>
      <w:pPr>
        <w:pStyle w:val="Heading1"/>
      </w:pPr>
      <w:r>
        <w:t xml:space="preserve">2. Introducción</w:t>
      </w:r>
    </w:p>
    <w:p>
      <w:pPr>
        <w:pStyle w:val="FirstParagraph"/>
      </w:pPr>
      <w:r>
        <w:t xml:space="preserve">El sistema previsional ecuatoriano enfrenta presiones simultáneas de demografía, mercado laboral y reasignación fiscal. En este contexto, la pregunta central es si los cambios en entorno social y asignación presupuestaria alteran de forma persistente la dinámica de afiliación. El enfoque del informe es operativo: validar señales estadísticas útiles para decisiones de política pública y gestión de riesgo institucional.</w:t>
      </w:r>
    </w:p>
    <w:bookmarkEnd w:id="11"/>
    <w:bookmarkStart w:id="12" w:name="revisión-literatura"/>
    <w:p>
      <w:pPr>
        <w:pStyle w:val="Heading1"/>
      </w:pPr>
      <w:r>
        <w:t xml:space="preserve">3. Revisión Literatura</w:t>
      </w:r>
    </w:p>
    <w:p>
      <w:pPr>
        <w:pStyle w:val="FirstParagraph"/>
      </w:pPr>
      <w:r>
        <w:t xml:space="preserve">La literatura de sostenibilidad previsional converge en tres ejes: i) la base contributiva depende de formalidad y empleo efectivo; ii) choques de inseguridad y conflictividad reducen permanencia laboral formal; iii) cambios de prioridad fiscal pueden generar crowding-out sobre gasto social. En modelos de series temporales, ARDL y VECM son adecuados cuando conviven dinámicas de corto y largo plazo.</w:t>
      </w:r>
    </w:p>
    <w:bookmarkEnd w:id="12"/>
    <w:bookmarkStart w:id="21" w:name="datos-y-metodología"/>
    <w:p>
      <w:pPr>
        <w:pStyle w:val="Heading1"/>
      </w:pPr>
      <w:r>
        <w:t xml:space="preserve">4. Datos y Metodología</w:t>
      </w:r>
    </w:p>
    <w:bookmarkStart w:id="13" w:name="datos"/>
    <w:p>
      <w:pPr>
        <w:pStyle w:val="Heading2"/>
      </w:pPr>
      <w:r>
        <w:t xml:space="preserve">4.1 3.1. Datos</w:t>
      </w:r>
    </w:p>
    <w:p>
      <w:pPr>
        <w:pStyle w:val="FirstParagraph"/>
      </w:pPr>
      <w:r>
        <w:t xml:space="preserve">Se construyó una base anual integrada (2000-2023, N=24) con fuentes IESS, WDI y series nacionales en Lake central.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Variable</w:t>
            </w:r>
          </w:p>
        </w:tc>
        <w:tc>
          <w:tcPr/>
          <w:p>
            <w:pPr>
              <w:pStyle w:val="Compact"/>
            </w:pPr>
            <w:r>
              <w:t xml:space="preserve">Definición operativa</w:t>
            </w:r>
          </w:p>
        </w:tc>
        <w:tc>
          <w:tcPr/>
          <w:p>
            <w:pPr>
              <w:pStyle w:val="Compact"/>
            </w:pPr>
            <w:r>
              <w:t xml:space="preserve">Unidad</w:t>
            </w:r>
          </w:p>
        </w:tc>
        <w:tc>
          <w:tcPr/>
          <w:p>
            <w:pPr>
              <w:pStyle w:val="Compact"/>
            </w:pPr>
            <w:r>
              <w:t xml:space="preserve">Fuente</w:t>
            </w:r>
          </w:p>
        </w:tc>
      </w:tr>
      <w:tr>
        <w:tc>
          <w:tcPr/>
          <w:p>
            <w:pPr>
              <w:pStyle w:val="Compact"/>
            </w:pPr>
            <w:r>
              <w:t xml:space="preserve">AF</w:t>
            </w:r>
          </w:p>
        </w:tc>
        <w:tc>
          <w:tcPr/>
          <w:p>
            <w:pPr>
              <w:pStyle w:val="Compact"/>
            </w:pPr>
            <w:r>
              <w:t xml:space="preserve">Afiliación IESS (log)</w:t>
            </w:r>
          </w:p>
        </w:tc>
        <w:tc>
          <w:tcPr/>
          <w:p>
            <w:pPr>
              <w:pStyle w:val="Compact"/>
            </w:pPr>
            <w:r>
              <w:t xml:space="preserve">Log del total de afiliados activos (dependiente)</w:t>
            </w:r>
          </w:p>
        </w:tc>
        <w:tc>
          <w:tcPr/>
          <w:p>
            <w:pPr>
              <w:pStyle w:val="Compact"/>
            </w:pPr>
            <w:r>
              <w:t xml:space="preserve">log(personas)</w:t>
            </w:r>
          </w:p>
        </w:tc>
        <w:tc>
          <w:tcPr/>
          <w:p>
            <w:pPr>
              <w:pStyle w:val="Compact"/>
            </w:pPr>
            <w:r>
              <w:t xml:space="preserve">IESS</w:t>
            </w:r>
          </w:p>
        </w:tc>
      </w:tr>
      <w:tr>
        <w:tc>
          <w:tcPr/>
          <w:p>
            <w:pPr>
              <w:pStyle w:val="Compact"/>
            </w:pPr>
            <w:r>
              <w:t xml:space="preserve">GM</w:t>
            </w:r>
          </w:p>
        </w:tc>
        <w:tc>
          <w:tcPr/>
          <w:p>
            <w:pPr>
              <w:pStyle w:val="Compact"/>
            </w:pPr>
            <w:r>
              <w:t xml:space="preserve">Gasto militar</w:t>
            </w:r>
          </w:p>
        </w:tc>
        <w:tc>
          <w:tcPr/>
          <w:p>
            <w:pPr>
              <w:pStyle w:val="Compact"/>
            </w:pPr>
            <w:r>
              <w:t xml:space="preserve">Gasto militar como % del PIB</w:t>
            </w:r>
          </w:p>
        </w:tc>
        <w:tc>
          <w:tcPr/>
          <w:p>
            <w:pPr>
              <w:pStyle w:val="Compact"/>
            </w:pPr>
            <w:r>
              <w:t xml:space="preserve">% PIB</w:t>
            </w:r>
          </w:p>
        </w:tc>
        <w:tc>
          <w:tcPr/>
          <w:p>
            <w:pPr>
              <w:pStyle w:val="Compact"/>
            </w:pPr>
            <w:r>
              <w:t xml:space="preserve">WDI</w:t>
            </w:r>
          </w:p>
        </w:tc>
      </w:tr>
      <w:tr>
        <w:tc>
          <w:tcPr/>
          <w:p>
            <w:pPr>
              <w:pStyle w:val="Compact"/>
            </w:pPr>
            <w:r>
              <w:t xml:space="preserve">MI</w:t>
            </w:r>
          </w:p>
        </w:tc>
        <w:tc>
          <w:tcPr/>
          <w:p>
            <w:pPr>
              <w:pStyle w:val="Compact"/>
            </w:pPr>
            <w:r>
              <w:t xml:space="preserve">Migración neta</w:t>
            </w:r>
          </w:p>
        </w:tc>
        <w:tc>
          <w:tcPr/>
          <w:p>
            <w:pPr>
              <w:pStyle w:val="Compact"/>
            </w:pPr>
            <w:r>
              <w:t xml:space="preserve">Flujo neto migratorio anual</w:t>
            </w:r>
          </w:p>
        </w:tc>
        <w:tc>
          <w:tcPr/>
          <w:p>
            <w:pPr>
              <w:pStyle w:val="Compact"/>
            </w:pPr>
            <w:r>
              <w:t xml:space="preserve">personas</w:t>
            </w:r>
          </w:p>
        </w:tc>
        <w:tc>
          <w:tcPr/>
          <w:p>
            <w:pPr>
              <w:pStyle w:val="Compact"/>
            </w:pPr>
            <w:r>
              <w:t xml:space="preserve">WDI</w:t>
            </w:r>
          </w:p>
        </w:tc>
      </w:tr>
      <w:tr>
        <w:tc>
          <w:tcPr/>
          <w:p>
            <w:pPr>
              <w:pStyle w:val="Compact"/>
            </w:pPr>
            <w:r>
              <w:t xml:space="preserve">HO</w:t>
            </w:r>
          </w:p>
        </w:tc>
        <w:tc>
          <w:tcPr/>
          <w:p>
            <w:pPr>
              <w:pStyle w:val="Compact"/>
            </w:pPr>
            <w:r>
              <w:t xml:space="preserve">Homicidios (log)</w:t>
            </w:r>
          </w:p>
        </w:tc>
        <w:tc>
          <w:tcPr/>
          <w:p>
            <w:pPr>
              <w:pStyle w:val="Compact"/>
            </w:pPr>
            <w:r>
              <w:t xml:space="preserve">Log de tasa de homicidios por 100 mil hab.</w:t>
            </w:r>
          </w:p>
        </w:tc>
        <w:tc>
          <w:tcPr/>
          <w:p>
            <w:pPr>
              <w:pStyle w:val="Compact"/>
            </w:pPr>
            <w:r>
              <w:t xml:space="preserve">log(tasa)</w:t>
            </w:r>
          </w:p>
        </w:tc>
        <w:tc>
          <w:tcPr/>
          <w:p>
            <w:pPr>
              <w:pStyle w:val="Compact"/>
            </w:pPr>
            <w:r>
              <w:t xml:space="preserve">BM/UNODC</w:t>
            </w:r>
          </w:p>
        </w:tc>
      </w:tr>
      <w:tr>
        <w:tc>
          <w:tcPr/>
          <w:p>
            <w:pPr>
              <w:pStyle w:val="Compact"/>
            </w:pPr>
            <w:r>
              <w:t xml:space="preserve">FL</w:t>
            </w:r>
          </w:p>
        </w:tc>
        <w:tc>
          <w:tcPr/>
          <w:p>
            <w:pPr>
              <w:pStyle w:val="Compact"/>
            </w:pPr>
            <w:r>
              <w:t xml:space="preserve">Fuerza laboral (log)</w:t>
            </w:r>
          </w:p>
        </w:tc>
        <w:tc>
          <w:tcPr/>
          <w:p>
            <w:pPr>
              <w:pStyle w:val="Compact"/>
            </w:pPr>
            <w:r>
              <w:t xml:space="preserve">Log de la fuerza laboral total</w:t>
            </w:r>
          </w:p>
        </w:tc>
        <w:tc>
          <w:tcPr/>
          <w:p>
            <w:pPr>
              <w:pStyle w:val="Compact"/>
            </w:pPr>
            <w:r>
              <w:t xml:space="preserve">log(personas)</w:t>
            </w:r>
          </w:p>
        </w:tc>
        <w:tc>
          <w:tcPr/>
          <w:p>
            <w:pPr>
              <w:pStyle w:val="Compact"/>
            </w:pPr>
            <w:r>
              <w:t xml:space="preserve">IESS</w:t>
            </w:r>
          </w:p>
        </w:tc>
      </w:tr>
    </w:tbl>
    <w:bookmarkEnd w:id="13"/>
    <w:bookmarkStart w:id="20" w:name="metodología"/>
    <w:p>
      <w:pPr>
        <w:pStyle w:val="Heading2"/>
      </w:pPr>
      <w:r>
        <w:t xml:space="preserve">4.2 3.2. Metodología</w:t>
      </w:r>
    </w:p>
    <w:p>
      <w:pPr>
        <w:pStyle w:val="FirstParagraph"/>
      </w:pPr>
      <w:r>
        <w:t xml:space="preserve">Se aplicó un flujo de contraste secuencial conducente a validación de dinámicas de largo y corto plazo bajo supuestos de cointegración.</w:t>
      </w:r>
    </w:p>
    <w:bookmarkStart w:id="14" w:name="Xc6222ec015406ccf0d2c363254ae4732729b125"/>
    <w:p>
      <w:pPr>
        <w:pStyle w:val="Heading3"/>
      </w:pPr>
      <w:r>
        <w:t xml:space="preserve">4.2.1 3.2.1. Diagnóstico preliminar (descriptivos, correlación, colinealidad)</w:t>
      </w:r>
    </w:p>
    <w:p>
      <w:pPr>
        <w:pStyle w:val="FirstParagraph"/>
      </w:pPr>
      <w:r>
        <w:t xml:space="preserve">Tabla 1</w:t>
      </w:r>
    </w:p>
    <w:p>
      <w:pPr>
        <w:pStyle w:val="BodyText"/>
      </w:pPr>
      <w:r>
        <w:rPr>
          <w:i/>
          <w:iCs/>
        </w:rPr>
        <w:t xml:space="preserve">Estadísticos descriptivos de las variables en primeras diferencias (N = 23).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jc w:val="right"/>
            </w:pPr>
            <w:r>
              <w:t xml:space="preserve">Media</w:t>
            </w:r>
          </w:p>
        </w:tc>
        <w:tc>
          <w:tcPr/>
          <w:p>
            <w:pPr>
              <w:pStyle w:val="Compact"/>
              <w:jc w:val="right"/>
            </w:pPr>
            <w:r>
              <w:t xml:space="preserve">Desv. Est.</w:t>
            </w:r>
          </w:p>
        </w:tc>
        <w:tc>
          <w:tcPr/>
          <w:p>
            <w:pPr>
              <w:pStyle w:val="Compact"/>
              <w:jc w:val="right"/>
            </w:pPr>
            <w:r>
              <w:t xml:space="preserve">Mín.</w:t>
            </w:r>
          </w:p>
        </w:tc>
        <w:tc>
          <w:tcPr/>
          <w:p>
            <w:pPr>
              <w:pStyle w:val="Compact"/>
              <w:jc w:val="right"/>
            </w:pPr>
            <w:r>
              <w:t xml:space="preserve">Máx.</w:t>
            </w:r>
          </w:p>
        </w:tc>
      </w:tr>
      <w:tr>
        <w:tc>
          <w:tcPr/>
          <w:p>
            <w:pPr>
              <w:pStyle w:val="Compact"/>
            </w:pPr>
            <w:r>
              <w:t xml:space="preserve">d_ln_AF</w:t>
            </w:r>
          </w:p>
        </w:tc>
        <w:tc>
          <w:tcPr/>
          <w:p>
            <w:pPr>
              <w:pStyle w:val="Compact"/>
              <w:jc w:val="right"/>
            </w:pPr>
            <w:r>
              <w:t xml:space="preserve">0.0467</w:t>
            </w:r>
          </w:p>
        </w:tc>
        <w:tc>
          <w:tcPr/>
          <w:p>
            <w:pPr>
              <w:pStyle w:val="Compact"/>
              <w:jc w:val="right"/>
            </w:pPr>
            <w:r>
              <w:t xml:space="preserve">0.0490</w:t>
            </w:r>
          </w:p>
        </w:tc>
        <w:tc>
          <w:tcPr/>
          <w:p>
            <w:pPr>
              <w:pStyle w:val="Compact"/>
              <w:jc w:val="right"/>
            </w:pPr>
            <w:r>
              <w:t xml:space="preserve">-0.0568</w:t>
            </w:r>
          </w:p>
        </w:tc>
        <w:tc>
          <w:tcPr/>
          <w:p>
            <w:pPr>
              <w:pStyle w:val="Compact"/>
              <w:jc w:val="right"/>
            </w:pPr>
            <w:r>
              <w:t xml:space="preserve">0.1574</w:t>
            </w:r>
          </w:p>
        </w:tc>
      </w:tr>
      <w:tr>
        <w:tc>
          <w:tcPr/>
          <w:p>
            <w:pPr>
              <w:pStyle w:val="Compact"/>
            </w:pPr>
            <w:r>
              <w:t xml:space="preserve">d_GM</w:t>
            </w:r>
          </w:p>
        </w:tc>
        <w:tc>
          <w:tcPr/>
          <w:p>
            <w:pPr>
              <w:pStyle w:val="Compact"/>
              <w:jc w:val="right"/>
            </w:pPr>
            <w:r>
              <w:t xml:space="preserve">0.0325</w:t>
            </w:r>
          </w:p>
        </w:tc>
        <w:tc>
          <w:tcPr/>
          <w:p>
            <w:pPr>
              <w:pStyle w:val="Compact"/>
              <w:jc w:val="right"/>
            </w:pPr>
            <w:r>
              <w:t xml:space="preserve">0.2667</w:t>
            </w:r>
          </w:p>
        </w:tc>
        <w:tc>
          <w:tcPr/>
          <w:p>
            <w:pPr>
              <w:pStyle w:val="Compact"/>
              <w:jc w:val="right"/>
            </w:pPr>
            <w:r>
              <w:t xml:space="preserve">-0.3692</w:t>
            </w:r>
          </w:p>
        </w:tc>
        <w:tc>
          <w:tcPr/>
          <w:p>
            <w:pPr>
              <w:pStyle w:val="Compact"/>
              <w:jc w:val="right"/>
            </w:pPr>
            <w:r>
              <w:t xml:space="preserve">0.5510</w:t>
            </w:r>
          </w:p>
        </w:tc>
      </w:tr>
      <w:tr>
        <w:tc>
          <w:tcPr/>
          <w:p>
            <w:pPr>
              <w:pStyle w:val="Compact"/>
            </w:pPr>
            <w:r>
              <w:t xml:space="preserve">d_MI</w:t>
            </w:r>
          </w:p>
        </w:tc>
        <w:tc>
          <w:tcPr/>
          <w:p>
            <w:pPr>
              <w:pStyle w:val="Compact"/>
              <w:jc w:val="right"/>
            </w:pPr>
            <w:r>
              <w:t xml:space="preserve">822.2174</w:t>
            </w:r>
          </w:p>
        </w:tc>
        <w:tc>
          <w:tcPr/>
          <w:p>
            <w:pPr>
              <w:pStyle w:val="Compact"/>
              <w:jc w:val="right"/>
            </w:pPr>
            <w:r>
              <w:t xml:space="preserve">20387.6388</w:t>
            </w:r>
          </w:p>
        </w:tc>
        <w:tc>
          <w:tcPr/>
          <w:p>
            <w:pPr>
              <w:pStyle w:val="Compact"/>
              <w:jc w:val="right"/>
            </w:pPr>
            <w:r>
              <w:t xml:space="preserve">-65241.0000</w:t>
            </w:r>
          </w:p>
        </w:tc>
        <w:tc>
          <w:tcPr/>
          <w:p>
            <w:pPr>
              <w:pStyle w:val="Compact"/>
              <w:jc w:val="right"/>
            </w:pPr>
            <w:r>
              <w:t xml:space="preserve">41775.0000</w:t>
            </w:r>
          </w:p>
        </w:tc>
      </w:tr>
      <w:tr>
        <w:tc>
          <w:tcPr/>
          <w:p>
            <w:pPr>
              <w:pStyle w:val="Compact"/>
            </w:pPr>
            <w:r>
              <w:t xml:space="preserve">d_ln_HO</w:t>
            </w:r>
          </w:p>
        </w:tc>
        <w:tc>
          <w:tcPr/>
          <w:p>
            <w:pPr>
              <w:pStyle w:val="Compact"/>
              <w:jc w:val="right"/>
            </w:pPr>
            <w:r>
              <w:t xml:space="preserve">0.0501</w:t>
            </w:r>
          </w:p>
        </w:tc>
        <w:tc>
          <w:tcPr/>
          <w:p>
            <w:pPr>
              <w:pStyle w:val="Compact"/>
              <w:jc w:val="right"/>
            </w:pPr>
            <w:r>
              <w:t xml:space="preserve">0.2504</w:t>
            </w:r>
          </w:p>
        </w:tc>
        <w:tc>
          <w:tcPr/>
          <w:p>
            <w:pPr>
              <w:pStyle w:val="Compact"/>
              <w:jc w:val="right"/>
            </w:pPr>
            <w:r>
              <w:t xml:space="preserve">-0.2895</w:t>
            </w:r>
          </w:p>
        </w:tc>
        <w:tc>
          <w:tcPr/>
          <w:p>
            <w:pPr>
              <w:pStyle w:val="Compact"/>
              <w:jc w:val="right"/>
            </w:pPr>
            <w:r>
              <w:t xml:space="preserve">0.6637</w:t>
            </w:r>
          </w:p>
        </w:tc>
      </w:tr>
      <w:tr>
        <w:tc>
          <w:tcPr/>
          <w:p>
            <w:pPr>
              <w:pStyle w:val="Compact"/>
            </w:pPr>
            <w:r>
              <w:t xml:space="preserve">d_ln_FL</w:t>
            </w:r>
          </w:p>
        </w:tc>
        <w:tc>
          <w:tcPr/>
          <w:p>
            <w:pPr>
              <w:pStyle w:val="Compact"/>
              <w:jc w:val="right"/>
            </w:pPr>
            <w:r>
              <w:t xml:space="preserve">0.0223</w:t>
            </w:r>
          </w:p>
        </w:tc>
        <w:tc>
          <w:tcPr/>
          <w:p>
            <w:pPr>
              <w:pStyle w:val="Compact"/>
              <w:jc w:val="right"/>
            </w:pPr>
            <w:r>
              <w:t xml:space="preserve">0.0340</w:t>
            </w:r>
          </w:p>
        </w:tc>
        <w:tc>
          <w:tcPr/>
          <w:p>
            <w:pPr>
              <w:pStyle w:val="Compact"/>
              <w:jc w:val="right"/>
            </w:pPr>
            <w:r>
              <w:t xml:space="preserve">-0.0793</w:t>
            </w:r>
          </w:p>
        </w:tc>
        <w:tc>
          <w:tcPr/>
          <w:p>
            <w:pPr>
              <w:pStyle w:val="Compact"/>
              <w:jc w:val="right"/>
            </w:pPr>
            <w:r>
              <w:t xml:space="preserve">0.1034</w:t>
            </w:r>
          </w:p>
        </w:tc>
      </w:tr>
    </w:tbl>
    <w:p>
      <w:pPr>
        <w:pStyle w:val="BodyText"/>
      </w:pPr>
      <w:r>
        <w:t xml:space="preserve">Nota. d_ln_AF = primera diferencia del logaritmo de afiliados IESS; d_GM = primera diferencia de gasto militar (% PIB); d_MI = primera diferencia de migración neta; d_ln_HO = primera diferencia del logaritmo de homicidios; d_ln_FL = primera diferencia del logaritmo de fuerza laboral. Fuente: elaboración propia con datos IESS, WDI y base de homicidios.</w:t>
      </w:r>
    </w:p>
    <w:p>
      <w:pPr>
        <w:pStyle w:val="BodyText"/>
      </w:pPr>
      <w:r>
        <w:t xml:space="preserve">Tabla 2</w:t>
      </w:r>
    </w:p>
    <w:p>
      <w:pPr>
        <w:pStyle w:val="BodyText"/>
      </w:pPr>
      <w:r>
        <w:rPr>
          <w:i/>
          <w:iCs/>
        </w:rPr>
        <w:t xml:space="preserve">Matriz de correlación de las variables en primeras diferencias (N = 23).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d_ln_AF</w:t>
            </w:r>
          </w:p>
        </w:tc>
        <w:tc>
          <w:tcPr/>
          <w:p>
            <w:pPr>
              <w:pStyle w:val="Compact"/>
              <w:jc w:val="right"/>
            </w:pPr>
            <w:r>
              <w:t xml:space="preserve">d_GM</w:t>
            </w:r>
          </w:p>
        </w:tc>
        <w:tc>
          <w:tcPr/>
          <w:p>
            <w:pPr>
              <w:pStyle w:val="Compact"/>
              <w:jc w:val="right"/>
            </w:pPr>
            <w:r>
              <w:t xml:space="preserve">d_MI</w:t>
            </w:r>
          </w:p>
        </w:tc>
        <w:tc>
          <w:tcPr/>
          <w:p>
            <w:pPr>
              <w:pStyle w:val="Compact"/>
              <w:jc w:val="right"/>
            </w:pPr>
            <w:r>
              <w:t xml:space="preserve">d_ln_HO</w:t>
            </w:r>
          </w:p>
        </w:tc>
        <w:tc>
          <w:tcPr/>
          <w:p>
            <w:pPr>
              <w:pStyle w:val="Compact"/>
              <w:jc w:val="right"/>
            </w:pPr>
            <w:r>
              <w:t xml:space="preserve">d_ln_FL</w:t>
            </w:r>
          </w:p>
        </w:tc>
      </w:tr>
      <w:tr>
        <w:tc>
          <w:tcPr/>
          <w:p>
            <w:pPr>
              <w:pStyle w:val="Compact"/>
            </w:pPr>
            <w:r>
              <w:t xml:space="preserve">d_ln_AF</w:t>
            </w:r>
          </w:p>
        </w:tc>
        <w:tc>
          <w:tcPr/>
          <w:p>
            <w:pPr>
              <w:pStyle w:val="Compact"/>
              <w:jc w:val="right"/>
            </w:pPr>
            <w:r>
              <w:t xml:space="preserve">1.000</w:t>
            </w:r>
          </w:p>
        </w:tc>
        <w:tc>
          <w:tcPr/>
          <w:p>
            <w:pPr>
              <w:pStyle w:val="Compact"/>
              <w:jc w:val="right"/>
            </w:pPr>
            <w:r>
              <w:t xml:space="preserve">-0.122</w:t>
            </w:r>
          </w:p>
        </w:tc>
        <w:tc>
          <w:tcPr/>
          <w:p>
            <w:pPr>
              <w:pStyle w:val="Compact"/>
              <w:jc w:val="right"/>
            </w:pPr>
            <w:r>
              <w:t xml:space="preserve">0.243</w:t>
            </w:r>
          </w:p>
        </w:tc>
        <w:tc>
          <w:tcPr/>
          <w:p>
            <w:pPr>
              <w:pStyle w:val="Compact"/>
              <w:jc w:val="right"/>
            </w:pPr>
            <w:r>
              <w:t xml:space="preserve">-0.273</w:t>
            </w:r>
          </w:p>
        </w:tc>
        <w:tc>
          <w:tcPr/>
          <w:p>
            <w:pPr>
              <w:pStyle w:val="Compact"/>
              <w:jc w:val="right"/>
            </w:pPr>
            <w:r>
              <w:t xml:space="preserve">0.102</w:t>
            </w:r>
          </w:p>
        </w:tc>
      </w:tr>
      <w:tr>
        <w:tc>
          <w:tcPr/>
          <w:p>
            <w:pPr>
              <w:pStyle w:val="Compact"/>
            </w:pPr>
            <w:r>
              <w:t xml:space="preserve">d_GM</w:t>
            </w:r>
          </w:p>
        </w:tc>
        <w:tc>
          <w:tcPr/>
          <w:p>
            <w:pPr>
              <w:pStyle w:val="Compact"/>
              <w:jc w:val="right"/>
            </w:pPr>
            <w:r>
              <w:t xml:space="preserve">-0.122</w:t>
            </w:r>
          </w:p>
        </w:tc>
        <w:tc>
          <w:tcPr/>
          <w:p>
            <w:pPr>
              <w:pStyle w:val="Compact"/>
              <w:jc w:val="right"/>
            </w:pPr>
            <w:r>
              <w:t xml:space="preserve">1.000</w:t>
            </w:r>
          </w:p>
        </w:tc>
        <w:tc>
          <w:tcPr/>
          <w:p>
            <w:pPr>
              <w:pStyle w:val="Compact"/>
              <w:jc w:val="right"/>
            </w:pPr>
            <w:r>
              <w:t xml:space="preserve">-0.064</w:t>
            </w:r>
          </w:p>
        </w:tc>
        <w:tc>
          <w:tcPr/>
          <w:p>
            <w:pPr>
              <w:pStyle w:val="Compact"/>
              <w:jc w:val="right"/>
            </w:pPr>
            <w:r>
              <w:t xml:space="preserve">-0.152</w:t>
            </w:r>
          </w:p>
        </w:tc>
        <w:tc>
          <w:tcPr/>
          <w:p>
            <w:pPr>
              <w:pStyle w:val="Compact"/>
              <w:jc w:val="right"/>
            </w:pPr>
            <w:r>
              <w:t xml:space="preserve">-0.456</w:t>
            </w:r>
          </w:p>
        </w:tc>
      </w:tr>
      <w:tr>
        <w:tc>
          <w:tcPr/>
          <w:p>
            <w:pPr>
              <w:pStyle w:val="Compact"/>
            </w:pPr>
            <w:r>
              <w:t xml:space="preserve">d_MI</w:t>
            </w:r>
          </w:p>
        </w:tc>
        <w:tc>
          <w:tcPr/>
          <w:p>
            <w:pPr>
              <w:pStyle w:val="Compact"/>
              <w:jc w:val="right"/>
            </w:pPr>
            <w:r>
              <w:t xml:space="preserve">0.243</w:t>
            </w:r>
          </w:p>
        </w:tc>
        <w:tc>
          <w:tcPr/>
          <w:p>
            <w:pPr>
              <w:pStyle w:val="Compact"/>
              <w:jc w:val="right"/>
            </w:pPr>
            <w:r>
              <w:t xml:space="preserve">-0.064</w:t>
            </w:r>
          </w:p>
        </w:tc>
        <w:tc>
          <w:tcPr/>
          <w:p>
            <w:pPr>
              <w:pStyle w:val="Compact"/>
              <w:jc w:val="right"/>
            </w:pPr>
            <w:r>
              <w:t xml:space="preserve">1.000</w:t>
            </w:r>
          </w:p>
        </w:tc>
        <w:tc>
          <w:tcPr/>
          <w:p>
            <w:pPr>
              <w:pStyle w:val="Compact"/>
              <w:jc w:val="right"/>
            </w:pPr>
            <w:r>
              <w:t xml:space="preserve">-0.267</w:t>
            </w:r>
          </w:p>
        </w:tc>
        <w:tc>
          <w:tcPr/>
          <w:p>
            <w:pPr>
              <w:pStyle w:val="Compact"/>
              <w:jc w:val="right"/>
            </w:pPr>
            <w:r>
              <w:t xml:space="preserve">0.399</w:t>
            </w:r>
          </w:p>
        </w:tc>
      </w:tr>
      <w:tr>
        <w:tc>
          <w:tcPr/>
          <w:p>
            <w:pPr>
              <w:pStyle w:val="Compact"/>
            </w:pPr>
            <w:r>
              <w:t xml:space="preserve">d_ln_HO</w:t>
            </w:r>
          </w:p>
        </w:tc>
        <w:tc>
          <w:tcPr/>
          <w:p>
            <w:pPr>
              <w:pStyle w:val="Compact"/>
              <w:jc w:val="right"/>
            </w:pPr>
            <w:r>
              <w:t xml:space="preserve">-0.273</w:t>
            </w:r>
          </w:p>
        </w:tc>
        <w:tc>
          <w:tcPr/>
          <w:p>
            <w:pPr>
              <w:pStyle w:val="Compact"/>
              <w:jc w:val="right"/>
            </w:pPr>
            <w:r>
              <w:t xml:space="preserve">-0.152</w:t>
            </w:r>
          </w:p>
        </w:tc>
        <w:tc>
          <w:tcPr/>
          <w:p>
            <w:pPr>
              <w:pStyle w:val="Compact"/>
              <w:jc w:val="right"/>
            </w:pPr>
            <w:r>
              <w:t xml:space="preserve">-0.267</w:t>
            </w:r>
          </w:p>
        </w:tc>
        <w:tc>
          <w:tcPr/>
          <w:p>
            <w:pPr>
              <w:pStyle w:val="Compact"/>
              <w:jc w:val="right"/>
            </w:pPr>
            <w:r>
              <w:t xml:space="preserve">1.000</w:t>
            </w:r>
          </w:p>
        </w:tc>
        <w:tc>
          <w:tcPr/>
          <w:p>
            <w:pPr>
              <w:pStyle w:val="Compact"/>
              <w:jc w:val="right"/>
            </w:pPr>
            <w:r>
              <w:t xml:space="preserve">0.056</w:t>
            </w:r>
          </w:p>
        </w:tc>
      </w:tr>
      <w:tr>
        <w:tc>
          <w:tcPr/>
          <w:p>
            <w:pPr>
              <w:pStyle w:val="Compact"/>
            </w:pPr>
            <w:r>
              <w:t xml:space="preserve">d_ln_FL</w:t>
            </w:r>
          </w:p>
        </w:tc>
        <w:tc>
          <w:tcPr/>
          <w:p>
            <w:pPr>
              <w:pStyle w:val="Compact"/>
              <w:jc w:val="right"/>
            </w:pPr>
            <w:r>
              <w:t xml:space="preserve">0.102</w:t>
            </w:r>
          </w:p>
        </w:tc>
        <w:tc>
          <w:tcPr/>
          <w:p>
            <w:pPr>
              <w:pStyle w:val="Compact"/>
              <w:jc w:val="right"/>
            </w:pPr>
            <w:r>
              <w:t xml:space="preserve">-0.456</w:t>
            </w:r>
          </w:p>
        </w:tc>
        <w:tc>
          <w:tcPr/>
          <w:p>
            <w:pPr>
              <w:pStyle w:val="Compact"/>
              <w:jc w:val="right"/>
            </w:pPr>
            <w:r>
              <w:t xml:space="preserve">0.399</w:t>
            </w:r>
          </w:p>
        </w:tc>
        <w:tc>
          <w:tcPr/>
          <w:p>
            <w:pPr>
              <w:pStyle w:val="Compact"/>
              <w:jc w:val="right"/>
            </w:pPr>
            <w:r>
              <w:t xml:space="preserve">0.056</w:t>
            </w:r>
          </w:p>
        </w:tc>
        <w:tc>
          <w:tcPr/>
          <w:p>
            <w:pPr>
              <w:pStyle w:val="Compact"/>
              <w:jc w:val="right"/>
            </w:pPr>
            <w:r>
              <w:t xml:space="preserve">1.000</w:t>
            </w:r>
          </w:p>
        </w:tc>
      </w:tr>
    </w:tbl>
    <w:p>
      <w:pPr>
        <w:pStyle w:val="BodyText"/>
      </w:pPr>
      <w:r>
        <w:t xml:space="preserve">Nota. Coeficientes de correlación de Pearson calculados sobre la muestra anual 2001-2023. Fuente: elaboración propia.</w:t>
      </w:r>
    </w:p>
    <w:p>
      <w:pPr>
        <w:pStyle w:val="BodyText"/>
      </w:pPr>
      <w:r>
        <w:t xml:space="preserve">Tabla 3</w:t>
      </w:r>
    </w:p>
    <w:p>
      <w:pPr>
        <w:pStyle w:val="BodyText"/>
      </w:pPr>
      <w:r>
        <w:rPr>
          <w:i/>
          <w:iCs/>
        </w:rPr>
        <w:t xml:space="preserve">Factor de inflación de varianza (VIF) de los regresores en primeras diferencias.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jc w:val="right"/>
            </w:pPr>
            <w:r>
              <w:t xml:space="preserve">VIF</w:t>
            </w:r>
          </w:p>
        </w:tc>
      </w:tr>
      <w:tr>
        <w:tc>
          <w:tcPr/>
          <w:p>
            <w:pPr>
              <w:pStyle w:val="Compact"/>
            </w:pPr>
            <w:r>
              <w:t xml:space="preserve">d_GM</w:t>
            </w:r>
          </w:p>
        </w:tc>
        <w:tc>
          <w:tcPr/>
          <w:p>
            <w:pPr>
              <w:pStyle w:val="Compact"/>
              <w:jc w:val="right"/>
            </w:pPr>
            <w:r>
              <w:t xml:space="preserve">1.112</w:t>
            </w:r>
          </w:p>
        </w:tc>
      </w:tr>
      <w:tr>
        <w:tc>
          <w:tcPr/>
          <w:p>
            <w:pPr>
              <w:pStyle w:val="Compact"/>
            </w:pPr>
            <w:r>
              <w:t xml:space="preserve">d_MI</w:t>
            </w:r>
          </w:p>
        </w:tc>
        <w:tc>
          <w:tcPr/>
          <w:p>
            <w:pPr>
              <w:pStyle w:val="Compact"/>
              <w:jc w:val="right"/>
            </w:pPr>
            <w:r>
              <w:t xml:space="preserve">1.288</w:t>
            </w:r>
          </w:p>
        </w:tc>
      </w:tr>
      <w:tr>
        <w:tc>
          <w:tcPr/>
          <w:p>
            <w:pPr>
              <w:pStyle w:val="Compact"/>
            </w:pPr>
            <w:r>
              <w:t xml:space="preserve">d_ln_HO</w:t>
            </w:r>
          </w:p>
        </w:tc>
        <w:tc>
          <w:tcPr/>
          <w:p>
            <w:pPr>
              <w:pStyle w:val="Compact"/>
              <w:jc w:val="right"/>
            </w:pPr>
            <w:r>
              <w:t xml:space="preserve">1.159</w:t>
            </w:r>
          </w:p>
        </w:tc>
      </w:tr>
      <w:tr>
        <w:tc>
          <w:tcPr/>
          <w:p>
            <w:pPr>
              <w:pStyle w:val="Compact"/>
            </w:pPr>
            <w:r>
              <w:t xml:space="preserve">d_ln_FL</w:t>
            </w:r>
          </w:p>
        </w:tc>
        <w:tc>
          <w:tcPr/>
          <w:p>
            <w:pPr>
              <w:pStyle w:val="Compact"/>
              <w:jc w:val="right"/>
            </w:pPr>
            <w:r>
              <w:t xml:space="preserve">1.341</w:t>
            </w:r>
          </w:p>
        </w:tc>
      </w:tr>
    </w:tbl>
    <w:p>
      <w:pPr>
        <w:pStyle w:val="BodyText"/>
      </w:pPr>
      <w:r>
        <w:t xml:space="preserve">Nota. El VIF se estima con la especificación de regresores d_GM, d_MI, d_ln_HO y d_ln_FL. Fuente: elaboración propia.</w:t>
      </w:r>
    </w:p>
    <w:bookmarkEnd w:id="14"/>
    <w:bookmarkStart w:id="15" w:name="pruebas-de-raíz-unitaria-adf-pp-z-p-sb"/>
    <w:p>
      <w:pPr>
        <w:pStyle w:val="Heading3"/>
      </w:pPr>
      <w:r>
        <w:t xml:space="preserve">4.2.2 3.2.2. Pruebas de raíz unitaria (ADF, PP, Z-P, SB)</w:t>
      </w:r>
    </w:p>
    <w:p>
      <w:pPr>
        <w:pStyle w:val="FirstParagraph"/>
      </w:pPr>
      <w:r>
        <w:t xml:space="preserve">Se ejecutaron tres contrastes de raíz unitaria en niveles sobre cada serie diferenciada logarítmicamente:</w:t>
      </w:r>
    </w:p>
    <w:p>
      <w:pPr>
        <w:pStyle w:val="BodyText"/>
      </w:pPr>
      <w:r>
        <w:rPr>
          <w:b/>
          <w:bCs/>
        </w:rPr>
        <w:t xml:space="preserve">ADF (Augmented Dickey-Fuller):</w:t>
      </w:r>
      <w:r>
        <w:t xml:space="preserve"> </w:t>
      </w:r>
      <w:r>
        <w:t xml:space="preserve">Especificación con rezago automático (AIC). Resultados por variable: AF (p=0.1062), DE (p=1.000), MI (p=0.0705), HO (p=0.2524), GM (p=0.2034), RN (p=0.6307). Solo MI rechaza H₀ al nivel 10%, sugiriendo estacionariedad en migración neta. El resto no rechaza presencia de raíz unitaria.</w:t>
      </w:r>
    </w:p>
    <w:p>
      <w:pPr>
        <w:pStyle w:val="BodyText"/>
      </w:pPr>
      <w:r>
        <w:rPr>
          <w:b/>
          <w:bCs/>
        </w:rPr>
        <w:t xml:space="preserve">PP (Phillips-Perron) - Proxy:</w:t>
      </w:r>
      <w:r>
        <w:t xml:space="preserve"> </w:t>
      </w:r>
      <w:r>
        <w:t xml:space="preserve">Implementación con rezago máximo fijo (lag=1) como aproximación. Los p-valores coinciden con ADF en magnitud relativa, corroborando diagnóstico de no estacionariedad en niveles para AF, DE, HO, GM, RN.</w:t>
      </w:r>
    </w:p>
    <w:p>
      <w:pPr>
        <w:pStyle w:val="BodyText"/>
      </w:pPr>
      <w:r>
        <w:rPr>
          <w:b/>
          <w:bCs/>
        </w:rPr>
        <w:t xml:space="preserve">Z-P (Zivot-Andrews):</w:t>
      </w:r>
      <w:r>
        <w:t xml:space="preserve"> </w:t>
      </w:r>
      <w:r>
        <w:t xml:space="preserve">Test de raíz unitaria con quiebre estructural endógeno. Resultados: DE (p=0.3837), HO (p=0.1829), GM (p=0.0866, rechaza H₀ al 10%). El quiebre estimado en GM cae en 2009, coincidiendo con crisis financiera global e impacto presupuestario de defensa. AF, MI, RN no convergen a estimación de quiebre (matriz singular o configuración de datos).</w:t>
      </w:r>
    </w:p>
    <w:p>
      <w:pPr>
        <w:pStyle w:val="BodyText"/>
      </w:pPr>
      <w:r>
        <w:rPr>
          <w:b/>
          <w:bCs/>
        </w:rPr>
        <w:t xml:space="preserve">Marcador SB (Structural Break - máxima variación absoluta):</w:t>
      </w:r>
      <w:r>
        <w:t xml:space="preserve"> </w:t>
      </w:r>
      <w:r>
        <w:t xml:space="preserve">Se identifica el año con mayor cambio de primer orden en cada serie: AF (2011: reforma previsional), DE (2017: cambio demográfico), MI (2020: COVID), HO (2022: crisis seguridad), GM (2009: crisis financiera), RN (2008: volatilidad remesas).</w:t>
      </w:r>
    </w:p>
    <w:bookmarkEnd w:id="15"/>
    <w:bookmarkStart w:id="16" w:name="Xea900ecdd96f8bf7bb0729884c68c03e438db4f"/>
    <w:p>
      <w:pPr>
        <w:pStyle w:val="Heading3"/>
      </w:pPr>
      <w:r>
        <w:t xml:space="preserve">4.2.3 3.2.3. Prueba de cointegración (Johansen - T-trace)</w:t>
      </w:r>
    </w:p>
    <w:p>
      <w:pPr>
        <w:pStyle w:val="FirstParagraph"/>
      </w:pPr>
      <w:r>
        <w:t xml:space="preserve">Se ejecutó test de cointegración de Johansen sobre el vector de 6 variables en niveles, con orden de integración mixta detectado (I(0) y mayormente I(1)) y determinístico intercept. Estadístico T-trace para cada rango de cointegración 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Hipótesis</w:t>
            </w:r>
          </w:p>
        </w:tc>
        <w:tc>
          <w:tcPr/>
          <w:p>
            <w:pPr>
              <w:pStyle w:val="Compact"/>
              <w:jc w:val="right"/>
            </w:pPr>
            <w:r>
              <w:t xml:space="preserve">T-trace</w:t>
            </w:r>
          </w:p>
        </w:tc>
        <w:tc>
          <w:tcPr/>
          <w:p>
            <w:pPr>
              <w:pStyle w:val="Compact"/>
              <w:jc w:val="right"/>
            </w:pPr>
            <w:r>
              <w:t xml:space="preserve">Crítico 95%</w:t>
            </w:r>
          </w:p>
        </w:tc>
        <w:tc>
          <w:tcPr/>
          <w:p>
            <w:pPr>
              <w:pStyle w:val="Compact"/>
            </w:pPr>
            <w:r>
              <w:t xml:space="preserve">Decisión</w:t>
            </w:r>
          </w:p>
        </w:tc>
      </w:tr>
      <w:tr>
        <w:tc>
          <w:tcPr/>
          <w:p>
            <w:pPr>
              <w:pStyle w:val="Compact"/>
            </w:pPr>
            <w:r>
              <w:t xml:space="preserve">r = 0</w:t>
            </w:r>
          </w:p>
        </w:tc>
        <w:tc>
          <w:tcPr/>
          <w:p>
            <w:pPr>
              <w:pStyle w:val="Compact"/>
              <w:jc w:val="right"/>
            </w:pPr>
            <w:r>
              <w:t xml:space="preserve">181.487</w:t>
            </w:r>
          </w:p>
        </w:tc>
        <w:tc>
          <w:tcPr/>
          <w:p>
            <w:pPr>
              <w:pStyle w:val="Compact"/>
              <w:jc w:val="right"/>
            </w:pPr>
            <w:r>
              <w:t xml:space="preserve">95.754</w:t>
            </w:r>
          </w:p>
        </w:tc>
        <w:tc>
          <w:tcPr/>
          <w:p>
            <w:pPr>
              <w:pStyle w:val="Compact"/>
            </w:pPr>
            <w:r>
              <w:t xml:space="preserve">Rechaza H₀ (al menos 1 vector)</w:t>
            </w:r>
          </w:p>
        </w:tc>
      </w:tr>
      <w:tr>
        <w:tc>
          <w:tcPr/>
          <w:p>
            <w:pPr>
              <w:pStyle w:val="Compact"/>
            </w:pPr>
            <w:r>
              <w:t xml:space="preserve">r ≤ 1</w:t>
            </w:r>
          </w:p>
        </w:tc>
        <w:tc>
          <w:tcPr/>
          <w:p>
            <w:pPr>
              <w:pStyle w:val="Compact"/>
              <w:jc w:val="right"/>
            </w:pPr>
            <w:r>
              <w:t xml:space="preserve">134.031</w:t>
            </w:r>
          </w:p>
        </w:tc>
        <w:tc>
          <w:tcPr/>
          <w:p>
            <w:pPr>
              <w:pStyle w:val="Compact"/>
              <w:jc w:val="right"/>
            </w:pPr>
            <w:r>
              <w:t xml:space="preserve">69.819</w:t>
            </w:r>
          </w:p>
        </w:tc>
        <w:tc>
          <w:tcPr/>
          <w:p>
            <w:pPr>
              <w:pStyle w:val="Compact"/>
            </w:pPr>
            <w:r>
              <w:t xml:space="preserve">Rechaza H₀ (al menos 2 vectores)</w:t>
            </w:r>
          </w:p>
        </w:tc>
      </w:tr>
      <w:tr>
        <w:tc>
          <w:tcPr/>
          <w:p>
            <w:pPr>
              <w:pStyle w:val="Compact"/>
            </w:pPr>
            <w:r>
              <w:t xml:space="preserve">r ≤ 2</w:t>
            </w:r>
          </w:p>
        </w:tc>
        <w:tc>
          <w:tcPr/>
          <w:p>
            <w:pPr>
              <w:pStyle w:val="Compact"/>
              <w:jc w:val="right"/>
            </w:pPr>
            <w:r>
              <w:t xml:space="preserve">90.070</w:t>
            </w:r>
          </w:p>
        </w:tc>
        <w:tc>
          <w:tcPr/>
          <w:p>
            <w:pPr>
              <w:pStyle w:val="Compact"/>
              <w:jc w:val="right"/>
            </w:pPr>
            <w:r>
              <w:t xml:space="preserve">47.854</w:t>
            </w:r>
          </w:p>
        </w:tc>
        <w:tc>
          <w:tcPr/>
          <w:p>
            <w:pPr>
              <w:pStyle w:val="Compact"/>
            </w:pPr>
            <w:r>
              <w:t xml:space="preserve">Rechaza H₀ (al menos 3 vectores)</w:t>
            </w:r>
          </w:p>
        </w:tc>
      </w:tr>
      <w:tr>
        <w:tc>
          <w:tcPr/>
          <w:p>
            <w:pPr>
              <w:pStyle w:val="Compact"/>
            </w:pPr>
            <w:r>
              <w:t xml:space="preserve">r ≤ 3</w:t>
            </w:r>
          </w:p>
        </w:tc>
        <w:tc>
          <w:tcPr/>
          <w:p>
            <w:pPr>
              <w:pStyle w:val="Compact"/>
              <w:jc w:val="right"/>
            </w:pPr>
            <w:r>
              <w:t xml:space="preserve">53.235</w:t>
            </w:r>
          </w:p>
        </w:tc>
        <w:tc>
          <w:tcPr/>
          <w:p>
            <w:pPr>
              <w:pStyle w:val="Compact"/>
              <w:jc w:val="right"/>
            </w:pPr>
            <w:r>
              <w:t xml:space="preserve">29.796</w:t>
            </w:r>
          </w:p>
        </w:tc>
        <w:tc>
          <w:tcPr/>
          <w:p>
            <w:pPr>
              <w:pStyle w:val="Compact"/>
            </w:pPr>
            <w:r>
              <w:t xml:space="preserve">Rechaza H₀ (al menos 4 vectores)</w:t>
            </w:r>
          </w:p>
        </w:tc>
      </w:tr>
      <w:tr>
        <w:tc>
          <w:tcPr/>
          <w:p>
            <w:pPr>
              <w:pStyle w:val="Compact"/>
            </w:pPr>
            <w:r>
              <w:t xml:space="preserve">r ≤ 4</w:t>
            </w:r>
          </w:p>
        </w:tc>
        <w:tc>
          <w:tcPr/>
          <w:p>
            <w:pPr>
              <w:pStyle w:val="Compact"/>
              <w:jc w:val="right"/>
            </w:pPr>
            <w:r>
              <w:t xml:space="preserve">23.552</w:t>
            </w:r>
          </w:p>
        </w:tc>
        <w:tc>
          <w:tcPr/>
          <w:p>
            <w:pPr>
              <w:pStyle w:val="Compact"/>
              <w:jc w:val="right"/>
            </w:pPr>
            <w:r>
              <w:t xml:space="preserve">15.494</w:t>
            </w:r>
          </w:p>
        </w:tc>
        <w:tc>
          <w:tcPr/>
          <w:p>
            <w:pPr>
              <w:pStyle w:val="Compact"/>
            </w:pPr>
            <w:r>
              <w:t xml:space="preserve">Rechaza H₀ (al menos 5 vectores)</w:t>
            </w:r>
          </w:p>
        </w:tc>
      </w:tr>
      <w:tr>
        <w:tc>
          <w:tcPr/>
          <w:p>
            <w:pPr>
              <w:pStyle w:val="Compact"/>
            </w:pPr>
            <w:r>
              <w:t xml:space="preserve">r ≤ 5</w:t>
            </w:r>
          </w:p>
        </w:tc>
        <w:tc>
          <w:tcPr/>
          <w:p>
            <w:pPr>
              <w:pStyle w:val="Compact"/>
              <w:jc w:val="right"/>
            </w:pPr>
            <w:r>
              <w:t xml:space="preserve">2.797</w:t>
            </w:r>
          </w:p>
        </w:tc>
        <w:tc>
          <w:tcPr/>
          <w:p>
            <w:pPr>
              <w:pStyle w:val="Compact"/>
              <w:jc w:val="right"/>
            </w:pPr>
            <w:r>
              <w:t xml:space="preserve">3.842</w:t>
            </w:r>
          </w:p>
        </w:tc>
        <w:tc>
          <w:tcPr/>
          <w:p>
            <w:pPr>
              <w:pStyle w:val="Compact"/>
            </w:pPr>
            <w:r>
              <w:t xml:space="preserve">No rechaza H₀</w:t>
            </w:r>
          </w:p>
        </w:tc>
      </w:tr>
    </w:tbl>
    <w:p>
      <w:pPr>
        <w:pStyle w:val="BodyText"/>
      </w:pPr>
      <w:r>
        <w:rPr>
          <w:b/>
          <w:bCs/>
        </w:rPr>
        <w:t xml:space="preserve">Interpretación:</w:t>
      </w:r>
      <w:r>
        <w:t xml:space="preserve"> </w:t>
      </w:r>
      <w:r>
        <w:t xml:space="preserve">Existe fuerte evidencia de 5 vectores de cointegración, indicando que la dinámica conjunta de AF, DE, MI, HO, GM, RN opera sobre una hipersuperficie con 5 restricciones de largo plazo, compatible con ajuste estructural del sistema previsional bajo múltiples canales.</w:t>
      </w:r>
    </w:p>
    <w:bookmarkEnd w:id="16"/>
    <w:bookmarkStart w:id="17" w:name="modelo-de-corrección-de-error-vecm"/>
    <w:p>
      <w:pPr>
        <w:pStyle w:val="Heading3"/>
      </w:pPr>
      <w:r>
        <w:t xml:space="preserve">4.2.4 3.2.4. Modelo de corrección de error (VECM)</w:t>
      </w:r>
    </w:p>
    <w:p>
      <w:pPr>
        <w:pStyle w:val="FirstParagraph"/>
      </w:pPr>
      <w:r>
        <w:t xml:space="preserve">Se estimó un VECM(1) con rango de cointegración r=1 (rango reducido para parsimonia operativa). Especificación: determinístico intercept, rezago en diferencias k_ar_diff=1. Los residuos del modelo (N=24):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jc w:val="right"/>
            </w:pPr>
            <w:r>
              <w:t xml:space="preserve">Valor</w:t>
            </w:r>
          </w:p>
        </w:tc>
      </w:tr>
      <w:tr>
        <w:tc>
          <w:tcPr/>
          <w:p>
            <w:pPr>
              <w:pStyle w:val="Compact"/>
            </w:pPr>
            <w:r>
              <w:t xml:space="preserve">Residuo medio (AF)</w:t>
            </w:r>
          </w:p>
        </w:tc>
        <w:tc>
          <w:tcPr/>
          <w:p>
            <w:pPr>
              <w:pStyle w:val="Compact"/>
              <w:jc w:val="right"/>
            </w:pPr>
            <w:r>
              <w:t xml:space="preserve">0.0000</w:t>
            </w:r>
          </w:p>
        </w:tc>
      </w:tr>
      <w:tr>
        <w:tc>
          <w:tcPr/>
          <w:p>
            <w:pPr>
              <w:pStyle w:val="Compact"/>
            </w:pPr>
            <w:r>
              <w:t xml:space="preserve">Residuo std (AF)</w:t>
            </w:r>
          </w:p>
        </w:tc>
        <w:tc>
          <w:tcPr/>
          <w:p>
            <w:pPr>
              <w:pStyle w:val="Compact"/>
              <w:jc w:val="right"/>
            </w:pPr>
            <w:r>
              <w:t xml:space="preserve">0.0287</w:t>
            </w:r>
          </w:p>
        </w:tc>
      </w:tr>
      <w:tr>
        <w:tc>
          <w:tcPr/>
          <w:p>
            <w:pPr>
              <w:pStyle w:val="Compact"/>
            </w:pPr>
            <w:r>
              <w:t xml:space="preserve">Rango de residuo</w:t>
            </w:r>
          </w:p>
        </w:tc>
        <w:tc>
          <w:tcPr/>
          <w:p>
            <w:pPr>
              <w:pStyle w:val="Compact"/>
              <w:jc w:val="right"/>
            </w:pPr>
            <w:r>
              <w:t xml:space="preserve">0.1239</w:t>
            </w:r>
          </w:p>
        </w:tc>
      </w:tr>
      <w:tr>
        <w:tc>
          <w:tcPr/>
          <w:p>
            <w:pPr>
              <w:pStyle w:val="Compact"/>
            </w:pPr>
            <w:r>
              <w:t xml:space="preserve">KRDS (kurtosis abs. residuo)</w:t>
            </w:r>
          </w:p>
        </w:tc>
        <w:tc>
          <w:tcPr/>
          <w:p>
            <w:pPr>
              <w:pStyle w:val="Compact"/>
              <w:jc w:val="right"/>
            </w:pPr>
            <w:r>
              <w:t xml:space="preserve">1.1617</w:t>
            </w:r>
          </w:p>
        </w:tc>
      </w:tr>
    </w:tbl>
    <w:p>
      <w:pPr>
        <w:pStyle w:val="BodyText"/>
      </w:pPr>
      <w:r>
        <w:t xml:space="preserve">Los residuos son centrados y de varianza moderada, sin evidencia de colas extremas que invaliden inferencia por mínimos cuadrados.</w:t>
      </w:r>
    </w:p>
    <w:bookmarkEnd w:id="17"/>
    <w:bookmarkStart w:id="18" w:name="prueba-de-causalidad-granger-lag2"/>
    <w:p>
      <w:pPr>
        <w:pStyle w:val="Heading3"/>
      </w:pPr>
      <w:r>
        <w:t xml:space="preserve">4.2.5 3.2.5. Prueba de causalidad (Granger, lag=2)</w:t>
      </w:r>
    </w:p>
    <w:p>
      <w:pPr>
        <w:pStyle w:val="FirstParagraph"/>
      </w:pPr>
      <w:r>
        <w:t xml:space="preserve">Se ejecutó test de causalidad de Granger en primeras diferencias (estacionaridad garantizada) con máximo rezago 2. Hipótesis: ¿Predice X el futuro de AF tras controlar por el pasado de AF?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Causa</w:t>
            </w:r>
          </w:p>
        </w:tc>
        <w:tc>
          <w:tcPr/>
          <w:p>
            <w:pPr>
              <w:pStyle w:val="Compact"/>
              <w:jc w:val="right"/>
            </w:pPr>
            <w:r>
              <w:t xml:space="preserve">p-valor (lag=2)</w:t>
            </w:r>
          </w:p>
        </w:tc>
        <w:tc>
          <w:tcPr/>
          <w:p>
            <w:pPr>
              <w:pStyle w:val="Compact"/>
            </w:pPr>
            <w:r>
              <w:t xml:space="preserve">Causalidad @ 10%</w:t>
            </w:r>
          </w:p>
        </w:tc>
      </w:tr>
      <w:tr>
        <w:tc>
          <w:tcPr/>
          <w:p>
            <w:pPr>
              <w:pStyle w:val="Compact"/>
            </w:pPr>
            <w:r>
              <w:t xml:space="preserve">DE → AF</w:t>
            </w:r>
          </w:p>
        </w:tc>
        <w:tc>
          <w:tcPr/>
          <w:p>
            <w:pPr>
              <w:pStyle w:val="Compact"/>
              <w:jc w:val="right"/>
            </w:pPr>
            <w:r>
              <w:t xml:space="preserve">0.6196</w:t>
            </w:r>
          </w:p>
        </w:tc>
        <w:tc>
          <w:tcPr/>
          <w:p>
            <w:pPr>
              <w:pStyle w:val="Compact"/>
            </w:pPr>
            <w:r>
              <w:t xml:space="preserve">No</w:t>
            </w:r>
          </w:p>
        </w:tc>
      </w:tr>
      <w:tr>
        <w:tc>
          <w:tcPr/>
          <w:p>
            <w:pPr>
              <w:pStyle w:val="Compact"/>
            </w:pPr>
            <w:r>
              <w:t xml:space="preserve">MI → AF</w:t>
            </w:r>
          </w:p>
        </w:tc>
        <w:tc>
          <w:tcPr/>
          <w:p>
            <w:pPr>
              <w:pStyle w:val="Compact"/>
              <w:jc w:val="right"/>
            </w:pPr>
            <w:r>
              <w:t xml:space="preserve">0.3710</w:t>
            </w:r>
          </w:p>
        </w:tc>
        <w:tc>
          <w:tcPr/>
          <w:p>
            <w:pPr>
              <w:pStyle w:val="Compact"/>
            </w:pPr>
            <w:r>
              <w:t xml:space="preserve">No</w:t>
            </w:r>
          </w:p>
        </w:tc>
      </w:tr>
      <w:tr>
        <w:tc>
          <w:tcPr/>
          <w:p>
            <w:pPr>
              <w:pStyle w:val="Compact"/>
            </w:pPr>
            <w:r>
              <w:t xml:space="preserve">HO → AF</w:t>
            </w:r>
          </w:p>
        </w:tc>
        <w:tc>
          <w:tcPr/>
          <w:p>
            <w:pPr>
              <w:pStyle w:val="Compact"/>
              <w:jc w:val="right"/>
            </w:pPr>
            <w:r>
              <w:t xml:space="preserve">0.3333</w:t>
            </w:r>
          </w:p>
        </w:tc>
        <w:tc>
          <w:tcPr/>
          <w:p>
            <w:pPr>
              <w:pStyle w:val="Compact"/>
            </w:pPr>
            <w:r>
              <w:t xml:space="preserve">No</w:t>
            </w:r>
          </w:p>
        </w:tc>
      </w:tr>
      <w:tr>
        <w:tc>
          <w:tcPr/>
          <w:p>
            <w:pPr>
              <w:pStyle w:val="Compact"/>
            </w:pPr>
            <w:r>
              <w:rPr>
                <w:b/>
                <w:bCs/>
              </w:rPr>
              <w:t xml:space="preserve">GM → AF</w:t>
            </w:r>
          </w:p>
        </w:tc>
        <w:tc>
          <w:tcPr/>
          <w:p>
            <w:pPr>
              <w:pStyle w:val="Compact"/>
              <w:jc w:val="right"/>
            </w:pPr>
            <w:r>
              <w:rPr>
                <w:b/>
                <w:bCs/>
              </w:rPr>
              <w:t xml:space="preserve">0.0165</w:t>
            </w:r>
          </w:p>
        </w:tc>
        <w:tc>
          <w:tcPr/>
          <w:p>
            <w:pPr>
              <w:pStyle w:val="Compact"/>
            </w:pPr>
            <w:r>
              <w:rPr>
                <w:b/>
                <w:bCs/>
              </w:rPr>
              <w:t xml:space="preserve">Sí</w:t>
            </w:r>
          </w:p>
        </w:tc>
      </w:tr>
      <w:tr>
        <w:tc>
          <w:tcPr/>
          <w:p>
            <w:pPr>
              <w:pStyle w:val="Compact"/>
            </w:pPr>
            <w:r>
              <w:t xml:space="preserve">RN → AF</w:t>
            </w:r>
          </w:p>
        </w:tc>
        <w:tc>
          <w:tcPr/>
          <w:p>
            <w:pPr>
              <w:pStyle w:val="Compact"/>
              <w:jc w:val="right"/>
            </w:pPr>
            <w:r>
              <w:t xml:space="preserve">0.6558</w:t>
            </w:r>
          </w:p>
        </w:tc>
        <w:tc>
          <w:tcPr/>
          <w:p>
            <w:pPr>
              <w:pStyle w:val="Compact"/>
            </w:pPr>
            <w:r>
              <w:t xml:space="preserve">No</w:t>
            </w:r>
          </w:p>
        </w:tc>
      </w:tr>
    </w:tbl>
    <w:p>
      <w:pPr>
        <w:pStyle w:val="BodyText"/>
      </w:pPr>
      <w:r>
        <w:t xml:space="preserve">Solo GM exhibe causalidad de Granger significativa al nivel 10%, sugiriendo que cambios rezagados en gasto militar contienen información predictiva de corto plazo sobre dinámica de afiliación.</w:t>
      </w:r>
    </w:p>
    <w:bookmarkEnd w:id="18"/>
    <w:bookmarkStart w:id="19" w:name="X24c2a62e3406780991a3a93c864e99cae0d9b78"/>
    <w:p>
      <w:pPr>
        <w:pStyle w:val="Heading3"/>
      </w:pPr>
      <w:r>
        <w:t xml:space="preserve">4.2.6 3.2.6. Modelo alternativo de corto plazo (ELS - OLS en primeras diferencias)</w:t>
      </w:r>
    </w:p>
    <w:p>
      <w:pPr>
        <w:pStyle w:val="FirstParagraph"/>
      </w:pPr>
      <w:r>
        <w:t xml:space="preserve">Como verificación de robustez sin dependencia de rango de cointegración, se estimó regresión por mínimos cuadrados ordinarios en primeras diferencias:</w:t>
      </w:r>
      <w:r>
        <w:t xml:space="preserve"> </w:t>
      </w:r>
      <m:oMath>
        <m:r>
          <m:rPr>
            <m:sty m:val="p"/>
          </m:rPr>
          <m:t>Δ</m:t>
        </m:r>
        <m:r>
          <m:t>A</m:t>
        </m:r>
        <m:sSub>
          <m:e>
            <m:r>
              <m:t>F</m:t>
            </m:r>
          </m:e>
          <m:sub>
            <m:r>
              <m:t>t</m:t>
            </m:r>
          </m:sub>
        </m:sSub>
        <m:r>
          <m:rPr>
            <m:sty m:val="p"/>
          </m:rPr>
          <m:t>=</m:t>
        </m:r>
        <m:r>
          <m:t>α</m:t>
        </m:r>
        <m:r>
          <m:rPr>
            <m:sty m:val="p"/>
          </m:rPr>
          <m:t>+</m:t>
        </m:r>
        <m:nary>
          <m:naryPr>
            <m:chr m:val="∑"/>
            <m:limLoc m:val="undOvr"/>
            <m:subHide m:val="off"/>
            <m:supHide m:val="off"/>
          </m:naryPr>
          <m:sub>
            <m:r>
              <m:t>i</m:t>
            </m:r>
            <m:r>
              <m:rPr>
                <m:sty m:val="p"/>
              </m:rPr>
              <m:t>=</m:t>
            </m:r>
            <m:r>
              <m:t>1</m:t>
            </m:r>
          </m:sub>
          <m:sup>
            <m:r>
              <m:t>5</m:t>
            </m:r>
          </m:sup>
          <m:e>
            <m:sSub>
              <m:e>
                <m:r>
                  <m:t>β</m:t>
                </m:r>
              </m:e>
              <m:sub>
                <m:r>
                  <m:t>i</m:t>
                </m:r>
              </m:sub>
            </m:sSub>
          </m:e>
        </m:nary>
        <m:r>
          <m:rPr>
            <m:sty m:val="p"/>
          </m:rPr>
          <m:t>Δ</m:t>
        </m:r>
        <m:sSub>
          <m:e>
            <m:r>
              <m:t>X</m:t>
            </m:r>
          </m:e>
          <m:sub>
            <m:r>
              <m:t>i</m:t>
            </m:r>
            <m:r>
              <m:rPr>
                <m:sty m:val="p"/>
              </m:rPr>
              <m:t>,</m:t>
            </m:r>
            <m:r>
              <m:t>t</m:t>
            </m:r>
          </m:sub>
        </m:sSub>
        <m:r>
          <m:rPr>
            <m:sty m:val="p"/>
          </m:rPr>
          <m:t>+</m:t>
        </m:r>
        <m:sSub>
          <m:e>
            <m:r>
              <m:t>ϵ</m:t>
            </m:r>
          </m:e>
          <m:sub>
            <m:r>
              <m:t>t</m:t>
            </m:r>
          </m:sub>
        </m:sSub>
      </m:oMath>
      <w:r>
        <w:t xml:space="preserve">. Resultados: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jc w:val="right"/>
            </w:pPr>
            <w:r>
              <w:t xml:space="preserve">Coeficiente</w:t>
            </w:r>
          </w:p>
        </w:tc>
        <w:tc>
          <w:tcPr/>
          <w:p>
            <w:pPr>
              <w:pStyle w:val="Compact"/>
              <w:jc w:val="right"/>
            </w:pPr>
            <w:r>
              <w:t xml:space="preserve">p-valor</w:t>
            </w:r>
          </w:p>
        </w:tc>
        <w:tc>
          <w:tcPr/>
          <w:p>
            <w:pPr>
              <w:pStyle w:val="Compact"/>
            </w:pPr>
            <w:r>
              <w:t xml:space="preserve">Significancia</w:t>
            </w:r>
          </w:p>
        </w:tc>
      </w:tr>
      <w:tr>
        <w:tc>
          <w:tcPr/>
          <w:p>
            <w:pPr>
              <w:pStyle w:val="Compact"/>
            </w:pPr>
            <w:r>
              <w:t xml:space="preserve">Constante</w:t>
            </w:r>
          </w:p>
        </w:tc>
        <w:tc>
          <w:tcPr/>
          <w:p>
            <w:pPr>
              <w:pStyle w:val="Compact"/>
              <w:jc w:val="right"/>
            </w:pPr>
            <w:r>
              <w:t xml:space="preserve">0.1726</w:t>
            </w:r>
          </w:p>
        </w:tc>
        <w:tc>
          <w:tcPr/>
          <w:p>
            <w:pPr>
              <w:pStyle w:val="Compact"/>
              <w:jc w:val="right"/>
            </w:pPr>
            <w:r>
              <w:t xml:space="preserve">0.1182</w:t>
            </w:r>
          </w:p>
        </w:tc>
        <w:tc>
          <w:tcPr/>
          <w:p>
            <w:pPr>
              <w:pStyle w:val="Compact"/>
            </w:pPr>
            <w:r>
              <w:t xml:space="preserve">-</w:t>
            </w:r>
          </w:p>
        </w:tc>
      </w:tr>
      <w:tr>
        <w:tc>
          <w:tcPr/>
          <w:p>
            <w:pPr>
              <w:pStyle w:val="Compact"/>
            </w:pPr>
            <w:r>
              <w:t xml:space="preserve">ΔDE</w:t>
            </w:r>
          </w:p>
        </w:tc>
        <w:tc>
          <w:tcPr/>
          <w:p>
            <w:pPr>
              <w:pStyle w:val="Compact"/>
              <w:jc w:val="right"/>
            </w:pPr>
            <w:r>
              <w:t xml:space="preserve">9.5255</w:t>
            </w:r>
          </w:p>
        </w:tc>
        <w:tc>
          <w:tcPr/>
          <w:p>
            <w:pPr>
              <w:pStyle w:val="Compact"/>
              <w:jc w:val="right"/>
            </w:pPr>
            <w:r>
              <w:t xml:space="preserve">0.2369</w:t>
            </w:r>
          </w:p>
        </w:tc>
        <w:tc>
          <w:tcPr/>
          <w:p>
            <w:pPr>
              <w:pStyle w:val="Compact"/>
            </w:pPr>
            <w:r>
              <w:t xml:space="preserve">No</w:t>
            </w:r>
          </w:p>
        </w:tc>
      </w:tr>
      <w:tr>
        <w:tc>
          <w:tcPr/>
          <w:p>
            <w:pPr>
              <w:pStyle w:val="Compact"/>
            </w:pPr>
            <w:r>
              <w:t xml:space="preserve">ΔMI</w:t>
            </w:r>
          </w:p>
        </w:tc>
        <w:tc>
          <w:tcPr/>
          <w:p>
            <w:pPr>
              <w:pStyle w:val="Compact"/>
              <w:jc w:val="right"/>
            </w:pPr>
            <w:r>
              <w:t xml:space="preserve">0.0004</w:t>
            </w:r>
          </w:p>
        </w:tc>
        <w:tc>
          <w:tcPr/>
          <w:p>
            <w:pPr>
              <w:pStyle w:val="Compact"/>
              <w:jc w:val="right"/>
            </w:pPr>
            <w:r>
              <w:t xml:space="preserve">0.4448</w:t>
            </w:r>
          </w:p>
        </w:tc>
        <w:tc>
          <w:tcPr/>
          <w:p>
            <w:pPr>
              <w:pStyle w:val="Compact"/>
            </w:pPr>
            <w:r>
              <w:t xml:space="preserve">No</w:t>
            </w:r>
          </w:p>
        </w:tc>
      </w:tr>
      <w:tr>
        <w:tc>
          <w:tcPr/>
          <w:p>
            <w:pPr>
              <w:pStyle w:val="Compact"/>
            </w:pPr>
            <w:r>
              <w:t xml:space="preserve">ΔHO</w:t>
            </w:r>
          </w:p>
        </w:tc>
        <w:tc>
          <w:tcPr/>
          <w:p>
            <w:pPr>
              <w:pStyle w:val="Compact"/>
              <w:jc w:val="right"/>
            </w:pPr>
            <w:r>
              <w:t xml:space="preserve">-0.0438</w:t>
            </w:r>
          </w:p>
        </w:tc>
        <w:tc>
          <w:tcPr/>
          <w:p>
            <w:pPr>
              <w:pStyle w:val="Compact"/>
              <w:jc w:val="right"/>
            </w:pPr>
            <w:r>
              <w:t xml:space="preserve">0.3161</w:t>
            </w:r>
          </w:p>
        </w:tc>
        <w:tc>
          <w:tcPr/>
          <w:p>
            <w:pPr>
              <w:pStyle w:val="Compact"/>
            </w:pPr>
            <w:r>
              <w:t xml:space="preserve">No</w:t>
            </w:r>
          </w:p>
        </w:tc>
      </w:tr>
      <w:tr>
        <w:tc>
          <w:tcPr/>
          <w:p>
            <w:pPr>
              <w:pStyle w:val="Compact"/>
            </w:pPr>
            <w:r>
              <w:t xml:space="preserve">ΔGM</w:t>
            </w:r>
          </w:p>
        </w:tc>
        <w:tc>
          <w:tcPr/>
          <w:p>
            <w:pPr>
              <w:pStyle w:val="Compact"/>
              <w:jc w:val="right"/>
            </w:pPr>
            <w:r>
              <w:t xml:space="preserve">-0.0427</w:t>
            </w:r>
          </w:p>
        </w:tc>
        <w:tc>
          <w:tcPr/>
          <w:p>
            <w:pPr>
              <w:pStyle w:val="Compact"/>
              <w:jc w:val="right"/>
            </w:pPr>
            <w:r>
              <w:t xml:space="preserve">0.2883</w:t>
            </w:r>
          </w:p>
        </w:tc>
        <w:tc>
          <w:tcPr/>
          <w:p>
            <w:pPr>
              <w:pStyle w:val="Compact"/>
            </w:pPr>
            <w:r>
              <w:t xml:space="preserve">No</w:t>
            </w:r>
          </w:p>
        </w:tc>
      </w:tr>
      <w:tr>
        <w:tc>
          <w:tcPr/>
          <w:p>
            <w:pPr>
              <w:pStyle w:val="Compact"/>
            </w:pPr>
            <w:r>
              <w:t xml:space="preserve">ΔRN</w:t>
            </w:r>
          </w:p>
        </w:tc>
        <w:tc>
          <w:tcPr/>
          <w:p>
            <w:pPr>
              <w:pStyle w:val="Compact"/>
              <w:jc w:val="right"/>
            </w:pPr>
            <w:r>
              <w:t xml:space="preserve">-0.0193</w:t>
            </w:r>
          </w:p>
        </w:tc>
        <w:tc>
          <w:tcPr/>
          <w:p>
            <w:pPr>
              <w:pStyle w:val="Compact"/>
              <w:jc w:val="right"/>
            </w:pPr>
            <w:r>
              <w:t xml:space="preserve">0.3424</w:t>
            </w:r>
          </w:p>
        </w:tc>
        <w:tc>
          <w:tcPr/>
          <w:p>
            <w:pPr>
              <w:pStyle w:val="Compact"/>
            </w:pPr>
            <w:r>
              <w:t xml:space="preserve">No</w:t>
            </w:r>
          </w:p>
        </w:tc>
      </w:tr>
    </w:tbl>
    <w:p>
      <w:pPr>
        <w:pStyle w:val="BodyText"/>
      </w:pPr>
      <w:r>
        <w:t xml:space="preserve">Ningún coeficiente alcanza significancia individual, coherente con bajo R² esperado en especificación univariada de corto plazo. El modelo ELS sirve como control de especificación errada, confirmando que la señal causal de GM es frágil en diferencias aisladas, validando la relevancia de la estructura de cointegración.</w:t>
      </w:r>
    </w:p>
    <w:bookmarkEnd w:id="19"/>
    <w:bookmarkEnd w:id="20"/>
    <w:bookmarkEnd w:id="21"/>
    <w:bookmarkStart w:id="34" w:name="resultados-y-discusión---tablas"/>
    <w:p>
      <w:pPr>
        <w:pStyle w:val="Heading1"/>
      </w:pPr>
      <w:r>
        <w:t xml:space="preserve">5. Resultados y Discusión -&gt; Tablas</w:t>
      </w:r>
    </w:p>
    <w:bookmarkStart w:id="22" w:name="resultados-principales"/>
    <w:p>
      <w:pPr>
        <w:pStyle w:val="Heading2"/>
      </w:pPr>
      <w:r>
        <w:t xml:space="preserve">5.1 Resultados Principales</w:t>
      </w:r>
    </w:p>
    <w:p>
      <w:pPr>
        <w:pStyle w:val="FirstParagraph"/>
      </w:pPr>
      <w:r>
        <w:t xml:space="preserve">El patrón más consistente es que GM presenta señal causal de corto plazo sobre AF (p=0.0165, lag 2), mientras que la matriz de correlaciones muestra alta interdependencia AF-DE y AF-RN. En raíces unitarias predomina no estacionariedad en niveles para AF, DE, HO, GM y RN.</w:t>
      </w:r>
    </w:p>
    <w:bookmarkEnd w:id="22"/>
    <w:bookmarkStart w:id="33" w:name="X9cf93d268a10d9e2a052497c48c407f5d6120ad"/>
    <w:p>
      <w:pPr>
        <w:pStyle w:val="Heading2"/>
      </w:pPr>
      <w:r>
        <w:t xml:space="preserve">5.2 Análisis de Resultados y Operativa Económica</w:t>
      </w:r>
    </w:p>
    <w:bookmarkStart w:id="27" w:name="análisis-preliminar"/>
    <w:p>
      <w:pPr>
        <w:pStyle w:val="Heading3"/>
      </w:pPr>
      <w:r>
        <w:t xml:space="preserve">5.2.1 Análisis Preliminar</w:t>
      </w:r>
    </w:p>
    <w:bookmarkStart w:id="23" w:name="tabla-de-variables"/>
    <w:p>
      <w:pPr>
        <w:pStyle w:val="Heading4"/>
      </w:pPr>
      <w:r>
        <w:t xml:space="preserve">5.2.1.1 Tabla de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Rol en modelo</w:t>
            </w:r>
          </w:p>
        </w:tc>
      </w:tr>
      <w:tr>
        <w:tc>
          <w:tcPr/>
          <w:p>
            <w:pPr>
              <w:pStyle w:val="Compact"/>
            </w:pPr>
            <w:r>
              <w:t xml:space="preserve">AF</w:t>
            </w:r>
          </w:p>
        </w:tc>
        <w:tc>
          <w:tcPr/>
          <w:p>
            <w:pPr>
              <w:pStyle w:val="Compact"/>
            </w:pPr>
            <w:r>
              <w:t xml:space="preserve">Dependiente (sostenibilidad contributiva)</w:t>
            </w:r>
          </w:p>
        </w:tc>
      </w:tr>
      <w:tr>
        <w:tc>
          <w:tcPr/>
          <w:p>
            <w:pPr>
              <w:pStyle w:val="Compact"/>
            </w:pPr>
            <w:r>
              <w:t xml:space="preserve">DE, MI, HO, GM, RN</w:t>
            </w:r>
          </w:p>
        </w:tc>
        <w:tc>
          <w:tcPr/>
          <w:p>
            <w:pPr>
              <w:pStyle w:val="Compact"/>
            </w:pPr>
            <w:r>
              <w:t xml:space="preserve">Explicativas estructurales</w:t>
            </w:r>
          </w:p>
        </w:tc>
      </w:tr>
    </w:tbl>
    <w:bookmarkEnd w:id="23"/>
    <w:bookmarkStart w:id="24" w:name="est.-descriptivos"/>
    <w:p>
      <w:pPr>
        <w:pStyle w:val="Heading4"/>
      </w:pPr>
      <w:r>
        <w:t xml:space="preserve">5.2.1.2 Est. descriptivos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jc w:val="right"/>
            </w:pPr>
            <w:r>
              <w:t xml:space="preserve">Media</w:t>
            </w:r>
          </w:p>
        </w:tc>
        <w:tc>
          <w:tcPr/>
          <w:p>
            <w:pPr>
              <w:pStyle w:val="Compact"/>
              <w:jc w:val="right"/>
            </w:pPr>
            <w:r>
              <w:t xml:space="preserve">Desv. Std.</w:t>
            </w:r>
          </w:p>
        </w:tc>
        <w:tc>
          <w:tcPr/>
          <w:p>
            <w:pPr>
              <w:pStyle w:val="Compact"/>
              <w:jc w:val="right"/>
            </w:pPr>
            <w:r>
              <w:t xml:space="preserve">Mín</w:t>
            </w:r>
          </w:p>
        </w:tc>
        <w:tc>
          <w:tcPr/>
          <w:p>
            <w:pPr>
              <w:pStyle w:val="Compact"/>
              <w:jc w:val="right"/>
            </w:pPr>
            <w:r>
              <w:t xml:space="preserve">Máx</w:t>
            </w:r>
          </w:p>
        </w:tc>
      </w:tr>
      <w:tr>
        <w:tc>
          <w:tcPr/>
          <w:p>
            <w:pPr>
              <w:pStyle w:val="Compact"/>
            </w:pPr>
            <w:r>
              <w:t xml:space="preserve">AF</w:t>
            </w:r>
          </w:p>
        </w:tc>
        <w:tc>
          <w:tcPr/>
          <w:p>
            <w:pPr>
              <w:pStyle w:val="Compact"/>
              <w:jc w:val="right"/>
            </w:pPr>
            <w:r>
              <w:t xml:space="preserve">14.7073</w:t>
            </w:r>
          </w:p>
        </w:tc>
        <w:tc>
          <w:tcPr/>
          <w:p>
            <w:pPr>
              <w:pStyle w:val="Compact"/>
              <w:jc w:val="right"/>
            </w:pPr>
            <w:r>
              <w:t xml:space="preserve">0.4260</w:t>
            </w:r>
          </w:p>
        </w:tc>
        <w:tc>
          <w:tcPr/>
          <w:p>
            <w:pPr>
              <w:pStyle w:val="Compact"/>
              <w:jc w:val="right"/>
            </w:pPr>
            <w:r>
              <w:t xml:space="preserve">14.0723</w:t>
            </w:r>
          </w:p>
        </w:tc>
        <w:tc>
          <w:tcPr/>
          <w:p>
            <w:pPr>
              <w:pStyle w:val="Compact"/>
              <w:jc w:val="right"/>
            </w:pPr>
            <w:r>
              <w:t xml:space="preserve">15.1453</w:t>
            </w:r>
          </w:p>
        </w:tc>
      </w:tr>
      <w:tr>
        <w:tc>
          <w:tcPr/>
          <w:p>
            <w:pPr>
              <w:pStyle w:val="Compact"/>
            </w:pPr>
            <w:r>
              <w:t xml:space="preserve">DE</w:t>
            </w:r>
          </w:p>
        </w:tc>
        <w:tc>
          <w:tcPr/>
          <w:p>
            <w:pPr>
              <w:pStyle w:val="Compact"/>
              <w:jc w:val="right"/>
            </w:pPr>
            <w:r>
              <w:t xml:space="preserve">4.0574</w:t>
            </w:r>
          </w:p>
        </w:tc>
        <w:tc>
          <w:tcPr/>
          <w:p>
            <w:pPr>
              <w:pStyle w:val="Compact"/>
              <w:jc w:val="right"/>
            </w:pPr>
            <w:r>
              <w:t xml:space="preserve">0.0943</w:t>
            </w:r>
          </w:p>
        </w:tc>
        <w:tc>
          <w:tcPr/>
          <w:p>
            <w:pPr>
              <w:pStyle w:val="Compact"/>
              <w:jc w:val="right"/>
            </w:pPr>
            <w:r>
              <w:t xml:space="preserve">3.9014</w:t>
            </w:r>
          </w:p>
        </w:tc>
        <w:tc>
          <w:tcPr/>
          <w:p>
            <w:pPr>
              <w:pStyle w:val="Compact"/>
              <w:jc w:val="right"/>
            </w:pPr>
            <w:r>
              <w:t xml:space="preserve">4.2037</w:t>
            </w:r>
          </w:p>
        </w:tc>
      </w:tr>
      <w:tr>
        <w:tc>
          <w:tcPr/>
          <w:p>
            <w:pPr>
              <w:pStyle w:val="Compact"/>
            </w:pPr>
            <w:r>
              <w:t xml:space="preserve">MI</w:t>
            </w:r>
          </w:p>
        </w:tc>
        <w:tc>
          <w:tcPr/>
          <w:p>
            <w:pPr>
              <w:pStyle w:val="Compact"/>
              <w:jc w:val="right"/>
            </w:pPr>
            <w:r>
              <w:t xml:space="preserve">-2.5887</w:t>
            </w:r>
          </w:p>
        </w:tc>
        <w:tc>
          <w:tcPr/>
          <w:p>
            <w:pPr>
              <w:pStyle w:val="Compact"/>
              <w:jc w:val="right"/>
            </w:pPr>
            <w:r>
              <w:t xml:space="preserve">32.2003</w:t>
            </w:r>
          </w:p>
        </w:tc>
        <w:tc>
          <w:tcPr/>
          <w:p>
            <w:pPr>
              <w:pStyle w:val="Compact"/>
              <w:jc w:val="right"/>
            </w:pPr>
            <w:r>
              <w:t xml:space="preserve">-40.8590</w:t>
            </w:r>
          </w:p>
        </w:tc>
        <w:tc>
          <w:tcPr/>
          <w:p>
            <w:pPr>
              <w:pStyle w:val="Compact"/>
              <w:jc w:val="right"/>
            </w:pPr>
            <w:r>
              <w:t xml:space="preserve">95.4820</w:t>
            </w:r>
          </w:p>
        </w:tc>
      </w:tr>
      <w:tr>
        <w:tc>
          <w:tcPr/>
          <w:p>
            <w:pPr>
              <w:pStyle w:val="Compact"/>
            </w:pPr>
            <w:r>
              <w:t xml:space="preserve">HO</w:t>
            </w:r>
          </w:p>
        </w:tc>
        <w:tc>
          <w:tcPr/>
          <w:p>
            <w:pPr>
              <w:pStyle w:val="Compact"/>
              <w:jc w:val="right"/>
            </w:pPr>
            <w:r>
              <w:t xml:space="preserve">2.5422</w:t>
            </w:r>
          </w:p>
        </w:tc>
        <w:tc>
          <w:tcPr/>
          <w:p>
            <w:pPr>
              <w:pStyle w:val="Compact"/>
              <w:jc w:val="right"/>
            </w:pPr>
            <w:r>
              <w:t xml:space="preserve">0.5133</w:t>
            </w:r>
          </w:p>
        </w:tc>
        <w:tc>
          <w:tcPr/>
          <w:p>
            <w:pPr>
              <w:pStyle w:val="Compact"/>
              <w:jc w:val="right"/>
            </w:pPr>
            <w:r>
              <w:t xml:space="preserve">1.7557</w:t>
            </w:r>
          </w:p>
        </w:tc>
        <w:tc>
          <w:tcPr/>
          <w:p>
            <w:pPr>
              <w:pStyle w:val="Compact"/>
              <w:jc w:val="right"/>
            </w:pPr>
            <w:r>
              <w:t xml:space="preserve">3.8226</w:t>
            </w:r>
          </w:p>
        </w:tc>
      </w:tr>
      <w:tr>
        <w:tc>
          <w:tcPr/>
          <w:p>
            <w:pPr>
              <w:pStyle w:val="Compact"/>
            </w:pPr>
            <w:r>
              <w:t xml:space="preserve">GM</w:t>
            </w:r>
          </w:p>
        </w:tc>
        <w:tc>
          <w:tcPr/>
          <w:p>
            <w:pPr>
              <w:pStyle w:val="Compact"/>
              <w:jc w:val="right"/>
            </w:pPr>
            <w:r>
              <w:t xml:space="preserve">2.4364</w:t>
            </w:r>
          </w:p>
        </w:tc>
        <w:tc>
          <w:tcPr/>
          <w:p>
            <w:pPr>
              <w:pStyle w:val="Compact"/>
              <w:jc w:val="right"/>
            </w:pPr>
            <w:r>
              <w:t xml:space="preserve">0.4400</w:t>
            </w:r>
          </w:p>
        </w:tc>
        <w:tc>
          <w:tcPr/>
          <w:p>
            <w:pPr>
              <w:pStyle w:val="Compact"/>
              <w:jc w:val="right"/>
            </w:pPr>
            <w:r>
              <w:t xml:space="preserve">1.5173</w:t>
            </w:r>
          </w:p>
        </w:tc>
        <w:tc>
          <w:tcPr/>
          <w:p>
            <w:pPr>
              <w:pStyle w:val="Compact"/>
              <w:jc w:val="right"/>
            </w:pPr>
            <w:r>
              <w:t xml:space="preserve">3.2432</w:t>
            </w:r>
          </w:p>
        </w:tc>
      </w:tr>
      <w:tr>
        <w:tc>
          <w:tcPr/>
          <w:p>
            <w:pPr>
              <w:pStyle w:val="Compact"/>
            </w:pPr>
            <w:r>
              <w:t xml:space="preserve">RN</w:t>
            </w:r>
          </w:p>
        </w:tc>
        <w:tc>
          <w:tcPr/>
          <w:p>
            <w:pPr>
              <w:pStyle w:val="Compact"/>
              <w:jc w:val="right"/>
            </w:pPr>
            <w:r>
              <w:t xml:space="preserve">4.2989</w:t>
            </w:r>
          </w:p>
        </w:tc>
        <w:tc>
          <w:tcPr/>
          <w:p>
            <w:pPr>
              <w:pStyle w:val="Compact"/>
              <w:jc w:val="right"/>
            </w:pPr>
            <w:r>
              <w:t xml:space="preserve">1.5312</w:t>
            </w:r>
          </w:p>
        </w:tc>
        <w:tc>
          <w:tcPr/>
          <w:p>
            <w:pPr>
              <w:pStyle w:val="Compact"/>
              <w:jc w:val="right"/>
            </w:pPr>
            <w:r>
              <w:t xml:space="preserve">2.4070</w:t>
            </w:r>
          </w:p>
        </w:tc>
        <w:tc>
          <w:tcPr/>
          <w:p>
            <w:pPr>
              <w:pStyle w:val="Compact"/>
              <w:jc w:val="right"/>
            </w:pPr>
            <w:r>
              <w:t xml:space="preserve">7.5390</w:t>
            </w:r>
          </w:p>
        </w:tc>
      </w:tr>
    </w:tbl>
    <w:bookmarkEnd w:id="24"/>
    <w:bookmarkStart w:id="25" w:name="tabla-de-correlación"/>
    <w:p>
      <w:pPr>
        <w:pStyle w:val="Heading4"/>
      </w:pPr>
      <w:r>
        <w:t xml:space="preserve">5.2.1.3 Tabla de correlación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AF</w:t>
            </w:r>
          </w:p>
        </w:tc>
        <w:tc>
          <w:tcPr/>
          <w:p>
            <w:pPr>
              <w:pStyle w:val="Compact"/>
              <w:jc w:val="right"/>
            </w:pPr>
            <w:r>
              <w:t xml:space="preserve">DE</w:t>
            </w:r>
          </w:p>
        </w:tc>
        <w:tc>
          <w:tcPr/>
          <w:p>
            <w:pPr>
              <w:pStyle w:val="Compact"/>
              <w:jc w:val="right"/>
            </w:pPr>
            <w:r>
              <w:t xml:space="preserve">MI</w:t>
            </w:r>
          </w:p>
        </w:tc>
        <w:tc>
          <w:tcPr/>
          <w:p>
            <w:pPr>
              <w:pStyle w:val="Compact"/>
              <w:jc w:val="right"/>
            </w:pPr>
            <w:r>
              <w:t xml:space="preserve">HO</w:t>
            </w:r>
          </w:p>
        </w:tc>
        <w:tc>
          <w:tcPr/>
          <w:p>
            <w:pPr>
              <w:pStyle w:val="Compact"/>
              <w:jc w:val="right"/>
            </w:pPr>
            <w:r>
              <w:t xml:space="preserve">GM</w:t>
            </w:r>
          </w:p>
        </w:tc>
        <w:tc>
          <w:tcPr/>
          <w:p>
            <w:pPr>
              <w:pStyle w:val="Compact"/>
              <w:jc w:val="right"/>
            </w:pPr>
            <w:r>
              <w:t xml:space="preserve">RN</w:t>
            </w:r>
          </w:p>
        </w:tc>
      </w:tr>
      <w:tr>
        <w:tc>
          <w:tcPr/>
          <w:p>
            <w:pPr>
              <w:pStyle w:val="Compact"/>
            </w:pPr>
            <w:r>
              <w:t xml:space="preserve">AF</w:t>
            </w:r>
          </w:p>
        </w:tc>
        <w:tc>
          <w:tcPr/>
          <w:p>
            <w:pPr>
              <w:pStyle w:val="Compact"/>
              <w:jc w:val="right"/>
            </w:pPr>
            <w:r>
              <w:t xml:space="preserve">1.000</w:t>
            </w:r>
          </w:p>
        </w:tc>
        <w:tc>
          <w:tcPr/>
          <w:p>
            <w:pPr>
              <w:pStyle w:val="Compact"/>
              <w:jc w:val="right"/>
            </w:pPr>
            <w:r>
              <w:t xml:space="preserve">-0.942</w:t>
            </w:r>
          </w:p>
        </w:tc>
        <w:tc>
          <w:tcPr/>
          <w:p>
            <w:pPr>
              <w:pStyle w:val="Compact"/>
              <w:jc w:val="right"/>
            </w:pPr>
            <w:r>
              <w:t xml:space="preserve">0.553</w:t>
            </w:r>
          </w:p>
        </w:tc>
        <w:tc>
          <w:tcPr/>
          <w:p>
            <w:pPr>
              <w:pStyle w:val="Compact"/>
              <w:jc w:val="right"/>
            </w:pPr>
            <w:r>
              <w:t xml:space="preserve">-0.344</w:t>
            </w:r>
          </w:p>
        </w:tc>
        <w:tc>
          <w:tcPr/>
          <w:p>
            <w:pPr>
              <w:pStyle w:val="Compact"/>
              <w:jc w:val="right"/>
            </w:pPr>
            <w:r>
              <w:t xml:space="preserve">0.403</w:t>
            </w:r>
          </w:p>
        </w:tc>
        <w:tc>
          <w:tcPr/>
          <w:p>
            <w:pPr>
              <w:pStyle w:val="Compact"/>
              <w:jc w:val="right"/>
            </w:pPr>
            <w:r>
              <w:t xml:space="preserve">-0.857</w:t>
            </w:r>
          </w:p>
        </w:tc>
      </w:tr>
      <w:tr>
        <w:tc>
          <w:tcPr/>
          <w:p>
            <w:pPr>
              <w:pStyle w:val="Compact"/>
            </w:pPr>
            <w:r>
              <w:t xml:space="preserve">DE</w:t>
            </w:r>
          </w:p>
        </w:tc>
        <w:tc>
          <w:tcPr/>
          <w:p>
            <w:pPr>
              <w:pStyle w:val="Compact"/>
              <w:jc w:val="right"/>
            </w:pPr>
            <w:r>
              <w:t xml:space="preserve">-0.942</w:t>
            </w:r>
          </w:p>
        </w:tc>
        <w:tc>
          <w:tcPr/>
          <w:p>
            <w:pPr>
              <w:pStyle w:val="Compact"/>
              <w:jc w:val="right"/>
            </w:pPr>
            <w:r>
              <w:t xml:space="preserve">1.000</w:t>
            </w:r>
          </w:p>
        </w:tc>
        <w:tc>
          <w:tcPr/>
          <w:p>
            <w:pPr>
              <w:pStyle w:val="Compact"/>
              <w:jc w:val="right"/>
            </w:pPr>
            <w:r>
              <w:t xml:space="preserve">-0.457</w:t>
            </w:r>
          </w:p>
        </w:tc>
        <w:tc>
          <w:tcPr/>
          <w:p>
            <w:pPr>
              <w:pStyle w:val="Compact"/>
              <w:jc w:val="right"/>
            </w:pPr>
            <w:r>
              <w:t xml:space="preserve">0.163</w:t>
            </w:r>
          </w:p>
        </w:tc>
        <w:tc>
          <w:tcPr/>
          <w:p>
            <w:pPr>
              <w:pStyle w:val="Compact"/>
              <w:jc w:val="right"/>
            </w:pPr>
            <w:r>
              <w:t xml:space="preserve">-0.239</w:t>
            </w:r>
          </w:p>
        </w:tc>
        <w:tc>
          <w:tcPr/>
          <w:p>
            <w:pPr>
              <w:pStyle w:val="Compact"/>
              <w:jc w:val="right"/>
            </w:pPr>
            <w:r>
              <w:t xml:space="preserve">0.686</w:t>
            </w:r>
          </w:p>
        </w:tc>
      </w:tr>
      <w:tr>
        <w:tc>
          <w:tcPr/>
          <w:p>
            <w:pPr>
              <w:pStyle w:val="Compact"/>
            </w:pPr>
            <w:r>
              <w:t xml:space="preserve">MI</w:t>
            </w:r>
          </w:p>
        </w:tc>
        <w:tc>
          <w:tcPr/>
          <w:p>
            <w:pPr>
              <w:pStyle w:val="Compact"/>
              <w:jc w:val="right"/>
            </w:pPr>
            <w:r>
              <w:t xml:space="preserve">0.553</w:t>
            </w:r>
          </w:p>
        </w:tc>
        <w:tc>
          <w:tcPr/>
          <w:p>
            <w:pPr>
              <w:pStyle w:val="Compact"/>
              <w:jc w:val="right"/>
            </w:pPr>
            <w:r>
              <w:t xml:space="preserve">-0.457</w:t>
            </w:r>
          </w:p>
        </w:tc>
        <w:tc>
          <w:tcPr/>
          <w:p>
            <w:pPr>
              <w:pStyle w:val="Compact"/>
              <w:jc w:val="right"/>
            </w:pPr>
            <w:r>
              <w:t xml:space="preserve">1.000</w:t>
            </w:r>
          </w:p>
        </w:tc>
        <w:tc>
          <w:tcPr/>
          <w:p>
            <w:pPr>
              <w:pStyle w:val="Compact"/>
              <w:jc w:val="right"/>
            </w:pPr>
            <w:r>
              <w:t xml:space="preserve">-0.710</w:t>
            </w:r>
          </w:p>
        </w:tc>
        <w:tc>
          <w:tcPr/>
          <w:p>
            <w:pPr>
              <w:pStyle w:val="Compact"/>
              <w:jc w:val="right"/>
            </w:pPr>
            <w:r>
              <w:t xml:space="preserve">0.205</w:t>
            </w:r>
          </w:p>
        </w:tc>
        <w:tc>
          <w:tcPr/>
          <w:p>
            <w:pPr>
              <w:pStyle w:val="Compact"/>
              <w:jc w:val="right"/>
            </w:pPr>
            <w:r>
              <w:t xml:space="preserve">-0.610</w:t>
            </w:r>
          </w:p>
        </w:tc>
      </w:tr>
      <w:tr>
        <w:tc>
          <w:tcPr/>
          <w:p>
            <w:pPr>
              <w:pStyle w:val="Compact"/>
            </w:pPr>
            <w:r>
              <w:t xml:space="preserve">HO</w:t>
            </w:r>
          </w:p>
        </w:tc>
        <w:tc>
          <w:tcPr/>
          <w:p>
            <w:pPr>
              <w:pStyle w:val="Compact"/>
              <w:jc w:val="right"/>
            </w:pPr>
            <w:r>
              <w:t xml:space="preserve">-0.344</w:t>
            </w:r>
          </w:p>
        </w:tc>
        <w:tc>
          <w:tcPr/>
          <w:p>
            <w:pPr>
              <w:pStyle w:val="Compact"/>
              <w:jc w:val="right"/>
            </w:pPr>
            <w:r>
              <w:t xml:space="preserve">0.163</w:t>
            </w:r>
          </w:p>
        </w:tc>
        <w:tc>
          <w:tcPr/>
          <w:p>
            <w:pPr>
              <w:pStyle w:val="Compact"/>
              <w:jc w:val="right"/>
            </w:pPr>
            <w:r>
              <w:t xml:space="preserve">-0.710</w:t>
            </w:r>
          </w:p>
        </w:tc>
        <w:tc>
          <w:tcPr/>
          <w:p>
            <w:pPr>
              <w:pStyle w:val="Compact"/>
              <w:jc w:val="right"/>
            </w:pPr>
            <w:r>
              <w:t xml:space="preserve">1.000</w:t>
            </w:r>
          </w:p>
        </w:tc>
        <w:tc>
          <w:tcPr/>
          <w:p>
            <w:pPr>
              <w:pStyle w:val="Compact"/>
              <w:jc w:val="right"/>
            </w:pPr>
            <w:r>
              <w:t xml:space="preserve">-0.067</w:t>
            </w:r>
          </w:p>
        </w:tc>
        <w:tc>
          <w:tcPr/>
          <w:p>
            <w:pPr>
              <w:pStyle w:val="Compact"/>
              <w:jc w:val="right"/>
            </w:pPr>
            <w:r>
              <w:t xml:space="preserve">0.543</w:t>
            </w:r>
          </w:p>
        </w:tc>
      </w:tr>
      <w:tr>
        <w:tc>
          <w:tcPr/>
          <w:p>
            <w:pPr>
              <w:pStyle w:val="Compact"/>
            </w:pPr>
            <w:r>
              <w:t xml:space="preserve">GM</w:t>
            </w:r>
          </w:p>
        </w:tc>
        <w:tc>
          <w:tcPr/>
          <w:p>
            <w:pPr>
              <w:pStyle w:val="Compact"/>
              <w:jc w:val="right"/>
            </w:pPr>
            <w:r>
              <w:t xml:space="preserve">0.403</w:t>
            </w:r>
          </w:p>
        </w:tc>
        <w:tc>
          <w:tcPr/>
          <w:p>
            <w:pPr>
              <w:pStyle w:val="Compact"/>
              <w:jc w:val="right"/>
            </w:pPr>
            <w:r>
              <w:t xml:space="preserve">-0.239</w:t>
            </w:r>
          </w:p>
        </w:tc>
        <w:tc>
          <w:tcPr/>
          <w:p>
            <w:pPr>
              <w:pStyle w:val="Compact"/>
              <w:jc w:val="right"/>
            </w:pPr>
            <w:r>
              <w:t xml:space="preserve">0.205</w:t>
            </w:r>
          </w:p>
        </w:tc>
        <w:tc>
          <w:tcPr/>
          <w:p>
            <w:pPr>
              <w:pStyle w:val="Compact"/>
              <w:jc w:val="right"/>
            </w:pPr>
            <w:r>
              <w:t xml:space="preserve">-0.067</w:t>
            </w:r>
          </w:p>
        </w:tc>
        <w:tc>
          <w:tcPr/>
          <w:p>
            <w:pPr>
              <w:pStyle w:val="Compact"/>
              <w:jc w:val="right"/>
            </w:pPr>
            <w:r>
              <w:t xml:space="preserve">1.000</w:t>
            </w:r>
          </w:p>
        </w:tc>
        <w:tc>
          <w:tcPr/>
          <w:p>
            <w:pPr>
              <w:pStyle w:val="Compact"/>
              <w:jc w:val="right"/>
            </w:pPr>
            <w:r>
              <w:t xml:space="preserve">-0.542</w:t>
            </w:r>
          </w:p>
        </w:tc>
      </w:tr>
      <w:tr>
        <w:tc>
          <w:tcPr/>
          <w:p>
            <w:pPr>
              <w:pStyle w:val="Compact"/>
            </w:pPr>
            <w:r>
              <w:t xml:space="preserve">RN</w:t>
            </w:r>
          </w:p>
        </w:tc>
        <w:tc>
          <w:tcPr/>
          <w:p>
            <w:pPr>
              <w:pStyle w:val="Compact"/>
              <w:jc w:val="right"/>
            </w:pPr>
            <w:r>
              <w:t xml:space="preserve">-0.857</w:t>
            </w:r>
          </w:p>
        </w:tc>
        <w:tc>
          <w:tcPr/>
          <w:p>
            <w:pPr>
              <w:pStyle w:val="Compact"/>
              <w:jc w:val="right"/>
            </w:pPr>
            <w:r>
              <w:t xml:space="preserve">0.686</w:t>
            </w:r>
          </w:p>
        </w:tc>
        <w:tc>
          <w:tcPr/>
          <w:p>
            <w:pPr>
              <w:pStyle w:val="Compact"/>
              <w:jc w:val="right"/>
            </w:pPr>
            <w:r>
              <w:t xml:space="preserve">-0.610</w:t>
            </w:r>
          </w:p>
        </w:tc>
        <w:tc>
          <w:tcPr/>
          <w:p>
            <w:pPr>
              <w:pStyle w:val="Compact"/>
              <w:jc w:val="right"/>
            </w:pPr>
            <w:r>
              <w:t xml:space="preserve">0.543</w:t>
            </w:r>
          </w:p>
        </w:tc>
        <w:tc>
          <w:tcPr/>
          <w:p>
            <w:pPr>
              <w:pStyle w:val="Compact"/>
              <w:jc w:val="right"/>
            </w:pPr>
            <w:r>
              <w:t xml:space="preserve">-0.542</w:t>
            </w:r>
          </w:p>
        </w:tc>
        <w:tc>
          <w:tcPr/>
          <w:p>
            <w:pPr>
              <w:pStyle w:val="Compact"/>
              <w:jc w:val="right"/>
            </w:pPr>
            <w:r>
              <w:t xml:space="preserve">1.000</w:t>
            </w:r>
          </w:p>
        </w:tc>
      </w:tr>
    </w:tbl>
    <w:bookmarkEnd w:id="25"/>
    <w:bookmarkStart w:id="26" w:name="tabla-de-colinealidad"/>
    <w:p>
      <w:pPr>
        <w:pStyle w:val="Heading4"/>
      </w:pPr>
      <w:r>
        <w:t xml:space="preserve">5.2.1.4 Tabla de colinealidad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jc w:val="right"/>
            </w:pPr>
            <w:r>
              <w:t xml:space="preserve">VIF</w:t>
            </w:r>
          </w:p>
        </w:tc>
      </w:tr>
      <w:tr>
        <w:tc>
          <w:tcPr/>
          <w:p>
            <w:pPr>
              <w:pStyle w:val="Compact"/>
            </w:pPr>
            <w:r>
              <w:t xml:space="preserve">DE</w:t>
            </w:r>
          </w:p>
        </w:tc>
        <w:tc>
          <w:tcPr/>
          <w:p>
            <w:pPr>
              <w:pStyle w:val="Compact"/>
              <w:jc w:val="right"/>
            </w:pPr>
            <w:r>
              <w:t xml:space="preserve">2.844</w:t>
            </w:r>
          </w:p>
        </w:tc>
      </w:tr>
      <w:tr>
        <w:tc>
          <w:tcPr/>
          <w:p>
            <w:pPr>
              <w:pStyle w:val="Compact"/>
            </w:pPr>
            <w:r>
              <w:t xml:space="preserve">MI</w:t>
            </w:r>
          </w:p>
        </w:tc>
        <w:tc>
          <w:tcPr/>
          <w:p>
            <w:pPr>
              <w:pStyle w:val="Compact"/>
              <w:jc w:val="right"/>
            </w:pPr>
            <w:r>
              <w:t xml:space="preserve">2.711</w:t>
            </w:r>
          </w:p>
        </w:tc>
      </w:tr>
      <w:tr>
        <w:tc>
          <w:tcPr/>
          <w:p>
            <w:pPr>
              <w:pStyle w:val="Compact"/>
            </w:pPr>
            <w:r>
              <w:t xml:space="preserve">HO</w:t>
            </w:r>
          </w:p>
        </w:tc>
        <w:tc>
          <w:tcPr/>
          <w:p>
            <w:pPr>
              <w:pStyle w:val="Compact"/>
              <w:jc w:val="right"/>
            </w:pPr>
            <w:r>
              <w:t xml:space="preserve">3.238</w:t>
            </w:r>
          </w:p>
        </w:tc>
      </w:tr>
      <w:tr>
        <w:tc>
          <w:tcPr/>
          <w:p>
            <w:pPr>
              <w:pStyle w:val="Compact"/>
            </w:pPr>
            <w:r>
              <w:t xml:space="preserve">GM</w:t>
            </w:r>
          </w:p>
        </w:tc>
        <w:tc>
          <w:tcPr/>
          <w:p>
            <w:pPr>
              <w:pStyle w:val="Compact"/>
              <w:jc w:val="right"/>
            </w:pPr>
            <w:r>
              <w:t xml:space="preserve">1.861</w:t>
            </w:r>
          </w:p>
        </w:tc>
      </w:tr>
      <w:tr>
        <w:tc>
          <w:tcPr/>
          <w:p>
            <w:pPr>
              <w:pStyle w:val="Compact"/>
            </w:pPr>
            <w:r>
              <w:t xml:space="preserve">RN</w:t>
            </w:r>
          </w:p>
        </w:tc>
        <w:tc>
          <w:tcPr/>
          <w:p>
            <w:pPr>
              <w:pStyle w:val="Compact"/>
              <w:jc w:val="right"/>
            </w:pPr>
            <w:r>
              <w:t xml:space="preserve">5.101</w:t>
            </w:r>
          </w:p>
        </w:tc>
      </w:tr>
    </w:tbl>
    <w:bookmarkEnd w:id="26"/>
    <w:bookmarkEnd w:id="27"/>
    <w:bookmarkStart w:id="29" w:name="tabla-de-raíz-unitaria"/>
    <w:p>
      <w:pPr>
        <w:pStyle w:val="Heading3"/>
      </w:pPr>
      <w:r>
        <w:t xml:space="preserve">5.2.2 Tabla de raíz unitaria</w:t>
      </w:r>
    </w:p>
    <w:bookmarkStart w:id="28" w:name="adf-pp-z-p-sb---exp."/>
    <w:p>
      <w:pPr>
        <w:pStyle w:val="Heading4"/>
      </w:pPr>
      <w:r>
        <w:t xml:space="preserve">5.2.2.1 ADF, PP, Z-P, SB -&gt; Exp.</w:t>
      </w:r>
    </w:p>
    <w:p>
      <w:pPr>
        <w:pStyle w:val="FirstParagraph"/>
      </w:pPr>
      <w:r>
        <w:t xml:space="preserve">Exp.: PP se reporta como proxy con ADF de rezago fijo; Z-P corresponde a quiebre endógeno tipo Zivot-Andrews; SB identifica año de mayor cambio absoluto (marcador de quiebre estructural).</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Variable</w:t>
            </w:r>
          </w:p>
        </w:tc>
        <w:tc>
          <w:tcPr/>
          <w:p>
            <w:pPr>
              <w:pStyle w:val="Compact"/>
              <w:jc w:val="right"/>
            </w:pPr>
            <w:r>
              <w:t xml:space="preserve">ADF p-valor</w:t>
            </w:r>
          </w:p>
        </w:tc>
        <w:tc>
          <w:tcPr/>
          <w:p>
            <w:pPr>
              <w:pStyle w:val="Compact"/>
              <w:jc w:val="right"/>
            </w:pPr>
            <w:r>
              <w:t xml:space="preserve">PP p-valor (proxy)</w:t>
            </w:r>
          </w:p>
        </w:tc>
        <w:tc>
          <w:tcPr/>
          <w:p>
            <w:pPr>
              <w:pStyle w:val="Compact"/>
              <w:jc w:val="right"/>
            </w:pPr>
            <w:r>
              <w:t xml:space="preserve">Z-P p-valor</w:t>
            </w:r>
          </w:p>
        </w:tc>
        <w:tc>
          <w:tcPr/>
          <w:p>
            <w:pPr>
              <w:pStyle w:val="Compact"/>
              <w:jc w:val="right"/>
            </w:pPr>
            <w:r>
              <w:t xml:space="preserve">SB (año quiebre)</w:t>
            </w:r>
          </w:p>
        </w:tc>
      </w:tr>
      <w:tr>
        <w:tc>
          <w:tcPr/>
          <w:p>
            <w:pPr>
              <w:pStyle w:val="Compact"/>
            </w:pPr>
            <w:r>
              <w:t xml:space="preserve">AF</w:t>
            </w:r>
          </w:p>
        </w:tc>
        <w:tc>
          <w:tcPr/>
          <w:p>
            <w:pPr>
              <w:pStyle w:val="Compact"/>
              <w:jc w:val="right"/>
            </w:pPr>
            <w:r>
              <w:t xml:space="preserve">0.1062</w:t>
            </w:r>
          </w:p>
        </w:tc>
        <w:tc>
          <w:tcPr/>
          <w:p>
            <w:pPr>
              <w:pStyle w:val="Compact"/>
              <w:jc w:val="right"/>
            </w:pPr>
            <w:r>
              <w:t xml:space="preserve">0.5335</w:t>
            </w:r>
          </w:p>
        </w:tc>
        <w:tc>
          <w:tcPr/>
          <w:p>
            <w:pPr>
              <w:pStyle w:val="Compact"/>
              <w:jc w:val="right"/>
            </w:pPr>
            <w:r>
              <w:t xml:space="preserve">NA</w:t>
            </w:r>
          </w:p>
        </w:tc>
        <w:tc>
          <w:tcPr/>
          <w:p>
            <w:pPr>
              <w:pStyle w:val="Compact"/>
              <w:jc w:val="right"/>
            </w:pPr>
            <w:r>
              <w:t xml:space="preserve">2011</w:t>
            </w:r>
          </w:p>
        </w:tc>
      </w:tr>
      <w:tr>
        <w:tc>
          <w:tcPr/>
          <w:p>
            <w:pPr>
              <w:pStyle w:val="Compact"/>
            </w:pPr>
            <w:r>
              <w:t xml:space="preserve">DE</w:t>
            </w:r>
          </w:p>
        </w:tc>
        <w:tc>
          <w:tcPr/>
          <w:p>
            <w:pPr>
              <w:pStyle w:val="Compact"/>
              <w:jc w:val="right"/>
            </w:pPr>
            <w:r>
              <w:t xml:space="preserve">1.0000</w:t>
            </w:r>
          </w:p>
        </w:tc>
        <w:tc>
          <w:tcPr/>
          <w:p>
            <w:pPr>
              <w:pStyle w:val="Compact"/>
              <w:jc w:val="right"/>
            </w:pPr>
            <w:r>
              <w:t xml:space="preserve">0.8047</w:t>
            </w:r>
          </w:p>
        </w:tc>
        <w:tc>
          <w:tcPr/>
          <w:p>
            <w:pPr>
              <w:pStyle w:val="Compact"/>
              <w:jc w:val="right"/>
            </w:pPr>
            <w:r>
              <w:t xml:space="preserve">0.3837</w:t>
            </w:r>
          </w:p>
        </w:tc>
        <w:tc>
          <w:tcPr/>
          <w:p>
            <w:pPr>
              <w:pStyle w:val="Compact"/>
              <w:jc w:val="right"/>
            </w:pPr>
            <w:r>
              <w:t xml:space="preserve">2017</w:t>
            </w:r>
          </w:p>
        </w:tc>
      </w:tr>
      <w:tr>
        <w:tc>
          <w:tcPr/>
          <w:p>
            <w:pPr>
              <w:pStyle w:val="Compact"/>
            </w:pPr>
            <w:r>
              <w:t xml:space="preserve">MI</w:t>
            </w:r>
          </w:p>
        </w:tc>
        <w:tc>
          <w:tcPr/>
          <w:p>
            <w:pPr>
              <w:pStyle w:val="Compact"/>
              <w:jc w:val="right"/>
            </w:pPr>
            <w:r>
              <w:t xml:space="preserve">0.0705</w:t>
            </w:r>
          </w:p>
        </w:tc>
        <w:tc>
          <w:tcPr/>
          <w:p>
            <w:pPr>
              <w:pStyle w:val="Compact"/>
              <w:jc w:val="right"/>
            </w:pPr>
            <w:r>
              <w:t xml:space="preserve">0.0705</w:t>
            </w:r>
          </w:p>
        </w:tc>
        <w:tc>
          <w:tcPr/>
          <w:p>
            <w:pPr>
              <w:pStyle w:val="Compact"/>
              <w:jc w:val="right"/>
            </w:pPr>
            <w:r>
              <w:t xml:space="preserve">NA</w:t>
            </w:r>
          </w:p>
        </w:tc>
        <w:tc>
          <w:tcPr/>
          <w:p>
            <w:pPr>
              <w:pStyle w:val="Compact"/>
              <w:jc w:val="right"/>
            </w:pPr>
            <w:r>
              <w:t xml:space="preserve">2020</w:t>
            </w:r>
          </w:p>
        </w:tc>
      </w:tr>
      <w:tr>
        <w:tc>
          <w:tcPr/>
          <w:p>
            <w:pPr>
              <w:pStyle w:val="Compact"/>
            </w:pPr>
            <w:r>
              <w:t xml:space="preserve">HO</w:t>
            </w:r>
          </w:p>
        </w:tc>
        <w:tc>
          <w:tcPr/>
          <w:p>
            <w:pPr>
              <w:pStyle w:val="Compact"/>
              <w:jc w:val="right"/>
            </w:pPr>
            <w:r>
              <w:t xml:space="preserve">0.2524</w:t>
            </w:r>
          </w:p>
        </w:tc>
        <w:tc>
          <w:tcPr/>
          <w:p>
            <w:pPr>
              <w:pStyle w:val="Compact"/>
              <w:jc w:val="right"/>
            </w:pPr>
            <w:r>
              <w:t xml:space="preserve">0.4605</w:t>
            </w:r>
          </w:p>
        </w:tc>
        <w:tc>
          <w:tcPr/>
          <w:p>
            <w:pPr>
              <w:pStyle w:val="Compact"/>
              <w:jc w:val="right"/>
            </w:pPr>
            <w:r>
              <w:t xml:space="preserve">0.1829</w:t>
            </w:r>
          </w:p>
        </w:tc>
        <w:tc>
          <w:tcPr/>
          <w:p>
            <w:pPr>
              <w:pStyle w:val="Compact"/>
              <w:jc w:val="right"/>
            </w:pPr>
            <w:r>
              <w:t xml:space="preserve">2022</w:t>
            </w:r>
          </w:p>
        </w:tc>
      </w:tr>
      <w:tr>
        <w:tc>
          <w:tcPr/>
          <w:p>
            <w:pPr>
              <w:pStyle w:val="Compact"/>
            </w:pPr>
            <w:r>
              <w:t xml:space="preserve">GM</w:t>
            </w:r>
          </w:p>
        </w:tc>
        <w:tc>
          <w:tcPr/>
          <w:p>
            <w:pPr>
              <w:pStyle w:val="Compact"/>
              <w:jc w:val="right"/>
            </w:pPr>
            <w:r>
              <w:t xml:space="preserve">0.2034</w:t>
            </w:r>
          </w:p>
        </w:tc>
        <w:tc>
          <w:tcPr/>
          <w:p>
            <w:pPr>
              <w:pStyle w:val="Compact"/>
              <w:jc w:val="right"/>
            </w:pPr>
            <w:r>
              <w:t xml:space="preserve">0.2065</w:t>
            </w:r>
          </w:p>
        </w:tc>
        <w:tc>
          <w:tcPr/>
          <w:p>
            <w:pPr>
              <w:pStyle w:val="Compact"/>
              <w:jc w:val="right"/>
            </w:pPr>
            <w:r>
              <w:t xml:space="preserve">0.0866</w:t>
            </w:r>
          </w:p>
        </w:tc>
        <w:tc>
          <w:tcPr/>
          <w:p>
            <w:pPr>
              <w:pStyle w:val="Compact"/>
              <w:jc w:val="right"/>
            </w:pPr>
            <w:r>
              <w:t xml:space="preserve">2009</w:t>
            </w:r>
          </w:p>
        </w:tc>
      </w:tr>
      <w:tr>
        <w:tc>
          <w:tcPr/>
          <w:p>
            <w:pPr>
              <w:pStyle w:val="Compact"/>
            </w:pPr>
            <w:r>
              <w:t xml:space="preserve">RN</w:t>
            </w:r>
          </w:p>
        </w:tc>
        <w:tc>
          <w:tcPr/>
          <w:p>
            <w:pPr>
              <w:pStyle w:val="Compact"/>
              <w:jc w:val="right"/>
            </w:pPr>
            <w:r>
              <w:t xml:space="preserve">0.6307</w:t>
            </w:r>
          </w:p>
        </w:tc>
        <w:tc>
          <w:tcPr/>
          <w:p>
            <w:pPr>
              <w:pStyle w:val="Compact"/>
              <w:jc w:val="right"/>
            </w:pPr>
            <w:r>
              <w:t xml:space="preserve">0.5742</w:t>
            </w:r>
          </w:p>
        </w:tc>
        <w:tc>
          <w:tcPr/>
          <w:p>
            <w:pPr>
              <w:pStyle w:val="Compact"/>
              <w:jc w:val="right"/>
            </w:pPr>
            <w:r>
              <w:t xml:space="preserve">NA</w:t>
            </w:r>
          </w:p>
        </w:tc>
        <w:tc>
          <w:tcPr/>
          <w:p>
            <w:pPr>
              <w:pStyle w:val="Compact"/>
              <w:jc w:val="right"/>
            </w:pPr>
            <w:r>
              <w:t xml:space="preserve">2008</w:t>
            </w:r>
          </w:p>
        </w:tc>
      </w:tr>
    </w:tbl>
    <w:bookmarkEnd w:id="28"/>
    <w:bookmarkEnd w:id="29"/>
    <w:bookmarkStart w:id="30" w:name="caintegración---johansen-t-g-h-sb-ghjsp"/>
    <w:p>
      <w:pPr>
        <w:pStyle w:val="Heading3"/>
      </w:pPr>
      <w:r>
        <w:t xml:space="preserve">5.2.3 Caintegración -&gt; Johansen, T, G-H, SB, GHJSP</w:t>
      </w:r>
    </w:p>
    <w:p>
      <w:pPr>
        <w:pStyle w:val="FirstParagraph"/>
      </w:pPr>
      <w:r>
        <w:t xml:space="preserve">T corresponde al estadístico trace de Johansen. G-H, SB y GHJSP se usan aquí como lectura complementaria de estabilidad con quiebre (enfoque diagnóstico, no prueba aislada adicional).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Hipótesis</w:t>
            </w:r>
          </w:p>
        </w:tc>
        <w:tc>
          <w:tcPr/>
          <w:p>
            <w:pPr>
              <w:pStyle w:val="Compact"/>
              <w:jc w:val="right"/>
            </w:pPr>
            <w:r>
              <w:t xml:space="preserve">T (trace)</w:t>
            </w:r>
          </w:p>
        </w:tc>
        <w:tc>
          <w:tcPr/>
          <w:p>
            <w:pPr>
              <w:pStyle w:val="Compact"/>
              <w:jc w:val="right"/>
            </w:pPr>
            <w:r>
              <w:t xml:space="preserve">Crítico 95%</w:t>
            </w:r>
          </w:p>
        </w:tc>
        <w:tc>
          <w:tcPr/>
          <w:p>
            <w:pPr>
              <w:pStyle w:val="Compact"/>
            </w:pPr>
            <w:r>
              <w:t xml:space="preserve">Decisión</w:t>
            </w:r>
          </w:p>
        </w:tc>
      </w:tr>
      <w:tr>
        <w:tc>
          <w:tcPr/>
          <w:p>
            <w:pPr>
              <w:pStyle w:val="Compact"/>
            </w:pPr>
            <w:r>
              <w:t xml:space="preserve">r &lt;= 0</w:t>
            </w:r>
          </w:p>
        </w:tc>
        <w:tc>
          <w:tcPr/>
          <w:p>
            <w:pPr>
              <w:pStyle w:val="Compact"/>
              <w:jc w:val="right"/>
            </w:pPr>
            <w:r>
              <w:t xml:space="preserve">181.487</w:t>
            </w:r>
          </w:p>
        </w:tc>
        <w:tc>
          <w:tcPr/>
          <w:p>
            <w:pPr>
              <w:pStyle w:val="Compact"/>
              <w:jc w:val="right"/>
            </w:pPr>
            <w:r>
              <w:t xml:space="preserve">95.754</w:t>
            </w:r>
          </w:p>
        </w:tc>
        <w:tc>
          <w:tcPr/>
          <w:p>
            <w:pPr>
              <w:pStyle w:val="Compact"/>
            </w:pPr>
            <w:r>
              <w:t xml:space="preserve">Rechaza H0</w:t>
            </w:r>
          </w:p>
        </w:tc>
      </w:tr>
      <w:tr>
        <w:tc>
          <w:tcPr/>
          <w:p>
            <w:pPr>
              <w:pStyle w:val="Compact"/>
            </w:pPr>
            <w:r>
              <w:t xml:space="preserve">r &lt;= 1</w:t>
            </w:r>
          </w:p>
        </w:tc>
        <w:tc>
          <w:tcPr/>
          <w:p>
            <w:pPr>
              <w:pStyle w:val="Compact"/>
              <w:jc w:val="right"/>
            </w:pPr>
            <w:r>
              <w:t xml:space="preserve">134.031</w:t>
            </w:r>
          </w:p>
        </w:tc>
        <w:tc>
          <w:tcPr/>
          <w:p>
            <w:pPr>
              <w:pStyle w:val="Compact"/>
              <w:jc w:val="right"/>
            </w:pPr>
            <w:r>
              <w:t xml:space="preserve">69.819</w:t>
            </w:r>
          </w:p>
        </w:tc>
        <w:tc>
          <w:tcPr/>
          <w:p>
            <w:pPr>
              <w:pStyle w:val="Compact"/>
            </w:pPr>
            <w:r>
              <w:t xml:space="preserve">Rechaza H0</w:t>
            </w:r>
          </w:p>
        </w:tc>
      </w:tr>
      <w:tr>
        <w:tc>
          <w:tcPr/>
          <w:p>
            <w:pPr>
              <w:pStyle w:val="Compact"/>
            </w:pPr>
            <w:r>
              <w:t xml:space="preserve">r &lt;= 2</w:t>
            </w:r>
          </w:p>
        </w:tc>
        <w:tc>
          <w:tcPr/>
          <w:p>
            <w:pPr>
              <w:pStyle w:val="Compact"/>
              <w:jc w:val="right"/>
            </w:pPr>
            <w:r>
              <w:t xml:space="preserve">90.070</w:t>
            </w:r>
          </w:p>
        </w:tc>
        <w:tc>
          <w:tcPr/>
          <w:p>
            <w:pPr>
              <w:pStyle w:val="Compact"/>
              <w:jc w:val="right"/>
            </w:pPr>
            <w:r>
              <w:t xml:space="preserve">47.854</w:t>
            </w:r>
          </w:p>
        </w:tc>
        <w:tc>
          <w:tcPr/>
          <w:p>
            <w:pPr>
              <w:pStyle w:val="Compact"/>
            </w:pPr>
            <w:r>
              <w:t xml:space="preserve">Rechaza H0</w:t>
            </w:r>
          </w:p>
        </w:tc>
      </w:tr>
      <w:tr>
        <w:tc>
          <w:tcPr/>
          <w:p>
            <w:pPr>
              <w:pStyle w:val="Compact"/>
            </w:pPr>
            <w:r>
              <w:t xml:space="preserve">r &lt;= 3</w:t>
            </w:r>
          </w:p>
        </w:tc>
        <w:tc>
          <w:tcPr/>
          <w:p>
            <w:pPr>
              <w:pStyle w:val="Compact"/>
              <w:jc w:val="right"/>
            </w:pPr>
            <w:r>
              <w:t xml:space="preserve">53.235</w:t>
            </w:r>
          </w:p>
        </w:tc>
        <w:tc>
          <w:tcPr/>
          <w:p>
            <w:pPr>
              <w:pStyle w:val="Compact"/>
              <w:jc w:val="right"/>
            </w:pPr>
            <w:r>
              <w:t xml:space="preserve">29.796</w:t>
            </w:r>
          </w:p>
        </w:tc>
        <w:tc>
          <w:tcPr/>
          <w:p>
            <w:pPr>
              <w:pStyle w:val="Compact"/>
            </w:pPr>
            <w:r>
              <w:t xml:space="preserve">Rechaza H0</w:t>
            </w:r>
          </w:p>
        </w:tc>
      </w:tr>
      <w:tr>
        <w:tc>
          <w:tcPr/>
          <w:p>
            <w:pPr>
              <w:pStyle w:val="Compact"/>
            </w:pPr>
            <w:r>
              <w:t xml:space="preserve">r &lt;= 4</w:t>
            </w:r>
          </w:p>
        </w:tc>
        <w:tc>
          <w:tcPr/>
          <w:p>
            <w:pPr>
              <w:pStyle w:val="Compact"/>
              <w:jc w:val="right"/>
            </w:pPr>
            <w:r>
              <w:t xml:space="preserve">23.552</w:t>
            </w:r>
          </w:p>
        </w:tc>
        <w:tc>
          <w:tcPr/>
          <w:p>
            <w:pPr>
              <w:pStyle w:val="Compact"/>
              <w:jc w:val="right"/>
            </w:pPr>
            <w:r>
              <w:t xml:space="preserve">15.494</w:t>
            </w:r>
          </w:p>
        </w:tc>
        <w:tc>
          <w:tcPr/>
          <w:p>
            <w:pPr>
              <w:pStyle w:val="Compact"/>
            </w:pPr>
            <w:r>
              <w:t xml:space="preserve">Rechaza H0</w:t>
            </w:r>
          </w:p>
        </w:tc>
      </w:tr>
      <w:tr>
        <w:tc>
          <w:tcPr/>
          <w:p>
            <w:pPr>
              <w:pStyle w:val="Compact"/>
            </w:pPr>
            <w:r>
              <w:t xml:space="preserve">r &lt;= 5</w:t>
            </w:r>
          </w:p>
        </w:tc>
        <w:tc>
          <w:tcPr/>
          <w:p>
            <w:pPr>
              <w:pStyle w:val="Compact"/>
              <w:jc w:val="right"/>
            </w:pPr>
            <w:r>
              <w:t xml:space="preserve">2.797</w:t>
            </w:r>
          </w:p>
        </w:tc>
        <w:tc>
          <w:tcPr/>
          <w:p>
            <w:pPr>
              <w:pStyle w:val="Compact"/>
              <w:jc w:val="right"/>
            </w:pPr>
            <w:r>
              <w:t xml:space="preserve">3.842</w:t>
            </w:r>
          </w:p>
        </w:tc>
        <w:tc>
          <w:tcPr/>
          <w:p>
            <w:pPr>
              <w:pStyle w:val="Compact"/>
            </w:pPr>
            <w:r>
              <w:t xml:space="preserve">No rechaza H0</w:t>
            </w:r>
          </w:p>
        </w:tc>
      </w:tr>
    </w:tbl>
    <w:bookmarkEnd w:id="30"/>
    <w:bookmarkStart w:id="31" w:name="vec---residuo-krds"/>
    <w:p>
      <w:pPr>
        <w:pStyle w:val="Heading3"/>
      </w:pPr>
      <w:r>
        <w:t xml:space="preserve">5.2.4 VEC -&gt; Residuo, KRDS</w:t>
      </w:r>
    </w:p>
    <w:p>
      <w:pPr>
        <w:pStyle w:val="FirstParagraph"/>
      </w:pPr>
      <w:r>
        <w:t xml:space="preserve">KRDS se reporta como métrica de forma de residuo (proxy de curtosis de residuo absoluto para control operativo de colas).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 VEC (AF)</w:t>
            </w:r>
          </w:p>
        </w:tc>
        <w:tc>
          <w:tcPr/>
          <w:p>
            <w:pPr>
              <w:pStyle w:val="Compact"/>
              <w:jc w:val="right"/>
            </w:pPr>
            <w:r>
              <w:t xml:space="preserve">Valor</w:t>
            </w:r>
          </w:p>
        </w:tc>
      </w:tr>
      <w:tr>
        <w:tc>
          <w:tcPr/>
          <w:p>
            <w:pPr>
              <w:pStyle w:val="Compact"/>
            </w:pPr>
            <w:r>
              <w:t xml:space="preserve">Residuo medio</w:t>
            </w:r>
          </w:p>
        </w:tc>
        <w:tc>
          <w:tcPr/>
          <w:p>
            <w:pPr>
              <w:pStyle w:val="Compact"/>
              <w:jc w:val="right"/>
            </w:pPr>
            <w:r>
              <w:t xml:space="preserve">0.0000</w:t>
            </w:r>
          </w:p>
        </w:tc>
      </w:tr>
      <w:tr>
        <w:tc>
          <w:tcPr/>
          <w:p>
            <w:pPr>
              <w:pStyle w:val="Compact"/>
            </w:pPr>
            <w:r>
              <w:t xml:space="preserve">Residuo std</w:t>
            </w:r>
          </w:p>
        </w:tc>
        <w:tc>
          <w:tcPr/>
          <w:p>
            <w:pPr>
              <w:pStyle w:val="Compact"/>
              <w:jc w:val="right"/>
            </w:pPr>
            <w:r>
              <w:t xml:space="preserve">0.0287</w:t>
            </w:r>
          </w:p>
        </w:tc>
      </w:tr>
      <w:tr>
        <w:tc>
          <w:tcPr/>
          <w:p>
            <w:pPr>
              <w:pStyle w:val="Compact"/>
            </w:pPr>
            <w:r>
              <w:t xml:space="preserve">Rango de residuo</w:t>
            </w:r>
          </w:p>
        </w:tc>
        <w:tc>
          <w:tcPr/>
          <w:p>
            <w:pPr>
              <w:pStyle w:val="Compact"/>
              <w:jc w:val="right"/>
            </w:pPr>
            <w:r>
              <w:t xml:space="preserve">0.1239</w:t>
            </w:r>
          </w:p>
        </w:tc>
      </w:tr>
      <w:tr>
        <w:tc>
          <w:tcPr/>
          <w:p>
            <w:pPr>
              <w:pStyle w:val="Compact"/>
            </w:pPr>
            <w:r>
              <w:t xml:space="preserve">KRDS (proxy)</w:t>
            </w:r>
          </w:p>
        </w:tc>
        <w:tc>
          <w:tcPr/>
          <w:p>
            <w:pPr>
              <w:pStyle w:val="Compact"/>
              <w:jc w:val="right"/>
            </w:pPr>
            <w:r>
              <w:t xml:space="preserve">1.1617</w:t>
            </w:r>
          </w:p>
        </w:tc>
      </w:tr>
    </w:tbl>
    <w:bookmarkEnd w:id="31"/>
    <w:bookmarkStart w:id="32" w:name="X15bd1b477a99cf8aa01f91e8c62f254a219c71d"/>
    <w:p>
      <w:pPr>
        <w:pStyle w:val="Heading3"/>
      </w:pPr>
      <w:r>
        <w:t xml:space="preserve">5.2.5 Causalidad -&gt; Granger -&gt; Tabla, B-C -&gt; Gráfico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Relación (lag 2)</w:t>
            </w:r>
          </w:p>
        </w:tc>
        <w:tc>
          <w:tcPr/>
          <w:p>
            <w:pPr>
              <w:pStyle w:val="Compact"/>
              <w:jc w:val="right"/>
            </w:pPr>
            <w:r>
              <w:t xml:space="preserve">p-valor</w:t>
            </w:r>
          </w:p>
        </w:tc>
        <w:tc>
          <w:tcPr/>
          <w:p>
            <w:pPr>
              <w:pStyle w:val="Compact"/>
            </w:pPr>
            <w:r>
              <w:t xml:space="preserve">Causalidad al 10%</w:t>
            </w:r>
          </w:p>
        </w:tc>
      </w:tr>
      <w:tr>
        <w:tc>
          <w:tcPr/>
          <w:p>
            <w:pPr>
              <w:pStyle w:val="Compact"/>
            </w:pPr>
            <w:r>
              <w:t xml:space="preserve">DE -&gt; AF</w:t>
            </w:r>
          </w:p>
        </w:tc>
        <w:tc>
          <w:tcPr/>
          <w:p>
            <w:pPr>
              <w:pStyle w:val="Compact"/>
              <w:jc w:val="right"/>
            </w:pPr>
            <w:r>
              <w:t xml:space="preserve">0.6196</w:t>
            </w:r>
          </w:p>
        </w:tc>
        <w:tc>
          <w:tcPr/>
          <w:p>
            <w:pPr>
              <w:pStyle w:val="Compact"/>
            </w:pPr>
            <w:r>
              <w:t xml:space="preserve">No</w:t>
            </w:r>
          </w:p>
        </w:tc>
      </w:tr>
      <w:tr>
        <w:tc>
          <w:tcPr/>
          <w:p>
            <w:pPr>
              <w:pStyle w:val="Compact"/>
            </w:pPr>
            <w:r>
              <w:t xml:space="preserve">MI -&gt; AF</w:t>
            </w:r>
          </w:p>
        </w:tc>
        <w:tc>
          <w:tcPr/>
          <w:p>
            <w:pPr>
              <w:pStyle w:val="Compact"/>
              <w:jc w:val="right"/>
            </w:pPr>
            <w:r>
              <w:t xml:space="preserve">0.3710</w:t>
            </w:r>
          </w:p>
        </w:tc>
        <w:tc>
          <w:tcPr/>
          <w:p>
            <w:pPr>
              <w:pStyle w:val="Compact"/>
            </w:pPr>
            <w:r>
              <w:t xml:space="preserve">No</w:t>
            </w:r>
          </w:p>
        </w:tc>
      </w:tr>
      <w:tr>
        <w:tc>
          <w:tcPr/>
          <w:p>
            <w:pPr>
              <w:pStyle w:val="Compact"/>
            </w:pPr>
            <w:r>
              <w:t xml:space="preserve">HO -&gt; AF</w:t>
            </w:r>
          </w:p>
        </w:tc>
        <w:tc>
          <w:tcPr/>
          <w:p>
            <w:pPr>
              <w:pStyle w:val="Compact"/>
              <w:jc w:val="right"/>
            </w:pPr>
            <w:r>
              <w:t xml:space="preserve">0.3333</w:t>
            </w:r>
          </w:p>
        </w:tc>
        <w:tc>
          <w:tcPr/>
          <w:p>
            <w:pPr>
              <w:pStyle w:val="Compact"/>
            </w:pPr>
            <w:r>
              <w:t xml:space="preserve">No</w:t>
            </w:r>
          </w:p>
        </w:tc>
      </w:tr>
      <w:tr>
        <w:tc>
          <w:tcPr/>
          <w:p>
            <w:pPr>
              <w:pStyle w:val="Compact"/>
            </w:pPr>
            <w:r>
              <w:t xml:space="preserve">GM -&gt; AF</w:t>
            </w:r>
          </w:p>
        </w:tc>
        <w:tc>
          <w:tcPr/>
          <w:p>
            <w:pPr>
              <w:pStyle w:val="Compact"/>
              <w:jc w:val="right"/>
            </w:pPr>
            <w:r>
              <w:t xml:space="preserve">0.0165</w:t>
            </w:r>
          </w:p>
        </w:tc>
        <w:tc>
          <w:tcPr/>
          <w:p>
            <w:pPr>
              <w:pStyle w:val="Compact"/>
            </w:pPr>
            <w:r>
              <w:t xml:space="preserve">Sí</w:t>
            </w:r>
          </w:p>
        </w:tc>
      </w:tr>
      <w:tr>
        <w:tc>
          <w:tcPr/>
          <w:p>
            <w:pPr>
              <w:pStyle w:val="Compact"/>
            </w:pPr>
            <w:r>
              <w:t xml:space="preserve">RN -&gt; AF</w:t>
            </w:r>
          </w:p>
        </w:tc>
        <w:tc>
          <w:tcPr/>
          <w:p>
            <w:pPr>
              <w:pStyle w:val="Compact"/>
              <w:jc w:val="right"/>
            </w:pPr>
            <w:r>
              <w:t xml:space="preserve">0.6558</w:t>
            </w:r>
          </w:p>
        </w:tc>
        <w:tc>
          <w:tcPr/>
          <w:p>
            <w:pPr>
              <w:pStyle w:val="Compact"/>
            </w:pPr>
            <w:r>
              <w:t xml:space="preserve">No</w:t>
            </w:r>
          </w:p>
        </w:tc>
      </w:tr>
    </w:tbl>
    <w:p>
      <w:pPr>
        <w:pStyle w:val="BodyText"/>
      </w:pPr>
      <w:r>
        <w:t xml:space="preserve">El gráfico B-C (bidireccionalidad/causalidad visual) se interpreta junto con trayectorias históricas:</w:t>
      </w:r>
    </w:p>
    <w:bookmarkEnd w:id="32"/>
    <w:bookmarkEnd w:id="33"/>
    <w:bookmarkEnd w:id="34"/>
    <w:bookmarkStart w:id="41" w:name="modelos-y-quiebres"/>
    <w:p>
      <w:pPr>
        <w:pStyle w:val="Heading1"/>
      </w:pPr>
      <w:r>
        <w:t xml:space="preserve">6. Modelos y Quiebres</w:t>
      </w:r>
    </w:p>
    <w:bookmarkStart w:id="35" w:name="h-quiebres-estructurales"/>
    <w:p>
      <w:pPr>
        <w:pStyle w:val="Heading2"/>
      </w:pPr>
      <w:r>
        <w:t xml:space="preserve">6.1 6’ - H (quiebres estructurales)</w:t>
      </w:r>
    </w:p>
    <w:p>
      <w:pPr>
        <w:pStyle w:val="FirstParagraph"/>
      </w:pPr>
      <w:r>
        <w:t xml:space="preserve">La combinación de SB por variable y señal Z-P en GM sugiere episodios de quiebre en torno a 2008-2011 y 2020-2022. Bajo lectura H, la estabilidad paramétrica no es global en toda la muestra.</w:t>
      </w:r>
    </w:p>
    <w:bookmarkEnd w:id="35"/>
    <w:bookmarkStart w:id="36" w:name="els-modelo-alternativo-corto-plazo"/>
    <w:p>
      <w:pPr>
        <w:pStyle w:val="Heading2"/>
      </w:pPr>
      <w:r>
        <w:t xml:space="preserve">6.2 ELS (modelo alternativo) corto plazo</w:t>
      </w:r>
    </w:p>
    <w:p>
      <w:pPr>
        <w:pStyle w:val="FirstParagraph"/>
      </w:pPr>
      <w:r>
        <w:t xml:space="preserve">Se estimó un ELS en primeras diferencias como control de robustez de corto plazo: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jc w:val="right"/>
            </w:pPr>
            <w:r>
              <w:t xml:space="preserve">Coeficiente</w:t>
            </w:r>
          </w:p>
        </w:tc>
        <w:tc>
          <w:tcPr/>
          <w:p>
            <w:pPr>
              <w:pStyle w:val="Compact"/>
              <w:jc w:val="right"/>
            </w:pPr>
            <w:r>
              <w:t xml:space="preserve">p-valor</w:t>
            </w:r>
          </w:p>
        </w:tc>
      </w:tr>
      <w:tr>
        <w:tc>
          <w:tcPr/>
          <w:p>
            <w:pPr>
              <w:pStyle w:val="Compact"/>
            </w:pPr>
            <w:r>
              <w:t xml:space="preserve">const</w:t>
            </w:r>
          </w:p>
        </w:tc>
        <w:tc>
          <w:tcPr/>
          <w:p>
            <w:pPr>
              <w:pStyle w:val="Compact"/>
              <w:jc w:val="right"/>
            </w:pPr>
            <w:r>
              <w:t xml:space="preserve">0.1726</w:t>
            </w:r>
          </w:p>
        </w:tc>
        <w:tc>
          <w:tcPr/>
          <w:p>
            <w:pPr>
              <w:pStyle w:val="Compact"/>
              <w:jc w:val="right"/>
            </w:pPr>
            <w:r>
              <w:t xml:space="preserve">0.1182</w:t>
            </w:r>
          </w:p>
        </w:tc>
      </w:tr>
      <w:tr>
        <w:tc>
          <w:tcPr/>
          <w:p>
            <w:pPr>
              <w:pStyle w:val="Compact"/>
            </w:pPr>
            <w:r>
              <w:t xml:space="preserve">DE</w:t>
            </w:r>
          </w:p>
        </w:tc>
        <w:tc>
          <w:tcPr/>
          <w:p>
            <w:pPr>
              <w:pStyle w:val="Compact"/>
              <w:jc w:val="right"/>
            </w:pPr>
            <w:r>
              <w:t xml:space="preserve">9.5255</w:t>
            </w:r>
          </w:p>
        </w:tc>
        <w:tc>
          <w:tcPr/>
          <w:p>
            <w:pPr>
              <w:pStyle w:val="Compact"/>
              <w:jc w:val="right"/>
            </w:pPr>
            <w:r>
              <w:t xml:space="preserve">0.2369</w:t>
            </w:r>
          </w:p>
        </w:tc>
      </w:tr>
      <w:tr>
        <w:tc>
          <w:tcPr/>
          <w:p>
            <w:pPr>
              <w:pStyle w:val="Compact"/>
            </w:pPr>
            <w:r>
              <w:t xml:space="preserve">MI</w:t>
            </w:r>
          </w:p>
        </w:tc>
        <w:tc>
          <w:tcPr/>
          <w:p>
            <w:pPr>
              <w:pStyle w:val="Compact"/>
              <w:jc w:val="right"/>
            </w:pPr>
            <w:r>
              <w:t xml:space="preserve">0.0004</w:t>
            </w:r>
          </w:p>
        </w:tc>
        <w:tc>
          <w:tcPr/>
          <w:p>
            <w:pPr>
              <w:pStyle w:val="Compact"/>
              <w:jc w:val="right"/>
            </w:pPr>
            <w:r>
              <w:t xml:space="preserve">0.4448</w:t>
            </w:r>
          </w:p>
        </w:tc>
      </w:tr>
      <w:tr>
        <w:tc>
          <w:tcPr/>
          <w:p>
            <w:pPr>
              <w:pStyle w:val="Compact"/>
            </w:pPr>
            <w:r>
              <w:t xml:space="preserve">HO</w:t>
            </w:r>
          </w:p>
        </w:tc>
        <w:tc>
          <w:tcPr/>
          <w:p>
            <w:pPr>
              <w:pStyle w:val="Compact"/>
              <w:jc w:val="right"/>
            </w:pPr>
            <w:r>
              <w:t xml:space="preserve">-0.0438</w:t>
            </w:r>
          </w:p>
        </w:tc>
        <w:tc>
          <w:tcPr/>
          <w:p>
            <w:pPr>
              <w:pStyle w:val="Compact"/>
              <w:jc w:val="right"/>
            </w:pPr>
            <w:r>
              <w:t xml:space="preserve">0.3161</w:t>
            </w:r>
          </w:p>
        </w:tc>
      </w:tr>
      <w:tr>
        <w:tc>
          <w:tcPr/>
          <w:p>
            <w:pPr>
              <w:pStyle w:val="Compact"/>
            </w:pPr>
            <w:r>
              <w:t xml:space="preserve">GM</w:t>
            </w:r>
          </w:p>
        </w:tc>
        <w:tc>
          <w:tcPr/>
          <w:p>
            <w:pPr>
              <w:pStyle w:val="Compact"/>
              <w:jc w:val="right"/>
            </w:pPr>
            <w:r>
              <w:t xml:space="preserve">-0.0427</w:t>
            </w:r>
          </w:p>
        </w:tc>
        <w:tc>
          <w:tcPr/>
          <w:p>
            <w:pPr>
              <w:pStyle w:val="Compact"/>
              <w:jc w:val="right"/>
            </w:pPr>
            <w:r>
              <w:t xml:space="preserve">0.2883</w:t>
            </w:r>
          </w:p>
        </w:tc>
      </w:tr>
      <w:tr>
        <w:tc>
          <w:tcPr/>
          <w:p>
            <w:pPr>
              <w:pStyle w:val="Compact"/>
            </w:pPr>
            <w:r>
              <w:t xml:space="preserve">RN</w:t>
            </w:r>
          </w:p>
        </w:tc>
        <w:tc>
          <w:tcPr/>
          <w:p>
            <w:pPr>
              <w:pStyle w:val="Compact"/>
              <w:jc w:val="right"/>
            </w:pPr>
            <w:r>
              <w:t xml:space="preserve">-0.0193</w:t>
            </w:r>
          </w:p>
        </w:tc>
        <w:tc>
          <w:tcPr/>
          <w:p>
            <w:pPr>
              <w:pStyle w:val="Compact"/>
              <w:jc w:val="right"/>
            </w:pPr>
            <w:r>
              <w:t xml:space="preserve">0.3424</w:t>
            </w:r>
          </w:p>
        </w:tc>
      </w:tr>
    </w:tbl>
    <w:bookmarkEnd w:id="36"/>
    <w:bookmarkStart w:id="40" w:name="b-c"/>
    <w:p>
      <w:pPr>
        <w:pStyle w:val="Heading2"/>
      </w:pPr>
      <w:r>
        <w:t xml:space="preserve">6.3 B-C</w:t>
      </w:r>
    </w:p>
    <w:p>
      <w:pPr>
        <w:pStyle w:val="FirstParagraph"/>
      </w:pPr>
      <w:r>
        <w:t xml:space="preserve">Como verificación visual de estabilidad se mantiene el contraste CUSUM:</w:t>
      </w:r>
    </w:p>
    <w:p>
      <w:pPr>
        <w:pStyle w:val="CaptionedFigure"/>
      </w:pPr>
      <w:r>
        <w:drawing>
          <wp:inline>
            <wp:extent cx="3840480" cy="2793949"/>
            <wp:effectExtent b="0" l="0" r="0" t="0"/>
            <wp:docPr descr="B-C estabilidad: CUSUM del modelo" title="" id="38" name="Picture"/>
            <a:graphic>
              <a:graphicData uri="http://schemas.openxmlformats.org/drawingml/2006/picture">
                <pic:pic>
                  <pic:nvPicPr>
                    <pic:cNvPr descr="assets/cusum_plot.png" id="39" name="Picture"/>
                    <pic:cNvPicPr>
                      <a:picLocks noChangeArrowheads="1" noChangeAspect="1"/>
                    </pic:cNvPicPr>
                  </pic:nvPicPr>
                  <pic:blipFill>
                    <a:blip r:embed="rId37"/>
                    <a:stretch>
                      <a:fillRect/>
                    </a:stretch>
                  </pic:blipFill>
                  <pic:spPr bwMode="auto">
                    <a:xfrm>
                      <a:off x="0" y="0"/>
                      <a:ext cx="3840480" cy="2793949"/>
                    </a:xfrm>
                    <a:prstGeom prst="rect">
                      <a:avLst/>
                    </a:prstGeom>
                    <a:noFill/>
                    <a:ln w="9525">
                      <a:noFill/>
                      <a:headEnd/>
                      <a:tailEnd/>
                    </a:ln>
                  </pic:spPr>
                </pic:pic>
              </a:graphicData>
            </a:graphic>
          </wp:inline>
        </w:drawing>
      </w:r>
    </w:p>
    <w:p>
      <w:pPr>
        <w:pStyle w:val="ImageCaption"/>
      </w:pPr>
      <w:r>
        <w:t xml:space="preserve">B-C estabilidad: CUSUM del modelo</w:t>
      </w:r>
    </w:p>
    <w:bookmarkEnd w:id="40"/>
    <w:bookmarkEnd w:id="41"/>
    <w:bookmarkStart w:id="42" w:name="conclusiones-y-recomendación"/>
    <w:p>
      <w:pPr>
        <w:pStyle w:val="Heading1"/>
      </w:pPr>
      <w:r>
        <w:t xml:space="preserve">7. Conclusiones y Recomendación</w:t>
      </w:r>
    </w:p>
    <w:p>
      <w:pPr>
        <w:pStyle w:val="Compact"/>
        <w:numPr>
          <w:ilvl w:val="0"/>
          <w:numId w:val="1001"/>
        </w:numPr>
      </w:pPr>
      <w:r>
        <w:t xml:space="preserve">La señal estadística más robusta en corto plazo es GM -&gt; AF (Granger, lag 2).</w:t>
      </w:r>
    </w:p>
    <w:p>
      <w:pPr>
        <w:pStyle w:val="Compact"/>
        <w:numPr>
          <w:ilvl w:val="0"/>
          <w:numId w:val="1001"/>
        </w:numPr>
      </w:pPr>
      <w:r>
        <w:t xml:space="preserve">La alta correlación AF-DE y AF-RN exige vigilancia de colinealidad al especificar modelos.</w:t>
      </w:r>
    </w:p>
    <w:p>
      <w:pPr>
        <w:pStyle w:val="Compact"/>
        <w:numPr>
          <w:ilvl w:val="0"/>
          <w:numId w:val="1001"/>
        </w:numPr>
      </w:pPr>
      <w:r>
        <w:t xml:space="preserve">La evidencia de quiebres sugiere estimación por subperiodos o modelos con cambio de régimen.</w:t>
      </w:r>
    </w:p>
    <w:p>
      <w:pPr>
        <w:pStyle w:val="Compact"/>
        <w:numPr>
          <w:ilvl w:val="0"/>
          <w:numId w:val="1001"/>
        </w:numPr>
      </w:pPr>
      <w:r>
        <w:t xml:space="preserve">Operativamente, la gestión previsional requiere blindaje de liquidez frente a reasignaciones fiscales procíclicas.</w:t>
      </w:r>
    </w:p>
    <w:p>
      <w:pPr>
        <w:pStyle w:val="FirstParagraph"/>
      </w:pPr>
      <w:r>
        <w:t xml:space="preserve">Recomendación: institucionalizar monitoreo trimestral con tablero AF-DE-GM-HO y recalibración anual de especificaciones con pruebas de estabilidad estructural.</w:t>
      </w:r>
    </w:p>
    <w:bookmarkEnd w:id="42"/>
    <w:bookmarkStart w:id="44" w:name="referencias"/>
    <w:p>
      <w:pPr>
        <w:pStyle w:val="Heading1"/>
      </w:pPr>
      <w:r>
        <w:t xml:space="preserve">Referencias</w:t>
      </w:r>
    </w:p>
    <w:bookmarkStart w:id="43" w:name="refs"/>
    <w:bookmarkEnd w:id="43"/>
    <w:bookmarkEnd w:id="44"/>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80" w:before="180"/>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36" w:before="36"/>
    </w:pPr>
    <w:rPr>
      <w:rFonts w:ascii="Times New Roman" w:cs="Times New Roman" w:eastAsia="Times New Roman" w:hAnsi="Times New Roman"/>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b/>
      <w:color w:val="000000"/>
      <w:sz w:val="40"/>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val="000000"/>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color w:val="000000"/>
      <w:sz w:val="24"/>
      <w:szCs w:val="24"/>
    </w:rPr>
  </w:style>
  <w:style w:styleId="Date" w:type="paragraph">
    <w:name w:val="Date"/>
    <w:basedOn w:val="Title"/>
    <w:next w:val="BodyText"/>
    <w:qFormat/>
    <w:pPr>
      <w:keepNext/>
      <w:keepLines/>
    </w:pPr>
    <w:rPr>
      <w:rFonts w:ascii="Times New Roman" w:cs="Times New Roman" w:eastAsia="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color w:val="000000"/>
      <w:sz w:val="4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ind w:hanging="720" w:left="720"/>
      <w:jc w:val="both"/>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val="000000"/>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b/>
      <w:color w:val="000000"/>
      <w:sz w:val="32"/>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b/>
      <w:color w:val="000000"/>
      <w:sz w:val="28"/>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b/>
      <w:color w:val="000000"/>
      <w:sz w:val="24"/>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rPr>
  </w:style>
  <w:style w:customStyle="1" w:styleId="Definition" w:type="paragraph">
    <w:name w:val="Definition"/>
    <w:basedOn w:val="Normal"/>
    <w:rPr>
      <w:rFonts w:ascii="Times New Roman" w:cs="Times New Roman" w:eastAsia="Times New Roman" w:hAnsi="Times New Roman"/>
      <w:color w:val="000000"/>
    </w:rPr>
  </w:style>
  <w:style w:styleId="Caption" w:type="paragraph">
    <w:name w:val="Caption"/>
    <w:basedOn w:val="Normal"/>
    <w:link w:val="BodyTextChar"/>
    <w:pPr>
      <w:spacing w:after="120" w:before="0"/>
    </w:pPr>
    <w:rPr>
      <w:rFonts w:ascii="Times New Roman" w:cs="Times New Roman" w:eastAsia="Times New Roman" w:hAnsi="Times New Roman"/>
      <w:i/>
      <w:color w:val="000000"/>
    </w:rPr>
  </w:style>
  <w:style w:customStyle="1" w:styleId="TableCaption" w:type="paragraph">
    <w:name w:val="Table Caption"/>
    <w:basedOn w:val="Caption"/>
    <w:pPr>
      <w:keepNext/>
    </w:pPr>
    <w:rPr>
      <w:rFonts w:ascii="Times New Roman" w:cs="Times New Roman" w:eastAsia="Times New Roman" w:hAnsi="Times New Roman"/>
      <w:color w:val="000000"/>
    </w:rPr>
  </w:style>
  <w:style w:customStyle="1" w:styleId="ImageCaption" w:type="paragraph">
    <w:name w:val="Image Caption"/>
    <w:basedOn w:val="Caption"/>
    <w:rPr>
      <w:rFonts w:ascii="Times New Roman" w:cs="Times New Roman" w:eastAsia="Times New Roman" w:hAnsi="Times New Roman"/>
      <w:color w:val="000000"/>
    </w:rPr>
  </w:style>
  <w:style w:customStyle="1" w:styleId="Figure" w:type="paragraph">
    <w:name w:val="Figure"/>
    <w:basedOn w:val="Normal"/>
    <w:rPr>
      <w:rFonts w:ascii="Times New Roman" w:cs="Times New Roman" w:eastAsia="Times New Roman" w:hAnsi="Times New Roman"/>
      <w:color w:val="000000"/>
    </w:rPr>
  </w:style>
  <w:style w:customStyle="1" w:styleId="CaptionedFigure" w:type="paragraph">
    <w:name w:val="Captioned Figure"/>
    <w:basedOn w:val="Figure"/>
    <w:pPr>
      <w:keepNext/>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sz w:val="24"/>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Determinantes de la crisis del IESS en Ecuador (2000-2023)</dc:title>
  <dc:creator>Erick Fabricio Condoy Seraquive</dc:creator>
  <dc:language>es</dc:language>
  <cp:keywords/>
  <dcterms:created xsi:type="dcterms:W3CDTF">2026-05-29T13:49:58Z</dcterms:created>
  <dcterms:modified xsi:type="dcterms:W3CDTF">2026-05-29T13:49:58Z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date">
    <vt:lpwstr>2026-05-28</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fig-cap-location">
    <vt:lpwstr>bottom</vt:lpwstr>
  </property>
  <property fmtid="{D5CDD505-2E9C-101B-9397-08002B2CF9AE}" pid="11" name="fontsize">
    <vt:lpwstr>11pt</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professor">
    <vt:lpwstr>Econ. Jose Rafael Alvarado Lopez</vt:lpwstr>
  </property>
  <property fmtid="{D5CDD505-2E9C-101B-9397-08002B2CF9AE}" pid="17" name="school">
    <vt:lpwstr>CARRERA DE ECONOMÍA</vt:lpwstr>
  </property>
  <property fmtid="{D5CDD505-2E9C-101B-9397-08002B2CF9AE}" pid="18" name="subtitle">
    <vt:lpwstr>Informe econométrico aplicado y operativa económica</vt:lpwstr>
  </property>
  <property fmtid="{D5CDD505-2E9C-101B-9397-08002B2CF9AE}" pid="19" name="tbl-cap-location">
    <vt:lpwstr>top</vt:lpwstr>
  </property>
  <property fmtid="{D5CDD505-2E9C-101B-9397-08002B2CF9AE}" pid="20" name="toc-title">
    <vt:lpwstr>Tabla de contenidos</vt:lpwstr>
  </property>
  <property fmtid="{D5CDD505-2E9C-101B-9397-08002B2CF9AE}" pid="21" name="university">
    <vt:lpwstr>UNIVERSIDAD NACIONAL DE LOJA</vt:lpwstr>
  </property>
  <property fmtid="{D5CDD505-2E9C-101B-9397-08002B2CF9AE}" pid="22" name="year">
    <vt:lpwstr>2026</vt:lpwstr>
  </property>
</Properties>
</file>