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3bfed7ade78836a5d201510520686157624618"/>
    <w:p>
      <w:pPr>
        <w:pStyle w:val="Heading1"/>
      </w:pPr>
      <w:r>
        <w:t xml:space="preserve">1. Ecuaciones de Raíz Unitaria y Estacionariedad</w:t>
      </w:r>
    </w:p>
    <w:p>
      <w:pPr>
        <w:pStyle w:val="FirstParagraph"/>
      </w:pPr>
      <w:r>
        <w:t xml:space="preserve">La evaluación del orden de integración de las series temporales del sistema se realiza de forma individual para cada variable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A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G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M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H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F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donde</w:t>
      </w:r>
      <w:r>
        <w:t xml:space="preserve"> </w:t>
      </w:r>
      <m:oMath>
        <m:r>
          <m:t>A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el número de afiliados cotizantes activos del IESS,</w:t>
      </w:r>
      <w:r>
        <w:t xml:space="preserve"> </w:t>
      </w:r>
      <m:oMath>
        <m:r>
          <m:t>G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el gasto militar (% del PIB),</w:t>
      </w:r>
      <w: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la migración neta (miles de personas),</w:t>
      </w:r>
      <w:r>
        <w:t xml:space="preserve"> </w:t>
      </w:r>
      <m:oMath>
        <m:r>
          <m:t>H</m:t>
        </m:r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la tasa de homicidios por cada 100,000 habitantes y</w:t>
      </w:r>
      <w:r>
        <w:t xml:space="preserve"> </w:t>
      </w:r>
      <m:oMath>
        <m:r>
          <m:t>F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la fuerza laboral total.</w:t>
      </w:r>
    </w:p>
    <w:bookmarkStart w:id="10" w:name="prueba-dickey-fuller-aumentada-adf"/>
    <w:p>
      <w:pPr>
        <w:pStyle w:val="Heading2"/>
      </w:pPr>
      <w:r>
        <w:t xml:space="preserve">1.1 Prueba Dickey-Fuller Aumentada (ADF)</w:t>
      </w:r>
    </w:p>
    <w:p>
      <w:pPr>
        <w:pStyle w:val="FirstParagraph"/>
      </w:pPr>
      <w:r>
        <w:t xml:space="preserve">Se estima la regresión auxiliar con constante y tendencia temporal determinista para cada variable:</w:t>
      </w:r>
    </w:p>
    <w:p>
      <w:pPr>
        <w:pStyle w:val="BodyText"/>
      </w:pPr>
      <w:bookmarkStart w:id="9" w:name="eq-adf"/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r>
            <m:t>δ</m:t>
          </m:r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representa la primera diferencia (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denota la tendencia determinista,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el número de rezagos óptimos determinado mediante el Criterio de Información de Schwarz (SIC) para garantizar la ausencia de autocorrelación, y</w:t>
      </w:r>
      <w:r>
        <w:t xml:space="preserve"> </w:t>
      </w:r>
      <m:oMath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i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.</m:t>
        </m:r>
        <m:r>
          <m:t>d</m:t>
        </m:r>
        <m:r>
          <m:rPr>
            <m:sty m:val="p"/>
          </m:rPr>
          <m:t>.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El contraste se define mediante las hipótesis: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(La serie temporal posee raíz unitaria; es no estacionaria).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(La serie temporal es estacionaria en torno a una tendencia determinista).</w:t>
      </w:r>
    </w:p>
    <w:p>
      <w:pPr>
        <w:pStyle w:val="FirstParagraph"/>
      </w:pPr>
      <w:r>
        <w:t xml:space="preserve">El estadístico de prueba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δ</m:t>
                </m:r>
              </m:e>
            </m:acc>
          </m:sub>
        </m:sSub>
      </m:oMath>
      <w:r>
        <w:t xml:space="preserve"> </w:t>
      </w:r>
      <w:r>
        <w:t xml:space="preserve">se contrasta con los valores críticos tabulados por MacKinnon.</w:t>
      </w:r>
    </w:p>
    <w:bookmarkEnd w:id="10"/>
    <w:bookmarkStart w:id="12" w:name="Xc6e74b15c13058f5b1deee495bce7a5c76b8cd3"/>
    <w:p>
      <w:pPr>
        <w:pStyle w:val="Heading2"/>
      </w:pPr>
      <w:r>
        <w:t xml:space="preserve">1.2 Prueba KPSS (Kwiatkowski-Phillips-Schmidt-Shin)</w:t>
      </w:r>
    </w:p>
    <w:p>
      <w:pPr>
        <w:pStyle w:val="FirstParagraph"/>
      </w:pPr>
      <w:r>
        <w:t xml:space="preserve">Como contraste de confirmación robusto, se aplica la prueba KPSS sobre la hipótesis nula de estacionariedad. La serie se descompone como:</w:t>
      </w:r>
    </w:p>
    <w:p>
      <w:pPr>
        <w:pStyle w:val="BodyText"/>
      </w:pPr>
      <w:bookmarkStart w:id="11" w:name="eq-kpss"/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ξ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con 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t>i</m:t>
          </m:r>
          <m:r>
            <m:rPr>
              <m:sty m:val="p"/>
            </m:rPr>
            <m:t>.</m:t>
          </m:r>
          <m:r>
            <m:t>i</m:t>
          </m:r>
          <m:r>
            <m:rPr>
              <m:sty m:val="p"/>
            </m:rPr>
            <m:t>.</m:t>
          </m:r>
          <m:r>
            <m:t>d</m:t>
          </m:r>
          <m:r>
            <m:rPr>
              <m:sty m:val="p"/>
            </m:rPr>
            <m:t>.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un error estacionario y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representa un paseo aleatorio con hipótesis: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(La varianza del paseo aleatorio es nula; la serie es estacionaria).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(La serie posee paseo aleatorio; es no estacionaria).</w:t>
      </w:r>
    </w:p>
    <w:p>
      <w:pPr>
        <w:pStyle w:val="FirstParagraph"/>
      </w:pPr>
      <w:r>
        <w:t xml:space="preserve">El estadístico LM se calcula como</w:t>
      </w:r>
      <w:r>
        <w:t xml:space="preserve"> </w:t>
      </w:r>
      <m:oMath>
        <m:r>
          <m:t>L</m:t>
        </m:r>
        <m:r>
          <m:t>M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Sup>
              <m:e>
                <m:r>
                  <m:t>S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 donde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es la suma acumulada de los residuos de la regresión en niveles, y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 el estimador de Newey-West de la varianza de largo plazo.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ecuaciones-de-cointegración"/>
    <w:p>
      <w:pPr>
        <w:pStyle w:val="Heading1"/>
      </w:pPr>
      <w:r>
        <w:t xml:space="preserve">2. Ecuaciones de Cointegración</w:t>
      </w:r>
    </w:p>
    <w:p>
      <w:pPr>
        <w:pStyle w:val="FirstParagraph"/>
      </w:pPr>
      <w:r>
        <w:t xml:space="preserve">Si las variables son integradas de orden uno,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se evalúa la existencia de relaciones de equilibrio de largo plazo mediante metodologías complementarias.</w:t>
      </w:r>
    </w:p>
    <w:bookmarkStart w:id="19" w:name="cointegración-multivariada-de-johansen"/>
    <w:p>
      <w:pPr>
        <w:pStyle w:val="Heading2"/>
      </w:pPr>
      <w:r>
        <w:t xml:space="preserve">2.1 Cointegración Multivariada de Johansen</w:t>
      </w:r>
    </w:p>
    <w:p>
      <w:pPr>
        <w:pStyle w:val="FirstParagraph"/>
      </w:pPr>
      <w:r>
        <w:t xml:space="preserve">Se formula el modelo de Corrección de Error Vectorial (VECM) para el vector de variables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A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G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M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H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F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BodyText"/>
      </w:pPr>
      <w:bookmarkStart w:id="14" w:name="eq-johansen"/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Π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Φ</m:t>
              </m:r>
              <m:r>
                <m:rPr>
                  <m:sty m:val="b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ε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Donde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rPr>
                    <m:sty m:val="b"/>
                  </m:rP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−</m:t>
        </m:r>
        <m:sSub>
          <m:e>
            <m:r>
              <m:rPr>
                <m:sty m:val="b"/>
              </m:rP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representa la matriz de impacto de largo plazo,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rPr>
                    <m:sty m:val="b"/>
                  </m:rP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captura las respuestas dinámicas de corto plazo, y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contiene la constante y tendencias. El rango de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determina el número de vectores de cointegración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mediante dos contrastes:</w:t>
      </w:r>
    </w:p>
    <w:bookmarkStart w:id="16" w:name="prueba-de-la-traza-lambda_texttrace"/>
    <w:p>
      <w:pPr>
        <w:pStyle w:val="Heading3"/>
      </w:pPr>
      <w:r>
        <w:t xml:space="preserve">2.1.1 Prueba de la Traza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trace</m:t>
            </m:r>
          </m:sub>
        </m:sSub>
      </m:oMath>
      <w:r>
        <w:t xml:space="preserve">)</w:t>
      </w:r>
    </w:p>
    <w:p>
      <w:pPr>
        <w:pStyle w:val="FirstParagraph"/>
      </w:pPr>
      <w:bookmarkStart w:id="15" w:name="eq-trace"/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trace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Compact"/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El número de vectores de cointegración 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El número de vectores de cointegración 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</w:p>
    <w:bookmarkEnd w:id="16"/>
    <w:bookmarkStart w:id="18" w:name="X908a194bfda704790f5dc44a0018766fdedffc2"/>
    <w:p>
      <w:pPr>
        <w:pStyle w:val="Heading3"/>
      </w:pPr>
      <w:r>
        <w:t xml:space="preserve">2.1.2 Prueba del Máximo Valor Propio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)</w:t>
      </w:r>
    </w:p>
    <w:p>
      <w:pPr>
        <w:pStyle w:val="FirstParagraph"/>
      </w:pPr>
      <w:bookmarkStart w:id="17" w:name="eq-max"/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El número de vectores de cointegración 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El número de vectores de cointegración 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8"/>
    <w:bookmarkEnd w:id="19"/>
    <w:bookmarkStart w:id="21" w:name="X9feb85865a36b9ba75a05e4cdce5b089d2a5605"/>
    <w:p>
      <w:pPr>
        <w:pStyle w:val="Heading2"/>
      </w:pPr>
      <w:r>
        <w:t xml:space="preserve">2.2 Prueba de Cointegración por Límites (ARDL F-Bounds Test)</w:t>
      </w:r>
    </w:p>
    <w:p>
      <w:pPr>
        <w:pStyle w:val="FirstParagraph"/>
      </w:pPr>
      <w:r>
        <w:t xml:space="preserve">Para evaluar la cointegración bajo órdenes de integración mixtos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se estima la ecuación auxiliar condicional de corrección de error para la variable de afiliados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A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0" w:name="eq-bounds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t>G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2</m:t>
              </m:r>
            </m:sub>
          </m:sSub>
          <m:r>
            <m:t>M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t>G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t>M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El contraste F conjunto de cointegración se plantea como: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existe relación de largo plazo).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Al menos un 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(Existe una relación de equilibrio de largo plazo).</w:t>
      </w:r>
    </w:p>
    <w:p>
      <w:pPr>
        <w:pStyle w:val="FirstParagraph"/>
      </w:pPr>
      <w:r>
        <w:t xml:space="preserve">El estadístico F calculado se evalúa contra las cotas críticas inferiores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y superiores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 Pesaran.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ecuaciones-de-corrección-de-error-ecm"/>
    <w:p>
      <w:pPr>
        <w:pStyle w:val="Heading1"/>
      </w:pPr>
      <w:r>
        <w:t xml:space="preserve">3. Ecuaciones de Corrección de Error (ECM)</w:t>
      </w:r>
    </w:p>
    <w:p>
      <w:pPr>
        <w:pStyle w:val="FirstParagraph"/>
      </w:pPr>
      <w:r>
        <w:t xml:space="preserve">La presencia de cointegración permite especificar la velocidad de ajuste dinámico hacia el equilibrio a largo plazo.</w:t>
      </w:r>
    </w:p>
    <w:bookmarkStart w:id="25" w:name="ecuación-de-corrección-de-error-del-vecm"/>
    <w:p>
      <w:pPr>
        <w:pStyle w:val="Heading2"/>
      </w:pPr>
      <w:r>
        <w:t xml:space="preserve">3.1 Ecuación de Corrección de Error del VECM</w:t>
      </w:r>
    </w:p>
    <w:p>
      <w:pPr>
        <w:pStyle w:val="FirstParagraph"/>
      </w:pPr>
      <w:r>
        <w:t xml:space="preserve">Para el sistema cointegrado con rango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 la ecuación para la dinámica de corto plazo de la afiliación al IESS es:</w:t>
      </w:r>
    </w:p>
    <w:p>
      <w:pPr>
        <w:pStyle w:val="BodyText"/>
      </w:pPr>
      <w:bookmarkStart w:id="23" w:name="eq-vecm-ecm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E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r>
            <m:rPr>
              <m:sty m:val="p"/>
            </m:rPr>
            <m:t>Δ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Donde el término de corrección de error de largo plazo rezagado es:</w:t>
      </w:r>
    </w:p>
    <w:p>
      <w:pPr>
        <w:pStyle w:val="BodyText"/>
      </w:pPr>
      <w:bookmarkStart w:id="24" w:name="eq-vecm-ect"/>
      <m:oMathPara>
        <m:oMathParaPr>
          <m:jc m:val="center"/>
        </m:oMathParaPr>
        <m:oMath>
          <m:r>
            <m:t>E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G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4"/>
    </w:p>
    <w:p>
      <w:pPr>
        <w:pStyle w:val="FirstParagraph"/>
      </w:pPr>
      <w:r>
        <w:t xml:space="preserve">El coeficiente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representa la velocidad de ajuste actuarial. Fisiológicamente se requiere que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y sea estadísticamente significativo para asegurar la convergencia dinámica.</w:t>
      </w:r>
    </w:p>
    <w:bookmarkEnd w:id="25"/>
    <w:bookmarkStart w:id="28" w:name="X924f4f0950a55343935877feb71228269b8e692"/>
    <w:p>
      <w:pPr>
        <w:pStyle w:val="Heading2"/>
      </w:pPr>
      <w:r>
        <w:t xml:space="preserve">3.2 Ecuación de Corrección de Error del ARDL-ECM</w:t>
      </w:r>
    </w:p>
    <w:p>
      <w:pPr>
        <w:pStyle w:val="FirstParagraph"/>
      </w:pPr>
      <w:r>
        <w:t xml:space="preserve">La especificación uniecuacional óptima estimada para evaluar la dinámica de los afiliados es:</w:t>
      </w:r>
    </w:p>
    <w:p>
      <w:pPr>
        <w:pStyle w:val="BodyText"/>
      </w:pPr>
      <w:bookmarkStart w:id="26" w:name="eq-ardl-ecm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ϕ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Δ</m:t>
          </m:r>
          <m:r>
            <m:t>G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Δ</m:t>
          </m:r>
          <m:r>
            <m:t>M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q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Sup>
                <m:e>
                  <m:r>
                    <m:t>γ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t>E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Donde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es la velocidad de ajuste actuarial y el término de error rezagado es:</w:t>
      </w:r>
    </w:p>
    <w:p>
      <w:pPr>
        <w:pStyle w:val="BodyText"/>
      </w:pPr>
      <w:bookmarkStart w:id="27" w:name="eq-ardl-ect"/>
      <m:oMathPara>
        <m:oMathParaPr>
          <m:jc m:val="center"/>
        </m:oMathParaPr>
        <m:oMath>
          <m:r>
            <m:t>E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G</m:t>
          </m:r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M</m:t>
          </m:r>
          <m:sSub>
            <m:e>
              <m:r>
                <m:t>I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Los coeficientes de elasticidad de largo plazo se derivan mediante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δ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ecuaciones-de-causalidad"/>
    <w:p>
      <w:pPr>
        <w:pStyle w:val="Heading1"/>
      </w:pPr>
      <w:r>
        <w:t xml:space="preserve">4. Ecuaciones de Causalidad</w:t>
      </w:r>
    </w:p>
    <w:p>
      <w:pPr>
        <w:pStyle w:val="FirstParagraph"/>
      </w:pPr>
      <w:r>
        <w:t xml:space="preserve">La dirección causal de las relaciones dinámicas se contrasta formalmente mediante dos enfoques metodológicos complementarios.</w:t>
      </w:r>
    </w:p>
    <w:bookmarkStart w:id="32" w:name="Xabefe92530292f21d95f0c6b37910d32a6d7186"/>
    <w:p>
      <w:pPr>
        <w:pStyle w:val="Heading2"/>
      </w:pPr>
      <w:r>
        <w:t xml:space="preserve">4.1 Causalidad de Granger en el Marco del VAR (Variables Estacionarias)</w:t>
      </w:r>
    </w:p>
    <w:p>
      <w:pPr>
        <w:pStyle w:val="FirstParagraph"/>
      </w:pPr>
      <w:r>
        <w:t xml:space="preserve">Para cualquier par de variables estacionarias en diferencias del sistema,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la prueba de causalidad temporal estima la regresión:</w:t>
      </w:r>
    </w:p>
    <w:p>
      <w:pPr>
        <w:pStyle w:val="BodyText"/>
      </w:pPr>
      <w:bookmarkStart w:id="30" w:name="eq-granger-var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La hipótesis nula de ausencia de causalidad de Granger de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hacia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es:</w:t>
      </w:r>
    </w:p>
    <w:p>
      <w:pPr>
        <w:pStyle w:val="BodyText"/>
      </w:pPr>
      <w:bookmarkStart w:id="31" w:name="eq-granger-var-null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Se evalúa mediante un test Wald-F conjunto sobre los coeficientes rezagados de la variable explicativa.</w:t>
      </w:r>
    </w:p>
    <w:bookmarkEnd w:id="32"/>
    <w:bookmarkStart w:id="34" w:name="X34621fb8bd229fbd7ce8be032e1d7e463db6665"/>
    <w:p>
      <w:pPr>
        <w:pStyle w:val="Heading2"/>
      </w:pPr>
      <w:r>
        <w:t xml:space="preserve">4.2 Causalidad de Granger en el Marco del VECM (Variables Cointegradas)</w:t>
      </w:r>
    </w:p>
    <w:p>
      <w:pPr>
        <w:pStyle w:val="FirstParagraph"/>
      </w:pPr>
      <w:r>
        <w:t xml:space="preserve">Si las variables están cointegradas, la prueba se especifica incorporando el término de corrección de error rezagado para evitar sesgos por omisión de variables:</w:t>
      </w:r>
    </w:p>
    <w:p>
      <w:pPr>
        <w:pStyle w:val="BodyText"/>
      </w:pPr>
      <w:bookmarkStart w:id="33" w:name="eq-granger-vecm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E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Δ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cualquiera de los regresores explicativos (</w:t>
      </w:r>
      <m:oMath>
        <m:r>
          <m:t>G</m:t>
        </m:r>
        <m:r>
          <m:t>M</m:t>
        </m:r>
        <m:r>
          <m:rPr>
            <m:sty m:val="p"/>
          </m:rPr>
          <m:t>,</m:t>
        </m:r>
        <m:r>
          <m:t>M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H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F</m:t>
        </m:r>
        <m:r>
          <m:t>L</m:t>
        </m:r>
        <m:r>
          <m:rPr>
            <m:sty m:val="p"/>
          </m:rPr>
          <m:t>)</m:t>
        </m:r>
      </m:oMath>
      <w:r>
        <w:t xml:space="preserve">). La formulación permite verificar tres dimensiones independientes de causalidad: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Causalidad de Corto Plazo:</w:t>
      </w:r>
      <w:r>
        <w:t xml:space="preserve"> </w:t>
      </w:r>
      <w:r>
        <w:t xml:space="preserve">Contraste conjunto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(test Wald-F sobre los coeficientes de las variables explicativas rezagadas en diferencias).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Causalidad de Largo Plazo:</w:t>
      </w:r>
      <w:r>
        <w:t xml:space="preserve"> </w:t>
      </w:r>
      <w:r>
        <w:t xml:space="preserve">Contraste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(test de significación t estándar sobre la velocidad de ajuste actuarial).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Causalidad Fuerte o Conjunta:</w:t>
      </w:r>
      <w:r>
        <w:t xml:space="preserve"> </w:t>
      </w:r>
      <w:r>
        <w:t xml:space="preserve">Contraste conjunto de corto y largo plazo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(test Wald F conjunto sobre todas las variables explicativas y el término</w:t>
      </w:r>
      <w:r>
        <w:t xml:space="preserve"> </w:t>
      </w:r>
      <m:oMath>
        <m:r>
          <m:t>E</m:t>
        </m:r>
        <m:r>
          <m:t>C</m:t>
        </m:r>
        <m:sSub>
          <m:e>
            <m:r>
              <m:t>T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2026-05-22T14:45:09Z</dcterms:created>
  <dcterms:modified xsi:type="dcterms:W3CDTF">2026-05-22T14:45:09Z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engines">
    <vt:lpwstr/>
  </property>
  <property fmtid="{D5CDD505-2E9C-101B-9397-08002B2CF9AE}" pid="6" name="faculty">
    <vt:lpwstr>FACULTAD JURÍDICA, SOCIAL Y ADMINISTRATIVA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rofessor">
    <vt:lpwstr>Econ. Jose Rafael Alvarado Lopez</vt:lpwstr>
  </property>
  <property fmtid="{D5CDD505-2E9C-101B-9397-08002B2CF9AE}" pid="12" name="school">
    <vt:lpwstr>CARRERA DE ECONOMÍA</vt:lpwstr>
  </property>
  <property fmtid="{D5CDD505-2E9C-101B-9397-08002B2CF9AE}" pid="13" name="toc-title">
    <vt:lpwstr>Table of contents</vt:lpwstr>
  </property>
  <property fmtid="{D5CDD505-2E9C-101B-9397-08002B2CF9AE}" pid="14" name="university">
    <vt:lpwstr>UNIVERSIDAD NACIONAL DE LOJA</vt:lpwstr>
  </property>
  <property fmtid="{D5CDD505-2E9C-101B-9397-08002B2CF9AE}" pid="15" name="year">
    <vt:lpwstr>2026</vt:lpwstr>
  </property>
</Properties>
</file>