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Erick Fabricio Condoy Seraquive</w:t>
      </w:r>
    </w:p>
    <w:bookmarkStart w:id="9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El presente estudio analiza los retornos a la educación en el mercado laboral ecuatoriano bajo un enfoque de evaluación de impacto. Se busca determinar si la obtención de un título de</w:t>
      </w:r>
      <w:r>
        <w:t xml:space="preserve"> </w:t>
      </w:r>
      <w:r>
        <w:rPr>
          <w:b/>
          <w:bCs/>
        </w:rPr>
        <w:t xml:space="preserve">Educación Superior</w:t>
      </w:r>
      <w:r>
        <w:t xml:space="preserve"> </w:t>
      </w:r>
      <w:r>
        <w:t xml:space="preserve">actúa como un motor de formalización laboral y mejora salarial, aislando el efecto del capital humano de otros factores sociodemográficos</w:t>
      </w:r>
      <w:r>
        <w:t xml:space="preserve"> </w:t>
      </w:r>
      <w:r>
        <w:t xml:space="preserve">(Shmueli 2010)</w:t>
      </w:r>
      <w:r>
        <w:t xml:space="preserve">. Utilizando microdatos de la ENEMDU 2024, se compara a individuos con educación superior frente a aquellos que solo alcanzaron niveles inferiores, aplicando técnicas de emparejamiento para asegurar la comparabilidad.</w:t>
      </w:r>
    </w:p>
    <w:bookmarkEnd w:id="9"/>
    <w:bookmarkStart w:id="11" w:name="descripción-de-variables"/>
    <w:p>
      <w:pPr>
        <w:pStyle w:val="Heading1"/>
      </w:pPr>
      <w:r>
        <w:t xml:space="preserve">Descripción de Variables</w:t>
      </w:r>
    </w:p>
    <w:p>
      <w:pPr>
        <w:pStyle w:val="FirstParagraph"/>
      </w:pPr>
      <w:r>
        <w:t xml:space="preserve">La base de datos se ha filtrado para incluir únicamente a la Población Económicamente Activa (PEA) de entre 15 y 65 años con registros completos de ingresos y sector de ocupación</w:t>
      </w:r>
      <w:r>
        <w:t xml:space="preserve"> </w:t>
      </w:r>
      <w:r>
        <w:t xml:space="preserve">(INEC 2024)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vars-edu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Variables para el análisis de impacto educativo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Descripción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Fuente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Entero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Edad cronológica (15-65 años)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ENEMDU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Género (1: Hombre; 0: Mujer)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ENEMDU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hh_size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Entero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Número de miembros en el hogar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ENEMDU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Sector de residencia (1: Urbana; 0: Rural)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ENEMDU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treated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Posee educación superior (Tratamiento)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ENEMDU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formal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Empleo en el sector formal (Variable de Resultado 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ENEMDU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income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Ingreso laboral mensual en USD (Variable de Resultado 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ENEMDU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metodología"/>
    <w:p>
      <w:pPr>
        <w:pStyle w:val="Heading1"/>
      </w:pPr>
      <w:r>
        <w:t xml:space="preserve">Metodología</w:t>
      </w:r>
    </w:p>
    <w:p>
      <w:pPr>
        <w:pStyle w:val="FirstParagraph"/>
      </w:pPr>
      <w:r>
        <w:t xml:space="preserve">Se emplea el algoritmo de</w:t>
      </w:r>
      <w:r>
        <w:t xml:space="preserve"> </w:t>
      </w:r>
      <w:r>
        <w:rPr>
          <w:b/>
          <w:bCs/>
        </w:rPr>
        <w:t xml:space="preserve">Propensity Score Matching (PSM)</w:t>
      </w:r>
      <w:r>
        <w:t xml:space="preserve"> </w:t>
      </w:r>
      <w:r>
        <w:t xml:space="preserve">con un modelo Logit para estimar la probabilidad de poseer educación superior. El emparejamiento se realiza mediante el método del</w:t>
      </w:r>
      <w:r>
        <w:t xml:space="preserve"> </w:t>
      </w:r>
      <w:r>
        <w:rPr>
          <w:b/>
          <w:bCs/>
        </w:rPr>
        <w:t xml:space="preserve">Vecino más Cercano (1:1)</w:t>
      </w:r>
      <w:r>
        <w:t xml:space="preserve"> </w:t>
      </w:r>
      <w:r>
        <w:t xml:space="preserve">con un</w:t>
      </w:r>
      <w:r>
        <w:t xml:space="preserve"> </w:t>
      </w:r>
      <w:r>
        <w:rPr>
          <w:i/>
          <w:iCs/>
        </w:rPr>
        <w:t xml:space="preserve">caliper</w:t>
      </w:r>
      <w:r>
        <w:t xml:space="preserve"> </w:t>
      </w:r>
      <w:r>
        <w:t xml:space="preserve">de</w:t>
      </w:r>
      <w:r>
        <w:t xml:space="preserve"> </w:t>
      </w:r>
      <m:oMath>
        <m:r>
          <m:t>0.25</m:t>
        </m:r>
        <m:r>
          <m:t>σ</m:t>
        </m:r>
      </m:oMath>
      <w:r>
        <w:t xml:space="preserve">. Se analizan dos indicadores de desempeño laboral: la probabilidad de inserción formal y el nivel de ingresos.</w:t>
      </w:r>
    </w:p>
    <w:bookmarkEnd w:id="12"/>
    <w:bookmarkStart w:id="23" w:name="resultados"/>
    <w:p>
      <w:pPr>
        <w:pStyle w:val="Heading1"/>
      </w:pPr>
      <w:r>
        <w:t xml:space="preserve">Resultados</w:t>
      </w:r>
    </w:p>
    <w:bookmarkStart w:id="13" w:name="efecto-medio-del-tratamiento-att"/>
    <w:p>
      <w:pPr>
        <w:pStyle w:val="Heading2"/>
      </w:pPr>
      <w:r>
        <w:t xml:space="preserve">Efecto Medio del Tratamiento (ATT)</w:t>
      </w:r>
    </w:p>
    <w:p>
      <w:pPr>
        <w:pStyle w:val="FirstParagraph"/>
      </w:pPr>
      <w:r>
        <w:t xml:space="preserve">Los resultados confirman el alto valor del capital humano en el Ecuador. Los individuos con educación superior, comparados con sus pares de similar edad, sexo y ubicación geográfica, presentan: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Formalidad:</w:t>
      </w:r>
      <w:r>
        <w:t xml:space="preserve"> </w:t>
      </w:r>
      <w:r>
        <w:t xml:space="preserve">Un incremento de</w:t>
      </w:r>
      <w:r>
        <w:t xml:space="preserve"> </w:t>
      </w:r>
      <w:r>
        <w:rPr>
          <w:b/>
          <w:bCs/>
        </w:rPr>
        <w:t xml:space="preserve">21.50 puntos porcentuales</w:t>
      </w:r>
      <w:r>
        <w:t xml:space="preserve"> </w:t>
      </w:r>
      <w:r>
        <w:t xml:space="preserve">en la probabilidad de trabajar en el sector formal.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Ingresos:</w:t>
      </w:r>
      <w:r>
        <w:t xml:space="preserve"> </w:t>
      </w:r>
      <w:r>
        <w:t xml:space="preserve">Una ganancia salarial mensual promedio de</w:t>
      </w:r>
      <w:r>
        <w:t xml:space="preserve"> </w:t>
      </w:r>
      <w:r>
        <w:rPr>
          <w:b/>
          <w:bCs/>
        </w:rPr>
        <w:t xml:space="preserve">$313.63 USD</w:t>
      </w:r>
      <w:r>
        <w:t xml:space="preserve">, lo que representa un retorno del</w:t>
      </w:r>
      <w:r>
        <w:t xml:space="preserve"> </w:t>
      </w:r>
      <w:r>
        <w:rPr>
          <w:b/>
          <w:bCs/>
        </w:rPr>
        <w:t xml:space="preserve">81.29%</w:t>
      </w:r>
      <w:r>
        <w:t xml:space="preserve"> </w:t>
      </w:r>
      <w:r>
        <w:t xml:space="preserve">respecto al grupo de control.</w:t>
      </w:r>
    </w:p>
    <w:bookmarkEnd w:id="13"/>
    <w:bookmarkStart w:id="22" w:name="verificación-de-soporte-común-y-balance"/>
    <w:p>
      <w:pPr>
        <w:pStyle w:val="Heading2"/>
      </w:pPr>
      <w:r>
        <w:t xml:space="preserve">Verificación de Soporte Común y Balance</w:t>
      </w:r>
    </w:p>
    <w:p>
      <w:pPr>
        <w:pStyle w:val="FirstParagraph"/>
      </w:pPr>
      <w:r>
        <w:t xml:space="preserve">La</w:t>
      </w:r>
      <w:r>
        <w:t xml:space="preserve"> </w:t>
      </w:r>
      <w:hyperlink w:anchor="fig-pscore-edu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muestra una distribución de puntajes de propensión con un traslape significativo, validando el supuesto de soporte común. La</w:t>
      </w:r>
      <w:r>
        <w:t xml:space="preserve"> </w:t>
      </w:r>
      <w:hyperlink w:anchor="fig-balance-edu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confirma que el emparejamiento logró equilibrar la variable edad entre grupos.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pscore-edu"/>
          <w:p>
            <w:pPr>
              <w:pStyle w:val="Compact"/>
              <w:jc w:val="center"/>
            </w:pPr>
            <w:r>
              <w:drawing>
                <wp:inline>
                  <wp:extent cx="4000500" cy="24003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sults_edu/common_support_edu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Distribución de Propensity Score: Educación Superior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balance-edu"/>
          <w:p>
            <w:pPr>
              <w:pStyle w:val="Compact"/>
              <w:jc w:val="center"/>
            </w:pPr>
            <w:r>
              <w:drawing>
                <wp:inline>
                  <wp:extent cx="4000500" cy="24003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results_edu/age_balance_edu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Balance de Covariables (Edad) Post-Matching</w:t>
            </w:r>
          </w:p>
          <w:bookmarkEnd w:id="21"/>
        </w:tc>
      </w:tr>
    </w:tbl>
    <w:bookmarkEnd w:id="22"/>
    <w:bookmarkEnd w:id="23"/>
    <w:bookmarkStart w:id="24" w:name="conclusión"/>
    <w:p>
      <w:pPr>
        <w:pStyle w:val="Heading1"/>
      </w:pPr>
      <w:r>
        <w:t xml:space="preserve">Conclusión</w:t>
      </w:r>
    </w:p>
    <w:p>
      <w:pPr>
        <w:pStyle w:val="FirstParagraph"/>
      </w:pPr>
      <w:r>
        <w:t xml:space="preserve">La educación superior no solo mejora el flujo de ingresos directos (efecto precio), sino que transforma la calidad del vínculo laboral (efecto estructura) al triplicar prácticamente la probabilidad de acceso a la seguridad social y la formalidad. Estos hallazgos subrayan la importancia de las políticas de acceso a la universidad como mecanismos eficaces de movilidad social y reducción de la precariedad laboral en Ecuador.</w:t>
      </w:r>
    </w:p>
    <w:bookmarkEnd w:id="24"/>
    <w:bookmarkStart w:id="28" w:name="referencias"/>
    <w:p>
      <w:pPr>
        <w:pStyle w:val="Heading1"/>
      </w:pPr>
      <w:r>
        <w:t xml:space="preserve">Referencias</w:t>
      </w:r>
    </w:p>
    <w:bookmarkStart w:id="27" w:name="refs"/>
    <w:bookmarkStart w:id="25" w:name="ref-enemdu2024"/>
    <w:p>
      <w:pPr>
        <w:pStyle w:val="Bibliography"/>
      </w:pPr>
      <w:r>
        <w:t xml:space="preserve">INEC. 2024.</w:t>
      </w:r>
      <w:r>
        <w:t xml:space="preserve"> </w:t>
      </w:r>
      <w:r>
        <w:rPr>
          <w:i/>
          <w:iCs/>
        </w:rPr>
        <w:t xml:space="preserve">Encuesta Nacional de Empleo, Desempleo y Subempleo (ENEMDU): Metodología de Cálculo de La Informalidad</w:t>
      </w:r>
      <w:r>
        <w:t xml:space="preserve">. Instituto Nacional de Estadística y Censos de Ecuador.</w:t>
      </w:r>
    </w:p>
    <w:bookmarkEnd w:id="25"/>
    <w:bookmarkStart w:id="26" w:name="ref-shmueli2010"/>
    <w:p>
      <w:pPr>
        <w:pStyle w:val="Bibliography"/>
      </w:pPr>
      <w:r>
        <w:t xml:space="preserve">Shmueli, Galit. 2010.</w:t>
      </w:r>
      <w:r>
        <w:t xml:space="preserve"> </w:t>
      </w:r>
      <w:r>
        <w:t xml:space="preserve">“To Explain or to Predict?”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25 (3): 289–310.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Erick Fabricio Condoy Seraquive</dc:creator>
  <cp:keywords/>
  <dcterms:created xsi:type="dcterms:W3CDTF">2026-04-20T16:20:40Z</dcterms:created>
  <dcterms:modified xsi:type="dcterms:W3CDTF">2026-04-20T16:20:40Z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ignment">
    <vt:lpwstr>ACD1-B: Evaluación de Impacto — Educación Superior y Formalidad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uthor">
    <vt:lpwstr/>
  </property>
  <property fmtid="{D5CDD505-2E9C-101B-9397-08002B2CF9AE}" pid="7" name="course">
    <vt:lpwstr>Econometría Aplicada</vt:lpwstr>
  </property>
  <property fmtid="{D5CDD505-2E9C-101B-9397-08002B2CF9AE}" pid="8" name="engines">
    <vt:lpwstr/>
  </property>
  <property fmtid="{D5CDD505-2E9C-101B-9397-08002B2CF9AE}" pid="9" name="faculty">
    <vt:lpwstr>Facultad Jurídica, Social y Administrativa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professor">
    <vt:lpwstr>Eco. José Rafael Alvarado López</vt:lpwstr>
  </property>
  <property fmtid="{D5CDD505-2E9C-101B-9397-08002B2CF9AE}" pid="15" name="school">
    <vt:lpwstr>Carrera de Economía</vt:lpwstr>
  </property>
  <property fmtid="{D5CDD505-2E9C-101B-9397-08002B2CF9AE}" pid="16" name="submission_date">
    <vt:lpwstr>20 de abril de 2026</vt:lpwstr>
  </property>
  <property fmtid="{D5CDD505-2E9C-101B-9397-08002B2CF9AE}" pid="17" name="toc-title">
    <vt:lpwstr>Table of contents</vt:lpwstr>
  </property>
  <property fmtid="{D5CDD505-2E9C-101B-9397-08002B2CF9AE}" pid="18" name="university">
    <vt:lpwstr>Universidad Nacional de Loja</vt:lpwstr>
  </property>
</Properties>
</file>