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Erick Fabricio Condoy Seraquive</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drawing>
                <wp:inline>
                  <wp:extent cx="1097280" cy="353324"/>
                  <wp:effectExtent b="0" l="0" r="0" t="0"/>
                  <wp:docPr descr="" title="" id="10" name="Picture"/>
                  <a:graphic>
                    <a:graphicData uri="http://schemas.openxmlformats.org/drawingml/2006/picture">
                      <pic:pic>
                        <pic:nvPicPr>
                          <pic:cNvPr descr="assets/logo_unl.png" id="11" name="Picture"/>
                          <pic:cNvPicPr>
                            <a:picLocks noChangeArrowheads="1" noChangeAspect="1"/>
                          </pic:cNvPicPr>
                        </pic:nvPicPr>
                        <pic:blipFill>
                          <a:blip r:embed="rId9"/>
                          <a:stretch>
                            <a:fillRect/>
                          </a:stretch>
                        </pic:blipFill>
                        <pic:spPr bwMode="auto">
                          <a:xfrm>
                            <a:off x="0" y="0"/>
                            <a:ext cx="1097280" cy="353324"/>
                          </a:xfrm>
                          <a:prstGeom prst="rect">
                            <a:avLst/>
                          </a:prstGeom>
                          <a:noFill/>
                          <a:ln w="9525">
                            <a:noFill/>
                            <a:headEnd/>
                            <a:tailEnd/>
                          </a:ln>
                        </pic:spPr>
                      </pic:pic>
                    </a:graphicData>
                  </a:graphic>
                </wp:inline>
              </w:drawing>
            </w:r>
          </w:p>
        </w:tc>
        <w:tc>
          <w:tcPr/>
          <w:p>
            <w:pPr>
              <w:pStyle w:val="Compact"/>
              <w:jc w:val="right"/>
            </w:pPr>
            <w:r>
              <w:drawing>
                <wp:inline>
                  <wp:extent cx="1097280" cy="388750"/>
                  <wp:effectExtent b="0" l="0" r="0" t="0"/>
                  <wp:docPr descr="" title="" id="13" name="Picture"/>
                  <a:graphic>
                    <a:graphicData uri="http://schemas.openxmlformats.org/drawingml/2006/picture">
                      <pic:pic>
                        <pic:nvPicPr>
                          <pic:cNvPr descr="assets/logo_economia.jpg" id="14" name="Picture"/>
                          <pic:cNvPicPr>
                            <a:picLocks noChangeArrowheads="1" noChangeAspect="1"/>
                          </pic:cNvPicPr>
                        </pic:nvPicPr>
                        <pic:blipFill>
                          <a:blip r:embed="rId12"/>
                          <a:stretch>
                            <a:fillRect/>
                          </a:stretch>
                        </pic:blipFill>
                        <pic:spPr bwMode="auto">
                          <a:xfrm>
                            <a:off x="0" y="0"/>
                            <a:ext cx="1097280" cy="388750"/>
                          </a:xfrm>
                          <a:prstGeom prst="rect">
                            <a:avLst/>
                          </a:prstGeom>
                          <a:noFill/>
                          <a:ln w="9525">
                            <a:noFill/>
                            <a:headEnd/>
                            <a:tailEnd/>
                          </a:ln>
                        </pic:spPr>
                      </pic:pic>
                    </a:graphicData>
                  </a:graphic>
                </wp:inline>
              </w:drawing>
            </w:r>
          </w:p>
        </w:tc>
      </w:tr>
    </w:tbl>
    <w:bookmarkStart w:id="15" w:name="problema-de-investigación"/>
    <w:p>
      <w:pPr>
        <w:pStyle w:val="Heading1"/>
      </w:pPr>
      <w:r>
        <w:t xml:space="preserve">Problema de Investigación</w:t>
      </w:r>
    </w:p>
    <w:p>
      <w:pPr>
        <w:pStyle w:val="FirstParagraph"/>
      </w:pPr>
      <w:r>
        <w:t xml:space="preserve">Ecuador ha experimentado una transformación violenta y acelerada en su panorama de seguridad pública. Tras una década de reducción sostenida en las tasas de homicidios (2011-2018), el país ingresó en una fase de crisis caracterizada por un crecimiento exponencial de la violencia letal, vinculada al crimen organizado transnacional. El problema radica en que las políticas previas, como la prohibición de armas de 2011, parecen haber perdido efectividad frente a las nuevas dinámicas delictivas, generando la necesidad de un re-modelado econométrico que capture estos quiebres estructurales.</w:t>
      </w:r>
    </w:p>
    <w:bookmarkEnd w:id="15"/>
    <w:bookmarkStart w:id="16" w:name="teoría"/>
    <w:p>
      <w:pPr>
        <w:pStyle w:val="Heading1"/>
      </w:pPr>
      <w:r>
        <w:t xml:space="preserve">Teoría</w:t>
      </w:r>
    </w:p>
    <w:p>
      <w:pPr>
        <w:pStyle w:val="FirstParagraph"/>
      </w:pPr>
      <w:r>
        <w:t xml:space="preserve">La investigación se sustenta en dos pilares teóricos:</w:t>
      </w:r>
      <w:r>
        <w:t xml:space="preserve"> </w:t>
      </w:r>
      <w:r>
        <w:t xml:space="preserve">1.</w:t>
      </w:r>
      <w:r>
        <w:t xml:space="preserve"> </w:t>
      </w:r>
      <w:r>
        <w:rPr>
          <w:b/>
          <w:bCs/>
        </w:rPr>
        <w:t xml:space="preserve">Teoría de la Disuasión (Deterrence Theory):</w:t>
      </w:r>
      <w:r>
        <w:t xml:space="preserve"> </w:t>
      </w:r>
      <w:r>
        <w:t xml:space="preserve">Propone que el incremento del</w:t>
      </w:r>
      <w:r>
        <w:t xml:space="preserve"> </w:t>
      </w:r>
      <w:r>
        <w:t xml:space="preserve">“costo”</w:t>
      </w:r>
      <w:r>
        <w:t xml:space="preserve"> </w:t>
      </w:r>
      <w:r>
        <w:t xml:space="preserve">de cometer un crimen (como la restricción de medios para la violencia, ej. armas) reduce la incidencia delictiva</w:t>
      </w:r>
      <w:r>
        <w:t xml:space="preserve"> </w:t>
      </w:r>
      <w:r>
        <w:t xml:space="preserve">(Becker 1968)</w:t>
      </w:r>
      <w:r>
        <w:t xml:space="preserve">.</w:t>
      </w:r>
      <w:r>
        <w:t xml:space="preserve"> </w:t>
      </w:r>
      <w:r>
        <w:t xml:space="preserve">2.</w:t>
      </w:r>
      <w:r>
        <w:t xml:space="preserve"> </w:t>
      </w:r>
      <w:r>
        <w:rPr>
          <w:b/>
          <w:bCs/>
        </w:rPr>
        <w:t xml:space="preserve">Econometría del Crimen y Ruptura Institucional:</w:t>
      </w:r>
      <w:r>
        <w:t xml:space="preserve"> </w:t>
      </w:r>
      <w:r>
        <w:t xml:space="preserve">Analiza cómo cambios en el entorno (pobreza, desempleo, fortaleza institucional) alteran el equilibrio de violencia. En series temporales, esto se manifiesta como quiebres estructurales donde las tendencias históricas son invalidadas por nuevos choques externos</w:t>
      </w:r>
      <w:r>
        <w:t xml:space="preserve"> </w:t>
      </w:r>
      <w:r>
        <w:t xml:space="preserve">(Shmueli 2010)</w:t>
      </w:r>
      <w:r>
        <w:t xml:space="preserve">.</w:t>
      </w:r>
    </w:p>
    <w:bookmarkEnd w:id="16"/>
    <w:bookmarkStart w:id="17" w:name="hipótesis"/>
    <w:p>
      <w:pPr>
        <w:pStyle w:val="Heading1"/>
      </w:pPr>
      <w:r>
        <w:t xml:space="preserve">Hipótesis</w:t>
      </w:r>
    </w:p>
    <w:p>
      <w:pPr>
        <w:pStyle w:val="Compact"/>
        <w:numPr>
          <w:ilvl w:val="0"/>
          <w:numId w:val="1001"/>
        </w:numPr>
      </w:pPr>
      <w:r>
        <w:rPr>
          <w:b/>
          <w:bCs/>
        </w:rPr>
        <w:t xml:space="preserve">H1 (Hipótesis de Disuasión):</w:t>
      </w:r>
      <w:r>
        <w:t xml:space="preserve"> </w:t>
      </w:r>
      <w:r>
        <w:t xml:space="preserve">El Decreto 164 de 2011 generó un quiebre estructural negativo (reducción) en la tasa de homicidios inmediatamente después de su implementación.</w:t>
      </w:r>
    </w:p>
    <w:p>
      <w:pPr>
        <w:pStyle w:val="Compact"/>
        <w:numPr>
          <w:ilvl w:val="0"/>
          <w:numId w:val="1001"/>
        </w:numPr>
      </w:pPr>
      <w:r>
        <w:rPr>
          <w:b/>
          <w:bCs/>
        </w:rPr>
        <w:t xml:space="preserve">H2 (Hipótesis de Invalidez de Régimen):</w:t>
      </w:r>
      <w:r>
        <w:t xml:space="preserve"> </w:t>
      </w:r>
      <w:r>
        <w:t xml:space="preserve">Existe un segundo quiebre estructural a partir de 2019 que revirtió los logros de la política de 2011, causado por un cambio en la naturaleza delictiva del país.</w:t>
      </w:r>
    </w:p>
    <w:bookmarkEnd w:id="17"/>
    <w:bookmarkStart w:id="19" w:name="descripción-de-variables"/>
    <w:p>
      <w:pPr>
        <w:pStyle w:val="Heading1"/>
      </w:pPr>
      <w:r>
        <w:t xml:space="preserve">Descripción de Variables</w:t>
      </w:r>
    </w:p>
    <w:p>
      <w:pPr>
        <w:pStyle w:val="FirstParagraph"/>
      </w:pPr>
      <w:r>
        <w:t xml:space="preserve">Los datos provienen de la síntesis de microdatos de la ENEMDU (INEC) y bases del Banco Mundial, centralizados bajo la arquitectura de la librería</w:t>
      </w:r>
      <w:r>
        <w:t xml:space="preserve"> </w:t>
      </w:r>
      <w:r>
        <w:rPr>
          <w:rStyle w:val="VerbatimChar"/>
        </w:rPr>
        <w:t xml:space="preserve">ecs_quantitative</w:t>
      </w:r>
      <w:r>
        <w:t xml:space="preserve">.</w:t>
      </w:r>
    </w:p>
    <w:tbl>
      <w:tblPr>
        <w:tblStyle w:val="Table"/>
        <w:tblW w:type="pct" w:w="5000"/>
        <w:tblLayout w:type="fixed"/>
        <w:tblLook w:firstRow="0" w:lastRow="0" w:firstColumn="0" w:lastColumn="0" w:noHBand="0" w:noVBand="0" w:val="0000"/>
      </w:tblPr>
      <w:tblGrid>
        <w:gridCol w:w="7920"/>
      </w:tblGrid>
      <w:tr>
        <w:tc>
          <w:tcPr/>
          <w:bookmarkStart w:id="18" w:name="tbl-vars-homicidios"/>
          <w:p>
            <w:pPr>
              <w:jc w:val="center"/>
            </w:pPr>
            <w:pPr>
              <w:jc w:val="left"/>
              <w:spacing w:before="200"/>
              <w:pStyle w:val="ImageCaption"/>
            </w:pPr>
            <w:r>
              <w:t xml:space="preserve">Table 1: Variables integradas para el diagnóstico de impacto en seguridad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left"/>
                    <w:jc w:val="center"/>
                  </w:pPr>
                  <w:r>
                    <w:t xml:space="preserve">Tipo</w:t>
                  </w:r>
                </w:p>
              </w:tc>
              <w:tc>
                <w:tcPr/>
                <w:p>
                  <w:pPr>
                    <w:pStyle w:val="Compact"/>
                    <w:jc w:val="left"/>
                    <w:jc w:val="center"/>
                  </w:pPr>
                  <w:r>
                    <w:t xml:space="preserve">Descripción</w:t>
                  </w:r>
                </w:p>
              </w:tc>
              <w:tc>
                <w:tcPr/>
                <w:p>
                  <w:pPr>
                    <w:pStyle w:val="Compact"/>
                    <w:jc w:val="left"/>
                    <w:jc w:val="center"/>
                  </w:pPr>
                  <w:r>
                    <w:t xml:space="preserve">Fuente</w:t>
                  </w:r>
                </w:p>
              </w:tc>
            </w:tr>
            <w:tr>
              <w:tc>
                <w:tcPr/>
                <w:p>
                  <w:pPr>
                    <w:pStyle w:val="Compact"/>
                    <w:jc w:val="left"/>
                    <w:jc w:val="center"/>
                  </w:pPr>
                  <w:r>
                    <w:rPr>
                      <w:rStyle w:val="VerbatimChar"/>
                    </w:rPr>
                    <w:t xml:space="preserve">year</w:t>
                  </w:r>
                </w:p>
              </w:tc>
              <w:tc>
                <w:tcPr/>
                <w:p>
                  <w:pPr>
                    <w:pStyle w:val="Compact"/>
                    <w:jc w:val="left"/>
                    <w:jc w:val="center"/>
                  </w:pPr>
                  <w:r>
                    <w:t xml:space="preserve">Temporal</w:t>
                  </w:r>
                </w:p>
              </w:tc>
              <w:tc>
                <w:tcPr/>
                <w:p>
                  <w:pPr>
                    <w:pStyle w:val="Compact"/>
                    <w:jc w:val="left"/>
                    <w:jc w:val="center"/>
                  </w:pPr>
                  <w:r>
                    <w:t xml:space="preserve">Año calendario de la observación (1990-2023)</w:t>
                  </w:r>
                </w:p>
              </w:tc>
              <w:tc>
                <w:tcPr/>
                <w:p>
                  <w:pPr>
                    <w:pStyle w:val="Compact"/>
                    <w:jc w:val="left"/>
                    <w:jc w:val="center"/>
                  </w:pPr>
                  <w:r>
                    <w:t xml:space="preserve">INEC</w:t>
                  </w:r>
                </w:p>
              </w:tc>
            </w:tr>
            <w:tr>
              <w:tc>
                <w:tcPr/>
                <w:p>
                  <w:pPr>
                    <w:pStyle w:val="Compact"/>
                    <w:jc w:val="left"/>
                    <w:jc w:val="center"/>
                  </w:pPr>
                  <w:r>
                    <w:rPr>
                      <w:rStyle w:val="VerbatimChar"/>
                    </w:rPr>
                    <w:t xml:space="preserve">homicidios_100k</w:t>
                  </w:r>
                </w:p>
              </w:tc>
              <w:tc>
                <w:tcPr/>
                <w:p>
                  <w:pPr>
                    <w:pStyle w:val="Compact"/>
                    <w:jc w:val="left"/>
                    <w:jc w:val="center"/>
                  </w:pPr>
                  <w:r>
                    <w:t xml:space="preserve">Continuo</w:t>
                  </w:r>
                </w:p>
              </w:tc>
              <w:tc>
                <w:tcPr/>
                <w:p>
                  <w:pPr>
                    <w:pStyle w:val="Compact"/>
                    <w:jc w:val="left"/>
                    <w:jc w:val="center"/>
                  </w:pPr>
                  <w:r>
                    <w:t xml:space="preserve">Tasa de muertes violentas por cada 100k habitantes</w:t>
                  </w:r>
                </w:p>
              </w:tc>
              <w:tc>
                <w:tcPr/>
                <w:p>
                  <w:pPr>
                    <w:pStyle w:val="Compact"/>
                    <w:jc w:val="left"/>
                    <w:jc w:val="center"/>
                  </w:pPr>
                  <w:r>
                    <w:t xml:space="preserve">INEC</w:t>
                  </w:r>
                </w:p>
              </w:tc>
            </w:tr>
            <w:tr>
              <w:tc>
                <w:tcPr/>
                <w:p>
                  <w:pPr>
                    <w:pStyle w:val="Compact"/>
                    <w:jc w:val="left"/>
                    <w:jc w:val="center"/>
                  </w:pPr>
                  <w:r>
                    <w:rPr>
                      <w:rStyle w:val="VerbatimChar"/>
                    </w:rPr>
                    <w:t xml:space="preserve">desempleo_total_ne</w:t>
                  </w:r>
                </w:p>
              </w:tc>
              <w:tc>
                <w:tcPr/>
                <w:p>
                  <w:pPr>
                    <w:pStyle w:val="Compact"/>
                    <w:jc w:val="left"/>
                    <w:jc w:val="center"/>
                  </w:pPr>
                  <w:r>
                    <w:t xml:space="preserve">Continuo</w:t>
                  </w:r>
                </w:p>
              </w:tc>
              <w:tc>
                <w:tcPr/>
                <w:p>
                  <w:pPr>
                    <w:pStyle w:val="Compact"/>
                    <w:jc w:val="left"/>
                    <w:jc w:val="center"/>
                  </w:pPr>
                  <w:r>
                    <w:t xml:space="preserve">Tasa de desempleo nacional (%)</w:t>
                  </w:r>
                </w:p>
              </w:tc>
              <w:tc>
                <w:tcPr/>
                <w:p>
                  <w:pPr>
                    <w:pStyle w:val="Compact"/>
                    <w:jc w:val="left"/>
                    <w:jc w:val="center"/>
                  </w:pPr>
                  <w:r>
                    <w:t xml:space="preserve">Banco Mundial</w:t>
                  </w:r>
                </w:p>
              </w:tc>
            </w:tr>
            <w:tr>
              <w:tc>
                <w:tcPr/>
                <w:p>
                  <w:pPr>
                    <w:pStyle w:val="Compact"/>
                    <w:jc w:val="left"/>
                    <w:jc w:val="center"/>
                  </w:pPr>
                  <w:r>
                    <w:rPr>
                      <w:rStyle w:val="VerbatimChar"/>
                    </w:rPr>
                    <w:t xml:space="preserve">gasto_militar_pct_pib</w:t>
                  </w:r>
                </w:p>
              </w:tc>
              <w:tc>
                <w:tcPr/>
                <w:p>
                  <w:pPr>
                    <w:pStyle w:val="Compact"/>
                    <w:jc w:val="left"/>
                    <w:jc w:val="center"/>
                  </w:pPr>
                  <w:r>
                    <w:t xml:space="preserve">Continuo</w:t>
                  </w:r>
                </w:p>
              </w:tc>
              <w:tc>
                <w:tcPr/>
                <w:p>
                  <w:pPr>
                    <w:pStyle w:val="Compact"/>
                    <w:jc w:val="left"/>
                    <w:jc w:val="center"/>
                  </w:pPr>
                  <w:r>
                    <w:t xml:space="preserve">Inversión en seguridad y defensa respecto al PIB</w:t>
                  </w:r>
                </w:p>
              </w:tc>
              <w:tc>
                <w:tcPr/>
                <w:p>
                  <w:pPr>
                    <w:pStyle w:val="Compact"/>
                    <w:jc w:val="left"/>
                    <w:jc w:val="center"/>
                  </w:pPr>
                  <w:r>
                    <w:t xml:space="preserve">Banco Mundial</w:t>
                  </w:r>
                </w:p>
              </w:tc>
            </w:tr>
            <w:tr>
              <w:tc>
                <w:tcPr/>
                <w:p>
                  <w:pPr>
                    <w:pStyle w:val="Compact"/>
                    <w:jc w:val="left"/>
                    <w:jc w:val="center"/>
                  </w:pPr>
                  <w:r>
                    <w:rPr>
                      <w:rStyle w:val="VerbatimChar"/>
                    </w:rPr>
                    <w:t xml:space="preserve">remesas_pct_pib</w:t>
                  </w:r>
                </w:p>
              </w:tc>
              <w:tc>
                <w:tcPr/>
                <w:p>
                  <w:pPr>
                    <w:pStyle w:val="Compact"/>
                    <w:jc w:val="left"/>
                    <w:jc w:val="center"/>
                  </w:pPr>
                  <w:r>
                    <w:t xml:space="preserve">Continuo</w:t>
                  </w:r>
                </w:p>
              </w:tc>
              <w:tc>
                <w:tcPr/>
                <w:p>
                  <w:pPr>
                    <w:pStyle w:val="Compact"/>
                    <w:jc w:val="left"/>
                    <w:jc w:val="center"/>
                  </w:pPr>
                  <w:r>
                    <w:t xml:space="preserve">Flujo de remesas como proxy de bienestar económico</w:t>
                  </w:r>
                </w:p>
              </w:tc>
              <w:tc>
                <w:tcPr/>
                <w:p>
                  <w:pPr>
                    <w:pStyle w:val="Compact"/>
                    <w:jc w:val="left"/>
                    <w:jc w:val="center"/>
                  </w:pPr>
                  <w:r>
                    <w:t xml:space="preserve">Banco Mundial</w:t>
                  </w:r>
                </w:p>
              </w:tc>
            </w:tr>
          </w:tbl>
          <w:bookmarkEnd w:id="18"/>
          <w:p/>
        </w:tc>
      </w:tr>
    </w:tbl>
    <w:bookmarkEnd w:id="19"/>
    <w:bookmarkStart w:id="20" w:name="metodología"/>
    <w:p>
      <w:pPr>
        <w:pStyle w:val="Heading1"/>
      </w:pPr>
      <w:r>
        <w:t xml:space="preserve">Metodología</w:t>
      </w:r>
    </w:p>
    <w:p>
      <w:pPr>
        <w:pStyle w:val="FirstParagraph"/>
      </w:pPr>
      <w:r>
        <w:t xml:space="preserve">Se implementa un modelo de</w:t>
      </w:r>
      <w:r>
        <w:t xml:space="preserve"> </w:t>
      </w:r>
      <w:r>
        <w:rPr>
          <w:b/>
          <w:bCs/>
        </w:rPr>
        <w:t xml:space="preserve">Series de Tiempo Interrumpidas (ITS) de Doble Quiebre</w:t>
      </w:r>
      <w:r>
        <w:t xml:space="preserve">. A diferencia del modelo estándar, esta especificación captura dos regímenes distintos: la estabilización post-2011 y la disrupción post-2019. Para corregir la autocorrelación detectada (</w:t>
      </w:r>
      <m:oMath>
        <m:r>
          <m:t>D</m:t>
        </m:r>
        <m:r>
          <m:t>W</m:t>
        </m:r>
        <m:r>
          <m:rPr>
            <m:sty m:val="p"/>
          </m:rPr>
          <m:t>≈</m:t>
        </m:r>
        <m:r>
          <m:t>0.6</m:t>
        </m:r>
      </m:oMath>
      <w:r>
        <w:t xml:space="preserve"> </w:t>
      </w:r>
      <w:r>
        <w:t xml:space="preserve">en OLS simple), se emplean</w:t>
      </w:r>
      <w:r>
        <w:t xml:space="preserve"> </w:t>
      </w:r>
      <w:r>
        <w:rPr>
          <w:b/>
          <w:bCs/>
        </w:rPr>
        <w:t xml:space="preserve">Errores Estándar Robustos HAC (Newey-West)</w:t>
      </w:r>
      <w:r>
        <w:t xml:space="preserve">.</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sSub>
            <m:e>
              <m:r>
                <m:t>T</m:t>
              </m:r>
            </m:e>
            <m:sub>
              <m:r>
                <m:t>t</m:t>
              </m:r>
            </m:sub>
          </m:sSub>
          <m:r>
            <m:rPr>
              <m:sty m:val="p"/>
            </m:rPr>
            <m:t>+</m:t>
          </m:r>
          <m:sSub>
            <m:e>
              <m:r>
                <m:t>β</m:t>
              </m:r>
            </m:e>
            <m:sub>
              <m:r>
                <m:t>2</m:t>
              </m:r>
            </m:sub>
          </m:sSub>
          <m:sSub>
            <m:e>
              <m:r>
                <m:t>P</m:t>
              </m:r>
            </m:e>
            <m:sub>
              <m:r>
                <m:t>1</m:t>
              </m:r>
              <m:r>
                <m:rPr>
                  <m:sty m:val="p"/>
                </m:rPr>
                <m:t>,</m:t>
              </m:r>
              <m:r>
                <m:t>t</m:t>
              </m:r>
            </m:sub>
          </m:sSub>
          <m:r>
            <m:rPr>
              <m:sty m:val="p"/>
            </m:rPr>
            <m:t>+</m:t>
          </m:r>
          <m:sSub>
            <m:e>
              <m:r>
                <m:t>β</m:t>
              </m:r>
            </m:e>
            <m:sub>
              <m:r>
                <m:t>3</m:t>
              </m:r>
            </m:sub>
          </m:sSub>
          <m:sSub>
            <m:e>
              <m:r>
                <m:t>Q</m:t>
              </m:r>
            </m:e>
            <m:sub>
              <m:r>
                <m:t>1</m:t>
              </m:r>
              <m:r>
                <m:rPr>
                  <m:sty m:val="p"/>
                </m:rPr>
                <m:t>,</m:t>
              </m:r>
              <m:r>
                <m:t>t</m:t>
              </m:r>
            </m:sub>
          </m:sSub>
          <m:r>
            <m:rPr>
              <m:sty m:val="p"/>
            </m:rPr>
            <m:t>+</m:t>
          </m:r>
          <m:sSub>
            <m:e>
              <m:r>
                <m:t>β</m:t>
              </m:r>
            </m:e>
            <m:sub>
              <m:r>
                <m:t>4</m:t>
              </m:r>
            </m:sub>
          </m:sSub>
          <m:sSub>
            <m:e>
              <m:r>
                <m:t>P</m:t>
              </m:r>
            </m:e>
            <m:sub>
              <m:r>
                <m:t>2</m:t>
              </m:r>
              <m:r>
                <m:rPr>
                  <m:sty m:val="p"/>
                </m:rPr>
                <m:t>,</m:t>
              </m:r>
              <m:r>
                <m:t>t</m:t>
              </m:r>
            </m:sub>
          </m:sSub>
          <m:r>
            <m:rPr>
              <m:sty m:val="p"/>
            </m:rPr>
            <m:t>+</m:t>
          </m:r>
          <m:sSub>
            <m:e>
              <m:r>
                <m:t>β</m:t>
              </m:r>
            </m:e>
            <m:sub>
              <m:r>
                <m:t>5</m:t>
              </m:r>
            </m:sub>
          </m:sSub>
          <m:sSub>
            <m:e>
              <m:r>
                <m:t>Q</m:t>
              </m:r>
            </m:e>
            <m:sub>
              <m:r>
                <m:t>2</m:t>
              </m:r>
              <m:r>
                <m:rPr>
                  <m:sty m:val="p"/>
                </m:rPr>
                <m:t>,</m:t>
              </m:r>
              <m:r>
                <m:t>t</m:t>
              </m:r>
            </m:sub>
          </m:sSub>
          <m:r>
            <m:rPr>
              <m:sty m:val="p"/>
            </m:rPr>
            <m:t>+</m:t>
          </m:r>
          <m:sSub>
            <m:e>
              <m:r>
                <m:t>ϵ</m:t>
              </m:r>
            </m:e>
            <m:sub>
              <m:r>
                <m:t>t</m:t>
              </m:r>
            </m:sub>
          </m:sSub>
        </m:oMath>
      </m:oMathPara>
    </w:p>
    <w:bookmarkEnd w:id="20"/>
    <w:bookmarkStart w:id="28" w:name="resultados"/>
    <w:p>
      <w:pPr>
        <w:pStyle w:val="Heading1"/>
      </w:pPr>
      <w:r>
        <w:t xml:space="preserve">Resultados</w:t>
      </w:r>
    </w:p>
    <w:p>
      <w:pPr>
        <w:pStyle w:val="FirstParagraph"/>
      </w:pPr>
      <w:r>
        <w:t xml:space="preserve">El refinamiento del modelo permitió elevar el coeficiente de determinación</w:t>
      </w:r>
      <w:r>
        <w:t xml:space="preserve"> </w:t>
      </w:r>
      <m:oMath>
        <m:sSup>
          <m:e>
            <m:r>
              <m:t>R</m:t>
            </m:r>
          </m:e>
          <m:sup>
            <m:r>
              <m:t>2</m:t>
            </m:r>
          </m:sup>
        </m:sSup>
      </m:oMath>
      <w:r>
        <w:rPr>
          <w:b/>
          <w:bCs/>
        </w:rPr>
        <w:t xml:space="preserve"> </w:t>
      </w:r>
      <w:r>
        <w:rPr>
          <w:b/>
          <w:bCs/>
        </w:rPr>
        <w:t xml:space="preserve">de 0.33 a 0.91</w:t>
      </w:r>
      <w:r>
        <w:t xml:space="preserve">, indicando que el doble quiebre captura la verdadera estructura de la serie histórica.</w:t>
      </w:r>
    </w:p>
    <w:bookmarkStart w:id="21" w:name="impacto-inmediato-2011"/>
    <w:p>
      <w:pPr>
        <w:pStyle w:val="Heading2"/>
      </w:pPr>
      <w:r>
        <w:t xml:space="preserve">Impacto Inmediato (2011)</w:t>
      </w:r>
    </w:p>
    <w:p>
      <w:pPr>
        <w:pStyle w:val="FirstParagraph"/>
      </w:pPr>
      <w:r>
        <w:t xml:space="preserve">El efecto (</w:t>
      </w:r>
      <m:oMath>
        <m:sSub>
          <m:e>
            <m:r>
              <m:t>β</m:t>
            </m:r>
          </m:e>
          <m:sub>
            <m:r>
              <m:t>2</m:t>
            </m:r>
          </m:sub>
        </m:sSub>
      </m:oMath>
      <w:r>
        <w:t xml:space="preserve">) tras la prohibición de 2011 fue una reducción significativa de</w:t>
      </w:r>
      <w:r>
        <w:t xml:space="preserve"> </w:t>
      </w:r>
      <w:r>
        <w:rPr>
          <w:b/>
          <w:bCs/>
        </w:rPr>
        <w:t xml:space="preserve">-5.13 puntos</w:t>
      </w:r>
      <w:r>
        <w:t xml:space="preserve"> </w:t>
      </w:r>
      <w:r>
        <w:t xml:space="preserve">en la tasa de homicidios (</w:t>
      </w:r>
      <m:oMath>
        <m:r>
          <m:t>p</m:t>
        </m:r>
        <m:r>
          <m:rPr>
            <m:sty m:val="p"/>
          </m:rPr>
          <m:t>&lt;</m:t>
        </m:r>
        <m:r>
          <m:t>0.001</m:t>
        </m:r>
      </m:oMath>
      <w:r>
        <w:t xml:space="preserve">).</w:t>
      </w:r>
    </w:p>
    <w:bookmarkEnd w:id="21"/>
    <w:bookmarkStart w:id="22" w:name="crisis-de-seguridad-post-2019"/>
    <w:p>
      <w:pPr>
        <w:pStyle w:val="Heading2"/>
      </w:pPr>
      <w:r>
        <w:t xml:space="preserve">Crisis de Seguridad (Post-2019)</w:t>
      </w:r>
    </w:p>
    <w:p>
      <w:pPr>
        <w:pStyle w:val="FirstParagraph"/>
      </w:pPr>
      <w:r>
        <w:t xml:space="preserve">El cambio en la pendiente (</w:t>
      </w:r>
      <m:oMath>
        <m:sSub>
          <m:e>
            <m:r>
              <m:t>β</m:t>
            </m:r>
          </m:e>
          <m:sub>
            <m:r>
              <m:t>5</m:t>
            </m:r>
          </m:sub>
        </m:sSub>
      </m:oMath>
      <w:r>
        <w:t xml:space="preserve">) post-2019 es de</w:t>
      </w:r>
      <w:r>
        <w:t xml:space="preserve"> </w:t>
      </w:r>
      <w:r>
        <w:rPr>
          <w:b/>
          <w:bCs/>
        </w:rPr>
        <w:t xml:space="preserve">+11.11</w:t>
      </w:r>
      <w:r>
        <w:t xml:space="preserve">, indicando un crecimiento acelerado que invalida las tendencias previas.</w:t>
      </w:r>
    </w:p>
    <w:bookmarkEnd w:id="22"/>
    <w:bookmarkStart w:id="27" w:name="análisis-gráfico"/>
    <w:p>
      <w:pPr>
        <w:pStyle w:val="Heading2"/>
      </w:pPr>
      <w:r>
        <w:t xml:space="preserve">Análisis Gráfico</w:t>
      </w:r>
    </w:p>
    <w:tbl>
      <w:tblPr>
        <w:tblStyle w:val="Table"/>
        <w:tblW w:type="pct" w:w="5000"/>
        <w:tblLayout w:type="fixed"/>
        <w:tblLook w:firstRow="0" w:lastRow="0" w:firstColumn="0" w:lastColumn="0" w:noHBand="0" w:noVBand="0" w:val="0000"/>
      </w:tblPr>
      <w:tblGrid>
        <w:gridCol w:w="7920"/>
      </w:tblGrid>
      <w:tr>
        <w:tc>
          <w:tcPr/>
          <w:bookmarkStart w:id="26" w:name="fig-impacto"/>
          <w:p>
            <w:pPr>
              <w:pStyle w:val="Compact"/>
              <w:jc w:val="center"/>
            </w:pPr>
            <w:r>
              <w:drawing>
                <wp:inline>
                  <wp:extent cx="4295775" cy="2505868"/>
                  <wp:effectExtent b="0" l="0" r="0" t="0"/>
                  <wp:docPr descr="" title="" id="24" name="Picture"/>
                  <a:graphic>
                    <a:graphicData uri="http://schemas.openxmlformats.org/drawingml/2006/picture">
                      <pic:pic>
                        <pic:nvPicPr>
                          <pic:cNvPr descr="graph/impact_homicidios_its.png" id="25" name="Picture"/>
                          <pic:cNvPicPr>
                            <a:picLocks noChangeArrowheads="1" noChangeAspect="1"/>
                          </pic:cNvPicPr>
                        </pic:nvPicPr>
                        <pic:blipFill>
                          <a:blip r:embed="rId23"/>
                          <a:stretch>
                            <a:fillRect/>
                          </a:stretch>
                        </pic:blipFill>
                        <pic:spPr bwMode="auto">
                          <a:xfrm>
                            <a:off x="0" y="0"/>
                            <a:ext cx="4295775" cy="25058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Homicidios en Ecuador: Modelo ITS Robusto con Doble Inflexión</w:t>
            </w:r>
          </w:p>
          <w:bookmarkEnd w:id="26"/>
        </w:tc>
      </w:tr>
    </w:tbl>
    <w:bookmarkEnd w:id="27"/>
    <w:bookmarkEnd w:id="28"/>
    <w:bookmarkStart w:id="29" w:name="conclusión"/>
    <w:p>
      <w:pPr>
        <w:pStyle w:val="Heading1"/>
      </w:pPr>
      <w:r>
        <w:t xml:space="preserve">Conclusión</w:t>
      </w:r>
    </w:p>
    <w:p>
      <w:pPr>
        <w:pStyle w:val="FirstParagraph"/>
      </w:pPr>
      <w:r>
        <w:t xml:space="preserve">La prohibición de armas de 2011 fue eficaz en su contexto original. Sin embargo, la actual crisis (post-2019) responde a una ruptura institucional que trasciende el control de armas, exigiendo políticas de seguridad de nueva generación.</w:t>
      </w:r>
    </w:p>
    <w:bookmarkEnd w:id="29"/>
    <w:bookmarkStart w:id="33" w:name="referencias"/>
    <w:p>
      <w:pPr>
        <w:pStyle w:val="Heading1"/>
      </w:pPr>
      <w:r>
        <w:t xml:space="preserve">Referencias</w:t>
      </w:r>
    </w:p>
    <w:bookmarkStart w:id="32" w:name="refs"/>
    <w:bookmarkStart w:id="30" w:name="ref-becker1968"/>
    <w:p>
      <w:pPr>
        <w:pStyle w:val="Bibliography"/>
      </w:pPr>
      <w:r>
        <w:t xml:space="preserve">Becker, Gary S. 1968.</w:t>
      </w:r>
      <w:r>
        <w:t xml:space="preserve"> </w:t>
      </w:r>
      <w:r>
        <w:t xml:space="preserve">“Crime and Punishment: An Economic Approach.”</w:t>
      </w:r>
      <w:r>
        <w:t xml:space="preserve"> </w:t>
      </w:r>
      <w:r>
        <w:rPr>
          <w:i/>
          <w:iCs/>
        </w:rPr>
        <w:t xml:space="preserve">Journal of Political Economy</w:t>
      </w:r>
      <w:r>
        <w:t xml:space="preserve"> </w:t>
      </w:r>
      <w:r>
        <w:t xml:space="preserve">76 (2): 169–217.</w:t>
      </w:r>
    </w:p>
    <w:bookmarkEnd w:id="30"/>
    <w:bookmarkStart w:id="31" w:name="ref-shmueli2010"/>
    <w:p>
      <w:pPr>
        <w:pStyle w:val="Bibliography"/>
      </w:pPr>
      <w:r>
        <w:t xml:space="preserve">Shmueli, Galit. 2010.</w:t>
      </w:r>
      <w:r>
        <w:t xml:space="preserve"> </w:t>
      </w:r>
      <w:r>
        <w:t xml:space="preserve">“To Explain or to Predict?”</w:t>
      </w:r>
      <w:r>
        <w:t xml:space="preserve"> </w:t>
      </w:r>
      <w:r>
        <w:rPr>
          <w:i/>
          <w:iCs/>
        </w:rPr>
        <w:t xml:space="preserve">Statistical Science</w:t>
      </w:r>
      <w:r>
        <w:t xml:space="preserve"> </w:t>
      </w:r>
      <w:r>
        <w:t xml:space="preserve">25 (3): 289–310.</w:t>
      </w:r>
    </w:p>
    <w:bookmarkEnd w:id="31"/>
    <w:bookmarkEnd w:id="32"/>
    <w:bookmarkEnd w:id="33"/>
    <w:sectPr>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9" Target="media/rId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 Fabricio Condoy Seraquive</dc:creator>
  <cp:keywords/>
  <dcterms:created xsi:type="dcterms:W3CDTF">2026-04-20T16:56:56Z</dcterms:created>
  <dcterms:modified xsi:type="dcterms:W3CDTF">2026-04-20T16:56:56Z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Evaluación de Impacto: Factores Determinantes de la Violencia Letal en Ecuador (1990-2023)</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ourse">
    <vt:lpwstr>Econometría Aplicada</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professor">
    <vt:lpwstr>Eco. José Rafael Alvarado López</vt:lpwstr>
  </property>
  <property fmtid="{D5CDD505-2E9C-101B-9397-08002B2CF9AE}" pid="15" name="school">
    <vt:lpwstr>Carrera de Economía</vt:lpwstr>
  </property>
  <property fmtid="{D5CDD505-2E9C-101B-9397-08002B2CF9AE}" pid="16" name="submission_date">
    <vt:lpwstr>20 de abril de 2026</vt:lpwstr>
  </property>
  <property fmtid="{D5CDD505-2E9C-101B-9397-08002B2CF9AE}" pid="17" name="toc-title">
    <vt:lpwstr>Table of contents</vt:lpwstr>
  </property>
  <property fmtid="{D5CDD505-2E9C-101B-9397-08002B2CF9AE}" pid="18" name="university">
    <vt:lpwstr>Universidad Nacional de Loja</vt:lpwstr>
  </property>
</Properties>
</file>