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Evaluación de Impacto: Bono de Desarrollo Humano e Informalidad Laboral</w:t>
      </w:r>
    </w:p>
    <w:p>
      <w:pPr>
        <w:pStyle w:val="Subtitle"/>
      </w:pPr>
      <w:r>
        <w:t xml:space="preserve">Applied Econometrics — Unidad 1: Evaluación de Impacto</w:t>
      </w:r>
    </w:p>
    <w:p>
      <w:pPr>
        <w:pStyle w:val="Author"/>
      </w:pPr>
      <w:r>
        <w:t xml:space="preserve">Erick Figueroa</w:t>
      </w:r>
    </w:p>
    <w:p>
      <w:pPr>
        <w:pStyle w:val="Date"/>
      </w:pPr>
      <w:r>
        <w:t xml:space="preserve">2026-04-20</w:t>
      </w:r>
    </w:p>
    <w:bookmarkStart w:id="9" w:name="definición-del-problema"/>
    <w:p>
      <w:pPr>
        <w:pStyle w:val="Heading2"/>
      </w:pPr>
      <w:r>
        <w:t xml:space="preserve">1. Definición del Problema</w:t>
      </w:r>
    </w:p>
    <w:p>
      <w:pPr>
        <w:pStyle w:val="FirstParagraph"/>
      </w:pPr>
      <w:r>
        <w:t xml:space="preserve">La identificación del efecto causal de los programas de transferencias monetarias condicionadas (TMC), como el</w:t>
      </w:r>
      <w:r>
        <w:t xml:space="preserve"> </w:t>
      </w:r>
      <w:r>
        <w:rPr>
          <w:b/>
          <w:bCs/>
        </w:rPr>
        <w:t xml:space="preserve">Bono de Desarrollo Humano (BDH)</w:t>
      </w:r>
      <w:r>
        <w:t xml:space="preserve"> </w:t>
      </w:r>
      <w:r>
        <w:t xml:space="preserve">en Ecuador, enfrenta un desafío fundamental: el</w:t>
      </w:r>
      <w:r>
        <w:t xml:space="preserve"> </w:t>
      </w:r>
      <w:r>
        <w:rPr>
          <w:b/>
          <w:bCs/>
        </w:rPr>
        <w:t xml:space="preserve">Sesgo de Selección</w:t>
      </w:r>
      <w:r>
        <w:t xml:space="preserve">.</w:t>
      </w:r>
    </w:p>
    <w:p>
      <w:pPr>
        <w:pStyle w:val="BodyText"/>
      </w:pPr>
      <w:r>
        <w:t xml:space="preserve">Dado que el bono se asigna a hogares en situación de vulnerabilidad extrema, los beneficiarios (tratados) difieren sistemáticamente de los no beneficiarios (control) en variables observables (educación, edad, tamaño del hogar) y no observables. Si comparamos promedios simples, estaríamos atribuyendo al bono diferencias que en realidad se deben a las características iniciales de pobreza. Este estudio busca aislar el efecto del bono sobre la</w:t>
      </w:r>
      <w:r>
        <w:t xml:space="preserve"> </w:t>
      </w:r>
      <w:r>
        <w:rPr>
          <w:b/>
          <w:bCs/>
        </w:rPr>
        <w:t xml:space="preserve">Informalidad Laboral</w:t>
      </w:r>
      <w:r>
        <w:t xml:space="preserve">, utilizando una muestra depurada de la ENEMDU 2023-2024.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Desde la perspectiva de la oferta laboral, las TMC pueden generar un</w:t>
      </w:r>
      <w:r>
        <w:t xml:space="preserve"> </w:t>
      </w:r>
      <w:r>
        <w:t xml:space="preserve">“Efecto Ingreso”</w:t>
      </w:r>
      <w:r>
        <w:t xml:space="preserve"> </w:t>
      </w:r>
      <w:r>
        <w:t xml:space="preserve">que reduce la intensidad de búsqueda de empleo formal si el costo de oportunidad de perder el bono (al superar el umbral de ingresos o formalizarse) es muy alto.</w:t>
      </w:r>
    </w:p>
    <w:p>
      <w:pPr>
        <w:pStyle w:val="BodyText"/>
      </w:pPr>
      <w:r>
        <w:t xml:space="preserve">La teoría de la</w:t>
      </w:r>
      <w:r>
        <w:t xml:space="preserve"> </w:t>
      </w:r>
      <w:r>
        <w:rPr>
          <w:b/>
          <w:bCs/>
        </w:rPr>
        <w:t xml:space="preserve">“Trampa de Informalidad”</w:t>
      </w:r>
      <w:r>
        <w:t xml:space="preserve"> </w:t>
      </w:r>
      <w:r>
        <w:t xml:space="preserve">sugiere que los individuos en el margen pueden preferir actividades informales de baja productividad que no son reportadas al sistema de seguridad social, manteniendo así su elegibilidad para el subsidio.</w:t>
      </w:r>
    </w:p>
    <w:bookmarkEnd w:id="10"/>
    <w:bookmarkStart w:id="12" w:name="X1c73fc18ade5dc3268415d80e18c81a1ca65ee7"/>
    <w:p>
      <w:pPr>
        <w:pStyle w:val="Heading2"/>
      </w:pPr>
      <w:r>
        <w:t xml:space="preserve">3. Metodología: Propensity Score Matching (PSM)</w:t>
      </w:r>
    </w:p>
    <w:p>
      <w:pPr>
        <w:pStyle w:val="FirstParagraph"/>
      </w:pPr>
      <w:r>
        <w:t xml:space="preserve">Para resolver el sesgo de selección, implementamos un modelo de</w:t>
      </w:r>
      <w:r>
        <w:t xml:space="preserve"> </w:t>
      </w:r>
      <w:r>
        <w:rPr>
          <w:b/>
          <w:bCs/>
        </w:rPr>
        <w:t xml:space="preserve">Emparejamiento por Puntaje de Propensión (PSM)</w:t>
      </w:r>
      <w:r>
        <w:t xml:space="preserve">.</w:t>
      </w:r>
    </w:p>
    <w:bookmarkStart w:id="11" w:name="especificación-del-modelo"/>
    <w:p>
      <w:pPr>
        <w:pStyle w:val="Heading3"/>
      </w:pPr>
      <w:r>
        <w:t xml:space="preserve">Especificación del Modelo</w:t>
      </w:r>
    </w:p>
    <w:p>
      <w:pPr>
        <w:pStyle w:val="FirstParagraph"/>
      </w:pPr>
      <w:r>
        <w:t xml:space="preserve">Estimamos el</w:t>
      </w:r>
      <w:r>
        <w:t xml:space="preserve"> </w:t>
      </w:r>
      <w:r>
        <w:rPr>
          <w:i/>
          <w:iCs/>
        </w:rPr>
        <w:t xml:space="preserve">Propensity Score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 mediante un modelo Logit: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nor/>
              <m:sty m:val="p"/>
            </m:rPr>
            <m:t>Edad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Sexo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nor/>
              <m:sty m:val="p"/>
            </m:rPr>
            <m:t>Educación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nor/>
              <m:sty m:val="p"/>
            </m:rPr>
            <m:t>Área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nor/>
              <m:sty m:val="p"/>
            </m:rPr>
            <m:t>Hogar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si recibe el BDH. Posteriormente, emparejamos cada beneficiario con un no-beneficiario que tenga un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similar, utilizando el algoritmo de</w:t>
      </w:r>
      <w:r>
        <w:t xml:space="preserve"> </w:t>
      </w:r>
      <w:r>
        <w:rPr>
          <w:b/>
          <w:bCs/>
        </w:rPr>
        <w:t xml:space="preserve">Vecino más Cercano (1:1)</w:t>
      </w:r>
      <w:r>
        <w:t xml:space="preserve"> </w:t>
      </w:r>
      <w:r>
        <w:t xml:space="preserve">con un</w:t>
      </w:r>
      <w:r>
        <w:t xml:space="preserve"> </w:t>
      </w:r>
      <w:r>
        <w:rPr>
          <w:i/>
          <w:iCs/>
        </w:rPr>
        <w:t xml:space="preserve">caliper</w:t>
      </w:r>
      <w:r>
        <w:t xml:space="preserve"> </w:t>
      </w:r>
      <w:r>
        <w:t xml:space="preserve">de</w:t>
      </w:r>
      <w:r>
        <w:t xml:space="preserve"> </w:t>
      </w:r>
      <m:oMath>
        <m:r>
          <m:t>0.25</m:t>
        </m:r>
        <m:r>
          <m:t>σ</m:t>
        </m:r>
      </m:oMath>
      <w:r>
        <w:t xml:space="preserve"> </w:t>
      </w:r>
      <w:r>
        <w:t xml:space="preserve">para garantizar el supuesto de</w:t>
      </w:r>
      <w:r>
        <w:t xml:space="preserve"> </w:t>
      </w:r>
      <w:r>
        <w:rPr>
          <w:b/>
          <w:bCs/>
        </w:rPr>
        <w:t xml:space="preserve">Soporte Común</w:t>
      </w:r>
      <w:r>
        <w:t xml:space="preserve">.</w:t>
      </w:r>
    </w:p>
    <w:bookmarkEnd w:id="11"/>
    <w:bookmarkEnd w:id="12"/>
    <w:bookmarkStart w:id="13" w:name="ficha-técnica-de-variables"/>
    <w:p>
      <w:pPr>
        <w:pStyle w:val="Heading2"/>
      </w:pPr>
      <w:r>
        <w:t xml:space="preserve">4. Ficha Técnica de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treated</w:t>
            </w:r>
            <w:r>
              <w:t xml:space="preserve"> 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 el individuo recibe BDH, 0 en caso contrario.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ENEMDU (p63 &gt;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informal</w:t>
            </w:r>
            <w:r>
              <w:t xml:space="preserve"> </w:t>
            </w:r>
            <w:r>
              <w:t xml:space="preserve">(Y)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 trabaja en el sector informal (RUC/Tamaño est).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Cuantitativa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 del individuo (Limitado a PEA 15-65 años).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Hombre, 0 = Mujer.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 de instrucción o nivel alcanzado.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Cuantitativa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personas en el hogar.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Urbana, 0 = Rural.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ENEMDU</w:t>
            </w:r>
          </w:p>
        </w:tc>
      </w:tr>
    </w:tbl>
    <w:bookmarkEnd w:id="13"/>
    <w:bookmarkStart w:id="27" w:name="resultados-y-discusión"/>
    <w:p>
      <w:pPr>
        <w:pStyle w:val="Heading2"/>
      </w:pPr>
      <w:r>
        <w:t xml:space="preserve">5. Resultados y Discusión</w:t>
      </w:r>
    </w:p>
    <w:p>
      <w:pPr>
        <w:pStyle w:val="FirstParagraph"/>
      </w:pPr>
      <w:r>
        <w:t xml:space="preserve">Tras el emparejamiento, el modelo evaluó una muestra balanceada de</w:t>
      </w:r>
      <w:r>
        <w:t xml:space="preserve"> </w:t>
      </w:r>
      <w:r>
        <w:rPr>
          <w:b/>
          <w:bCs/>
        </w:rPr>
        <w:t xml:space="preserve">76,426 tratados</w:t>
      </w:r>
      <w:r>
        <w:t xml:space="preserve"> </w:t>
      </w:r>
      <w:r>
        <w:t xml:space="preserve">frente a sus respectivos controles.</w:t>
      </w:r>
    </w:p>
    <w:bookmarkStart w:id="14" w:name="efecto-medio-del-tratamiento-att"/>
    <w:p>
      <w:pPr>
        <w:pStyle w:val="Heading3"/>
      </w:pPr>
      <w:r>
        <w:t xml:space="preserve">Efecto Medio del Tratamiento (ATT)</w:t>
      </w:r>
    </w:p>
    <w:p>
      <w:pPr>
        <w:pStyle w:val="FirstParagraph"/>
      </w:pPr>
      <w:r>
        <w:t xml:space="preserve">El resultado del</w:t>
      </w:r>
      <w:r>
        <w:t xml:space="preserve"> </w:t>
      </w:r>
      <w:r>
        <w:rPr>
          <w:b/>
          <w:bCs/>
        </w:rPr>
        <w:t xml:space="preserve">ATT (Average Treatment Effect on the Treated)</w:t>
      </w:r>
      <w:r>
        <w:t xml:space="preserve"> </w:t>
      </w:r>
      <w:r>
        <w:t xml:space="preserve">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A</m:t>
              </m:r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b>
            <m:e>
              <m:r>
                <m:t>Y</m:t>
              </m:r>
            </m:e>
            <m:sub>
              <m:r>
                <m:t>1</m:t>
              </m:r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b>
            <m:e>
              <m:r>
                <m:t>Y</m:t>
              </m:r>
            </m:e>
            <m:sub>
              <m:r>
                <m:t>0</m:t>
              </m:r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b"/>
            </m:rPr>
            <m:t>+</m:t>
          </m:r>
          <m:r>
            <m:rPr>
              <m:sty m:val="b"/>
            </m:rPr>
            <m:t>39.32</m:t>
          </m:r>
          <m:r>
            <m:rPr>
              <m:sty m:val="b"/>
            </m:rPr>
            <m:t>%</m:t>
          </m:r>
        </m:oMath>
      </m:oMathPara>
    </w:p>
    <w:p>
      <w:pPr>
        <w:pStyle w:val="FirstParagraph"/>
      </w:pPr>
      <w:r>
        <w:t xml:space="preserve">Esto indica que la recepción del BDH incrementa en</w:t>
      </w:r>
      <w:r>
        <w:t xml:space="preserve"> </w:t>
      </w:r>
      <w:r>
        <w:rPr>
          <w:b/>
          <w:bCs/>
        </w:rPr>
        <w:t xml:space="preserve">39.3 puntos porcentuales</w:t>
      </w:r>
      <w:r>
        <w:t xml:space="preserve"> </w:t>
      </w:r>
      <w:r>
        <w:t xml:space="preserve">la probabilidad de que el beneficiario se desempeñe en el sector informal, en comparación con un individuo idéntico que no recibe el subsidio.</w:t>
      </w:r>
    </w:p>
    <w:bookmarkEnd w:id="14"/>
    <w:bookmarkStart w:id="26" w:name="validaciones-gráficas"/>
    <w:p>
      <w:pPr>
        <w:pStyle w:val="Heading3"/>
      </w:pPr>
      <w:r>
        <w:t xml:space="preserve">Validaciones Gráficas</w:t>
      </w:r>
    </w:p>
    <w:bookmarkStart w:id="18" w:name="soporte-común-common-support"/>
    <w:p>
      <w:pPr>
        <w:pStyle w:val="Heading4"/>
      </w:pPr>
      <w:r>
        <w:t xml:space="preserve">Soporte Común (Common Support)</w:t>
      </w:r>
    </w:p>
    <w:p>
      <w:pPr>
        <w:pStyle w:val="FirstParagraph"/>
      </w:pPr>
      <w:r>
        <w:t xml:space="preserve">La distribución del P-Score muestra un traslape significativo, permitiendo una comparación válida.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Distribución de Propensity Score" title="" id="16" name="Picture"/>
            <a:graphic>
              <a:graphicData uri="http://schemas.openxmlformats.org/drawingml/2006/picture">
                <pic:pic>
                  <pic:nvPicPr>
                    <pic:cNvPr descr="results_bdh/common_support_bdh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 Propensity Score</w:t>
      </w:r>
    </w:p>
    <w:bookmarkEnd w:id="18"/>
    <w:bookmarkStart w:id="25" w:name="balance-de-covariables"/>
    <w:p>
      <w:pPr>
        <w:pStyle w:val="Heading4"/>
      </w:pPr>
      <w:r>
        <w:t xml:space="preserve">Balance de Covariables</w:t>
      </w:r>
    </w:p>
    <w:p>
      <w:pPr>
        <w:pStyle w:val="FirstParagraph"/>
      </w:pPr>
      <w:r>
        <w:t xml:space="preserve">El equilibrio de las variables pre-tratamiento (como la edad) mejora tras el matching.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Balance de Edad Post-Matching" title="" id="20" name="Picture"/>
            <a:graphic>
              <a:graphicData uri="http://schemas.openxmlformats.org/drawingml/2006/picture">
                <pic:pic>
                  <pic:nvPicPr>
                    <pic:cNvPr descr="results_bdh/age_balance_pos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Balance de Edad Post-Matching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Certificado de Integridad ECSQ v5.0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Fecha de Auditoría</w:t>
            </w:r>
            <w:r>
              <w:t xml:space="preserve">: 2026-04-20 10:55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Fuentes Verificadas</w:t>
            </w:r>
            <w:r>
              <w:t xml:space="preserve">: 215,978 registros (ENEMDU 2023-2024)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Autoría Soberana</w:t>
            </w:r>
            <w:r>
              <w:t xml:space="preserve">: Erick Figueroa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Estado de Datos</w:t>
            </w:r>
            <w:r>
              <w:t xml:space="preserve">: 🟢 ÍNTEGRO mediante SHA256 Match</w:t>
            </w:r>
          </w:p>
        </w:tc>
      </w:tr>
    </w:tbl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de Impacto: Bono de Desarrollo Humano e Informalidad Laboral</dc:title>
  <dc:creator>Erick Figueroa</dc:creator>
  <cp:keywords/>
  <dcterms:created xsi:type="dcterms:W3CDTF">2026-04-20T15:58:12Z</dcterms:created>
  <dcterms:modified xsi:type="dcterms:W3CDTF">2026-04-20T15:58:12Z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2026-04-20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Applied Econometrics — Unidad 1: Evaluación de Impacto</vt:lpwstr>
  </property>
  <property fmtid="{D5CDD505-2E9C-101B-9397-08002B2CF9AE}" pid="12" name="toc-title">
    <vt:lpwstr>Table of contents</vt:lpwstr>
  </property>
</Properties>
</file>