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88"/>
        <w:pBdr/>
        <w:spacing/>
        <w:ind/>
        <w:jc w:val="both"/>
        <w:rPr>
          <w:sz w:val="24"/>
          <w:szCs w:val="24"/>
        </w:rPr>
      </w:pPr>
      <w:r>
        <w:rPr>
          <w:sz w:val="24"/>
          <w:szCs w:val="24"/>
        </w:rPr>
        <w:t xml:space="preserve">02 - Investigación de Mercado: AMDL</w:t>
      </w:r>
      <w:r>
        <w:rPr>
          <w:sz w:val="24"/>
          <w:szCs w:val="24"/>
        </w:rPr>
      </w:r>
    </w:p>
    <w:p>
      <w:pPr>
        <w:pStyle w:val="690"/>
        <w:pBdr/>
        <w:spacing/>
        <w:ind/>
        <w:jc w:val="both"/>
        <w:rPr>
          <w:sz w:val="24"/>
          <w:szCs w:val="24"/>
        </w:rPr>
      </w:pPr>
      <w:r>
        <w:rPr>
          <w:sz w:val="24"/>
          <w:szCs w:val="24"/>
        </w:rPr>
        <w:t xml:space="preserve">Validación de Mercado y Estrategia de Ejecución</w:t>
      </w:r>
      <w:r>
        <w:rPr>
          <w:sz w:val="24"/>
          <w:szCs w:val="24"/>
        </w:rPr>
      </w:r>
    </w:p>
    <w:p>
      <w:pPr>
        <w:pStyle w:val="692"/>
        <w:pBdr/>
        <w:spacing/>
        <w:ind/>
        <w:jc w:val="both"/>
        <w:rPr>
          <w:sz w:val="24"/>
          <w:szCs w:val="24"/>
        </w:rPr>
      </w:pPr>
      <w:r>
        <w:rPr>
          <w:sz w:val="24"/>
          <w:szCs w:val="24"/>
        </w:rPr>
        <w:t xml:space="preserve">Integrantes: Condoy Seraquive Erick Fabricio</w:t>
      </w:r>
      <w:r>
        <w:rPr>
          <w:sz w:val="24"/>
          <w:szCs w:val="24"/>
        </w:rPr>
      </w:r>
    </w:p>
    <w:p>
      <w:pPr>
        <w:pStyle w:val="692"/>
        <w:pBdr/>
        <w:spacing/>
        <w:ind/>
        <w:jc w:val="both"/>
        <w:rPr>
          <w:sz w:val="24"/>
          <w:szCs w:val="24"/>
        </w:rPr>
      </w:pPr>
      <w:r>
        <w:rPr>
          <w:sz w:val="24"/>
          <w:szCs w:val="24"/>
        </w:rPr>
        <w:t xml:space="preserve">Japón Yaguachi Kristie Susana</w:t>
      </w:r>
      <w:r>
        <w:rPr>
          <w:sz w:val="24"/>
          <w:szCs w:val="24"/>
        </w:rPr>
      </w:r>
    </w:p>
    <w:p>
      <w:pPr>
        <w:pStyle w:val="692"/>
        <w:pBdr/>
        <w:spacing/>
        <w:ind/>
        <w:jc w:val="both"/>
        <w:rPr>
          <w:sz w:val="24"/>
          <w:szCs w:val="24"/>
        </w:rPr>
      </w:pPr>
      <w:r>
        <w:rPr>
          <w:sz w:val="24"/>
          <w:szCs w:val="24"/>
        </w:rPr>
        <w:t xml:space="preserve">Vasquez Japón Jefferson Alexander</w:t>
      </w:r>
      <w:r>
        <w:rPr>
          <w:sz w:val="24"/>
          <w:szCs w:val="24"/>
        </w:rPr>
      </w:r>
    </w:p>
    <w:p>
      <w:pPr>
        <w:pStyle w:val="693"/>
        <w:pBdr/>
        <w:spacing/>
        <w:ind/>
        <w:jc w:val="both"/>
        <w:rPr>
          <w:sz w:val="24"/>
          <w:szCs w:val="24"/>
        </w:rPr>
      </w:pPr>
      <w:r>
        <w:rPr>
          <w:sz w:val="24"/>
          <w:szCs w:val="24"/>
        </w:rPr>
        <w:t xml:space="preserve">2026-05-14</w:t>
      </w:r>
      <w:r>
        <w:rPr>
          <w:sz w:val="24"/>
          <w:szCs w:val="24"/>
        </w:rPr>
      </w:r>
    </w:p>
    <w:p>
      <w:pPr>
        <w:pStyle w:val="697"/>
        <w:pBdr/>
        <w:spacing/>
        <w:ind/>
        <w:jc w:val="both"/>
        <w:rPr>
          <w:sz w:val="24"/>
          <w:szCs w:val="24"/>
        </w:rPr>
      </w:pPr>
      <w:r>
        <w:rPr>
          <w:sz w:val="24"/>
          <w:szCs w:val="24"/>
        </w:rPr>
      </w:r>
      <w:bookmarkStart w:id="9" w:name="X595af2fd041ae166bfa529a2e7ad9c746c7fdd4"/>
      <w:r>
        <w:rPr>
          <w:sz w:val="24"/>
          <w:szCs w:val="24"/>
        </w:rPr>
        <w:t xml:space="preserve">1. Metodología</w:t>
      </w:r>
      <w:r>
        <w:rPr>
          <w:sz w:val="24"/>
          <w:szCs w:val="24"/>
        </w:rPr>
      </w:r>
    </w:p>
    <w:p>
      <w:pPr>
        <w:pStyle w:val="686"/>
        <w:pBdr/>
        <w:spacing/>
        <w:ind/>
        <w:jc w:val="both"/>
        <w:rPr>
          <w:sz w:val="24"/>
          <w:szCs w:val="24"/>
        </w:rPr>
      </w:pPr>
      <w:r>
        <w:rPr>
          <w:sz w:val="24"/>
          <w:szCs w:val="24"/>
        </w:rPr>
        <w:t xml:space="preserve">La validación de mercado primaria mediante encuestas tradicionales adolece de limitaciones estructurales que invalidan su rigor analítico en el contexto de pequeñas empresas locales. En primer lugar, existe un marcado sesgo de </w:t>
      </w:r>
      <w:r>
        <w:rPr>
          <w:sz w:val="24"/>
          <w:szCs w:val="24"/>
        </w:rPr>
        <w:t xml:space="preserve">deseabilidad social y de carácter declarativo, donde los propietarios tienden a sobreestimar su madurez analítica o a declarar intenciones de pago hipotéticas que luego no se sostienen ante ofertas comerciales reales, distorsionando así la demanda efectiva</w:t>
      </w:r>
      <w:r>
        <w:rPr>
          <w:sz w:val="24"/>
          <w:szCs w:val="24"/>
        </w:rPr>
        <w:t xml:space="preserve"> </w:t>
      </w:r>
      <w:r>
        <w:rPr>
          <w:sz w:val="24"/>
          <w:szCs w:val="24"/>
        </w:rPr>
        <w:t xml:space="preserve">(</w:t>
      </w:r>
      <w:r>
        <w:rPr>
          <w:sz w:val="24"/>
          <w:szCs w:val="24"/>
        </w:rPr>
        <w:t xml:space="preserve">Maulida et al.</w:t>
      </w:r>
      <w:r>
        <w:rPr>
          <w:sz w:val="24"/>
          <w:szCs w:val="24"/>
        </w:rPr>
        <w:t xml:space="preserve">, 2022)</w:t>
      </w:r>
      <w:r>
        <w:rPr>
          <w:sz w:val="24"/>
          <w:szCs w:val="24"/>
        </w:rPr>
        <w:t xml:space="preserve">. A esto se suma un</w:t>
      </w:r>
      <w:r>
        <w:rPr>
          <w:sz w:val="24"/>
          <w:szCs w:val="24"/>
        </w:rPr>
        <w:t xml:space="preserve">a asimetría cognitiva en el plano tecnológico: un tomador de decisiones sin formación técnica en optimización web o modelos de atribución no posee la capacidad de diagnosticar de manera objetiva sus necesidades reales de digitalización. Finalmente, el elev</w:t>
      </w:r>
      <w:r>
        <w:rPr>
          <w:sz w:val="24"/>
          <w:szCs w:val="24"/>
        </w:rPr>
        <w:t xml:space="preserve">ado costo operativo y la baja tasa de respuesta en el sector —que promedia menos del 10%— induce un sesgo de no respuesta y autoselección sistemático, capturando únicamente las perspectivas de los locales más digitalizados o con tiempo libre para responder</w:t>
      </w:r>
      <w:r>
        <w:rPr>
          <w:sz w:val="24"/>
          <w:szCs w:val="24"/>
        </w:rPr>
        <w:t xml:space="preserve"> </w:t>
      </w:r>
      <w:r>
        <w:rPr>
          <w:sz w:val="24"/>
          <w:szCs w:val="24"/>
        </w:rPr>
        <w:t xml:space="preserve">(BrightLocal, 2024)</w:t>
      </w:r>
      <w:r>
        <w:rPr>
          <w:sz w:val="24"/>
          <w:szCs w:val="24"/>
        </w:rPr>
        <w:t xml:space="preserve">.</w:t>
      </w:r>
      <w:r>
        <w:rPr>
          <w:sz w:val="24"/>
          <w:szCs w:val="24"/>
        </w:rPr>
      </w:r>
    </w:p>
    <w:p>
      <w:pPr>
        <w:pStyle w:val="685"/>
        <w:pBdr/>
        <w:spacing/>
        <w:ind/>
        <w:jc w:val="both"/>
        <w:rPr>
          <w:sz w:val="24"/>
          <w:szCs w:val="24"/>
        </w:rPr>
      </w:pPr>
      <w:r>
        <w:rPr>
          <w:sz w:val="24"/>
          <w:szCs w:val="24"/>
        </w:rPr>
        <w:t xml:space="preserve">La Auditoría Digital Forense y Mystery Shopping (Shadow Validation) neutraliza estas patologías mediante la recolección de datos observacionales y no invasivos de comportamiento en canales públicos de interacción real.</w:t>
      </w:r>
      <w:r>
        <w:rPr>
          <w:sz w:val="24"/>
          <w:szCs w:val="24"/>
        </w:rPr>
        <w:t xml:space="preserve"> Medimos la fricción del mercado de manera directa, recopilando evidencia empírica irrefutable sobre la pérdida diaria de facturación derivada de ineficiencias operacionales, sin requerir acceso inmediato a las credenciales o al tiempo de los propietarios.</w:t>
      </w:r>
      <w:bookmarkEnd w:id="9"/>
      <w:r/>
      <w:r>
        <w:rPr>
          <w:sz w:val="24"/>
          <w:szCs w:val="24"/>
        </w:rPr>
      </w:r>
    </w:p>
    <w:p>
      <w:pPr>
        <w:pStyle w:val="697"/>
        <w:pBdr/>
        <w:spacing/>
        <w:ind/>
        <w:jc w:val="both"/>
        <w:rPr>
          <w:sz w:val="24"/>
          <w:szCs w:val="24"/>
        </w:rPr>
      </w:pPr>
      <w:r>
        <w:rPr>
          <w:sz w:val="24"/>
          <w:szCs w:val="24"/>
        </w:rPr>
      </w:r>
      <w:bookmarkStart w:id="13" w:name="Xc2af729d70fbe8424eb76c9441640c2beb8e6f7"/>
      <w:r>
        <w:rPr>
          <w:sz w:val="24"/>
          <w:szCs w:val="24"/>
        </w:rPr>
        <w:t xml:space="preserve">2. Metodología y Diseño de la Auditoría Digital Forense</w:t>
      </w:r>
      <w:r>
        <w:rPr>
          <w:sz w:val="24"/>
          <w:szCs w:val="24"/>
        </w:rPr>
      </w:r>
    </w:p>
    <w:p>
      <w:pPr>
        <w:pStyle w:val="686"/>
        <w:pBdr/>
        <w:spacing/>
        <w:ind/>
        <w:jc w:val="both"/>
        <w:rPr>
          <w:sz w:val="24"/>
          <w:szCs w:val="24"/>
        </w:rPr>
      </w:pPr>
      <w:r>
        <w:rPr>
          <w:sz w:val="24"/>
          <w:szCs w:val="24"/>
        </w:rPr>
        <w:t xml:space="preserve">El diseño experimental evalúa la eficiencia de la operación digital en una muestr</w:t>
      </w:r>
      <w:r>
        <w:rPr>
          <w:sz w:val="24"/>
          <w:szCs w:val="24"/>
        </w:rPr>
        <w:t xml:space="preserve">a de 5 marcas gastronómicas representativas de la ciudad de Loja: Carbonero, 200 Millas, La Estancia, Café Indera y Pizzería La Mía. La evaluación se estructura sobre cuatro indicadores métricos no paramétricos. El primero es la optimización de SEO Local (</w:t>
      </w:r>
      <m:oMath>
        <m:r>
          <w:rPr>
            <w:sz w:val="24"/>
            <w:szCs w:val="24"/>
          </w:rPr>
          <m:rPr/>
          <m:t>S</m:t>
        </m:r>
        <m:r>
          <w:rPr>
            <w:sz w:val="24"/>
            <w:szCs w:val="24"/>
          </w:rPr>
          <m:rPr/>
          <m:t>E</m:t>
        </m:r>
        <m:sSub>
          <m:sSubPr>
            <m:ctrlPr>
              <w:rPr>
                <w:rFonts w:hint="default" w:ascii="Cambria Math" w:hAnsi="Cambria Math" w:eastAsia="Cambria Math" w:cs="Cambria Math"/>
                <w:sz w:val="24"/>
              </w:rPr>
            </m:ctrlPr>
          </m:sSubPr>
          <m:e>
            <m:r>
              <w:rPr>
                <w:sz w:val="24"/>
                <w:szCs w:val="24"/>
              </w:rPr>
              <m:rPr/>
              <m:t>O</m:t>
            </m:r>
          </m:e>
          <m:sub>
            <m:r>
              <w:rPr>
                <w:sz w:val="24"/>
                <w:szCs w:val="24"/>
              </w:rPr>
              <m:rPr/>
              <m:t>i</m:t>
            </m:r>
          </m:sub>
        </m:sSub>
      </m:oMath>
      <w:r>
        <w:rPr>
          <w:sz w:val="24"/>
          <w:szCs w:val="24"/>
        </w:rPr>
        <w:t xml:space="preserve">), que mide el grado de completitud del perfil de Google Business Profile, incluyendo la verificación del local, exactitud de geolocalización, horarios reales y presencia de enlaces directos a menús o reservas. El segundo es el Reviews Leak (</w:t>
      </w:r>
      <m:oMath>
        <m:r>
          <w:rPr>
            <w:sz w:val="24"/>
            <w:szCs w:val="24"/>
          </w:rPr>
          <m:rPr/>
          <m:t>R</m:t>
        </m:r>
        <m:sSub>
          <m:sSubPr>
            <m:ctrlPr>
              <w:rPr>
                <w:rFonts w:hint="default" w:ascii="Cambria Math" w:hAnsi="Cambria Math" w:eastAsia="Cambria Math" w:cs="Cambria Math"/>
                <w:sz w:val="24"/>
              </w:rPr>
            </m:ctrlPr>
          </m:sSubPr>
          <m:e>
            <m:r>
              <w:rPr>
                <w:sz w:val="24"/>
                <w:szCs w:val="24"/>
              </w:rPr>
              <m:rPr/>
              <m:t>L</m:t>
            </m:r>
          </m:e>
          <m:sub>
            <m:r>
              <w:rPr>
                <w:sz w:val="24"/>
                <w:szCs w:val="24"/>
              </w:rPr>
              <m:rPr/>
              <m:t>i</m:t>
            </m:r>
          </m:sub>
        </m:sSub>
      </m:oMath>
      <w:r>
        <w:rPr>
          <w:sz w:val="24"/>
          <w:szCs w:val="24"/>
        </w:rPr>
        <w:t xml:space="preserve">), que calcula la proporción de opiniones registradas en Google Maps durante los últimos 30 días que no recibieron ninguna interacción de respuesta por parte del propietario. El tercero corresponde al Instagram Lead Leak (</w:t>
      </w:r>
      <m:oMath>
        <m:r>
          <w:rPr>
            <w:sz w:val="24"/>
            <w:szCs w:val="24"/>
          </w:rPr>
          <m:rPr/>
          <m:t>I</m:t>
        </m:r>
        <m:r>
          <w:rPr>
            <w:sz w:val="24"/>
            <w:szCs w:val="24"/>
          </w:rPr>
          <m:rPr/>
          <m:t>L</m:t>
        </m:r>
        <m:sSub>
          <m:sSubPr>
            <m:ctrlPr>
              <w:rPr>
                <w:rFonts w:hint="default" w:ascii="Cambria Math" w:hAnsi="Cambria Math" w:eastAsia="Cambria Math" w:cs="Cambria Math"/>
                <w:sz w:val="24"/>
              </w:rPr>
            </m:ctrlPr>
          </m:sSubPr>
          <m:e>
            <m:r>
              <w:rPr>
                <w:sz w:val="24"/>
                <w:szCs w:val="24"/>
              </w:rPr>
              <m:rPr/>
              <m:t>L</m:t>
            </m:r>
          </m:e>
          <m:sub>
            <m:r>
              <w:rPr>
                <w:sz w:val="24"/>
                <w:szCs w:val="24"/>
              </w:rPr>
              <m:rPr/>
              <m:t>i</m:t>
            </m:r>
          </m:sub>
        </m:sSub>
      </m:oMath>
      <w:r>
        <w:rPr>
          <w:sz w:val="24"/>
          <w:szCs w:val="24"/>
        </w:rPr>
        <w:t xml:space="preserve">), definido como el porcentaje de comentarios transaccionales de alta intención en publicaciones recientes sin respuesta humana o automatizada, reflejando el grado de asimetría analítica reportado en economías de innovación local</w:t>
      </w:r>
      <w:r>
        <w:rPr>
          <w:sz w:val="24"/>
          <w:szCs w:val="24"/>
        </w:rPr>
        <w:t xml:space="preserve"> </w:t>
      </w:r>
      <w:r>
        <w:rPr>
          <w:sz w:val="24"/>
          <w:szCs w:val="24"/>
        </w:rPr>
        <w:t xml:space="preserve">(Mentinno, 2024; MINTEL / INEC, 2024)</w:t>
      </w:r>
      <w:r>
        <w:rPr>
          <w:sz w:val="24"/>
          <w:szCs w:val="24"/>
        </w:rPr>
        <w:t xml:space="preserve">. El cuarto indicador registra la latencia de respuesta o Mystery Shopping Time to Response (</w:t>
      </w:r>
      <m:oMath>
        <m:r>
          <w:rPr>
            <w:sz w:val="24"/>
            <w:szCs w:val="24"/>
          </w:rPr>
          <m:rPr/>
          <m:t>T</m:t>
        </m:r>
        <m:r>
          <w:rPr>
            <w:sz w:val="24"/>
            <w:szCs w:val="24"/>
          </w:rPr>
          <m:rPr/>
          <m:t>T</m:t>
        </m:r>
        <m:sSub>
          <m:sSubPr>
            <m:ctrlPr>
              <w:rPr>
                <w:rFonts w:hint="default" w:ascii="Cambria Math" w:hAnsi="Cambria Math" w:eastAsia="Cambria Math" w:cs="Cambria Math"/>
                <w:sz w:val="24"/>
              </w:rPr>
            </m:ctrlPr>
          </m:sSubPr>
          <m:e>
            <m:r>
              <w:rPr>
                <w:sz w:val="24"/>
                <w:szCs w:val="24"/>
              </w:rPr>
              <m:rPr/>
              <m:t>R</m:t>
            </m:r>
          </m:e>
          <m:sub>
            <m:r>
              <w:rPr>
                <w:sz w:val="24"/>
                <w:szCs w:val="24"/>
              </w:rPr>
              <m:rPr/>
              <m:t>i</m:t>
            </m:r>
          </m:sub>
        </m:sSub>
      </m:oMath>
      <w:r>
        <w:rPr>
          <w:sz w:val="24"/>
          <w:szCs w:val="24"/>
        </w:rPr>
        <w:t xml:space="preserve">), que mide el tiempo en minutos transcurrido desde el envío de una cotización simulada hasta recibir respuesta humana en horas laborables, todo bajo el marco favorable de fomento tecnológico establecido en la ordenanza de transformación digital local</w:t>
      </w:r>
      <w:r>
        <w:rPr>
          <w:sz w:val="24"/>
          <w:szCs w:val="24"/>
        </w:rPr>
        <w:t xml:space="preserve"> </w:t>
      </w:r>
      <w:r>
        <w:rPr>
          <w:sz w:val="24"/>
          <w:szCs w:val="24"/>
        </w:rPr>
        <w:t xml:space="preserve">(Municipio de Loja, 2025)</w:t>
      </w:r>
      <w:r>
        <w:rPr>
          <w:sz w:val="24"/>
          <w:szCs w:val="24"/>
        </w:rPr>
        <w:t xml:space="preserve">. Este último indicador se normaliza asignando un valor máximo de ineficiencia del 100% a demoras superiores a 240 minutos (4 horas):</w:t>
      </w:r>
      <w:r>
        <w:rPr>
          <w:sz w:val="24"/>
          <w:szCs w:val="24"/>
        </w:rPr>
      </w:r>
    </w:p>
    <w:p>
      <w:pPr>
        <w:pStyle w:val="685"/>
        <w:pBdr/>
        <w:spacing/>
        <w:ind/>
        <w:jc w:val="both"/>
        <w:rPr>
          <w:sz w:val="24"/>
          <w:szCs w:val="24"/>
        </w:rPr>
      </w:pPr>
      <w:r>
        <w:rPr>
          <w:sz w:val="24"/>
          <w:szCs w:val="24"/>
        </w:rPr>
      </w:r>
      <w:bookmarkStart w:id="10" w:name="eq-ttr"/>
      <w:r>
        <w:rPr>
          <w:sz w:val="24"/>
          <w:szCs w:val="24"/>
        </w:rPr>
      </w:r>
      <m:oMathPara>
        <m:oMathParaPr>
          <m:jc m:val="centerGroup"/>
        </m:oMathParaPr>
        <m:oMath>
          <m:sSub>
            <m:sSubPr>
              <m:ctrlPr>
                <w:rPr>
                  <w:rFonts w:hint="default" w:ascii="Cambria Math" w:hAnsi="Cambria Math" w:eastAsia="Cambria Math" w:cs="Cambria Math"/>
                  <w:sz w:val="24"/>
                </w:rPr>
              </m:ctrlPr>
            </m:sSubPr>
            <m:e>
              <m:r>
                <w:rPr>
                  <w:sz w:val="24"/>
                  <w:szCs w:val="24"/>
                </w:rPr>
                <m:rPr>
                  <m:nor m:val="on"/>
                  <m:sty m:val="p"/>
                </m:rPr>
                <m:t>Ineficiencia TTR</m:t>
              </m:r>
            </m:e>
            <m:sub>
              <m:r>
                <w:rPr>
                  <w:sz w:val="24"/>
                  <w:szCs w:val="24"/>
                </w:rPr>
                <m:rPr/>
                <m:t>i</m:t>
              </m:r>
            </m:sub>
          </m:sSub>
          <m:r>
            <w:rPr>
              <w:sz w:val="24"/>
              <w:szCs w:val="24"/>
            </w:rPr>
            <m:rPr>
              <m:sty m:val="p"/>
            </m:rPr>
            <m:t>=</m:t>
          </m:r>
          <m:r>
            <w:rPr>
              <w:sz w:val="24"/>
              <w:szCs w:val="24"/>
            </w:rPr>
            <m:rPr>
              <m:sty m:val="p"/>
            </m:rPr>
            <m:t>min</m:t>
          </m:r>
          <m:d>
            <m:dPr>
              <m:begChr m:val="("/>
              <m:endChr m:val=")"/>
              <m:sepChr m:val=""/>
              <m:ctrlPr>
                <w:rPr>
                  <w:rFonts w:hint="default" w:ascii="Cambria Math" w:hAnsi="Cambria Math" w:eastAsia="Cambria Math" w:cs="Cambria Math"/>
                  <w:sz w:val="24"/>
                </w:rPr>
              </m:ctrlPr>
            </m:dPr>
            <m:e>
              <m:r>
                <w:rPr>
                  <w:sz w:val="24"/>
                  <w:szCs w:val="24"/>
                </w:rPr>
                <m:rPr/>
                <m:t>100</m:t>
              </m:r>
              <m:r>
                <w:rPr>
                  <w:sz w:val="24"/>
                  <w:szCs w:val="24"/>
                </w:rPr>
                <m:rPr>
                  <m:sty m:val="p"/>
                </m:rPr>
                <m:t>,</m:t>
              </m:r>
              <m:f>
                <m:fPr>
                  <m:ctrlPr>
                    <w:rPr>
                      <w:rFonts w:hint="default" w:ascii="Cambria Math" w:hAnsi="Cambria Math" w:eastAsia="Cambria Math" w:cs="Cambria Math"/>
                      <w:sz w:val="24"/>
                    </w:rPr>
                  </m:ctrlPr>
                </m:fPr>
                <m:num>
                  <m:r>
                    <w:rPr>
                      <w:sz w:val="24"/>
                      <w:szCs w:val="24"/>
                    </w:rPr>
                    <m:rPr/>
                    <m:t>T</m:t>
                  </m:r>
                  <m:r>
                    <w:rPr>
                      <w:sz w:val="24"/>
                      <w:szCs w:val="24"/>
                    </w:rPr>
                    <m:rPr/>
                    <m:t>T</m:t>
                  </m:r>
                  <m:sSub>
                    <m:sSubPr>
                      <m:ctrlPr>
                        <w:rPr>
                          <w:rFonts w:hint="default" w:ascii="Cambria Math" w:hAnsi="Cambria Math" w:eastAsia="Cambria Math" w:cs="Cambria Math"/>
                          <w:sz w:val="24"/>
                        </w:rPr>
                      </m:ctrlPr>
                    </m:sSubPr>
                    <m:e>
                      <m:r>
                        <w:rPr>
                          <w:sz w:val="24"/>
                          <w:szCs w:val="24"/>
                        </w:rPr>
                        <m:rPr/>
                        <m:t>R</m:t>
                      </m:r>
                    </m:e>
                    <m:sub>
                      <m:r>
                        <w:rPr>
                          <w:sz w:val="24"/>
                          <w:szCs w:val="24"/>
                        </w:rPr>
                        <m:rPr/>
                        <m:t>i</m:t>
                      </m:r>
                    </m:sub>
                  </m:sSub>
                </m:num>
                <m:den>
                  <m:r>
                    <w:rPr>
                      <w:sz w:val="24"/>
                      <w:szCs w:val="24"/>
                    </w:rPr>
                    <m:rPr/>
                    <m:t>240</m:t>
                  </m:r>
                </m:den>
              </m:f>
              <m:r>
                <w:rPr>
                  <w:sz w:val="24"/>
                  <w:szCs w:val="24"/>
                </w:rPr>
                <m:rPr>
                  <m:sty m:val="p"/>
                </m:rPr>
                <m:t>×</m:t>
              </m:r>
              <m:r>
                <w:rPr>
                  <w:sz w:val="24"/>
                  <w:szCs w:val="24"/>
                </w:rPr>
                <m:rPr/>
                <m:t>100</m:t>
              </m:r>
            </m:e>
          </m:d>
          <m:r>
            <w:rPr>
              <w:sz w:val="24"/>
              <w:szCs w:val="24"/>
            </w:rPr>
            <m:rPr/>
            <m:t>  </m:t>
          </m:r>
          <m:r>
            <w:rPr>
              <w:sz w:val="24"/>
              <w:szCs w:val="24"/>
            </w:rPr>
            <m:rPr>
              <m:sty m:val="p"/>
            </m:rPr>
            <m:t>(</m:t>
          </m:r>
          <m:r>
            <w:rPr>
              <w:sz w:val="24"/>
              <w:szCs w:val="24"/>
            </w:rPr>
            <m:rPr/>
            <m:t>1</m:t>
          </m:r>
          <m:r>
            <w:rPr>
              <w:sz w:val="24"/>
              <w:szCs w:val="24"/>
            </w:rPr>
            <m:rPr>
              <m:sty m:val="p"/>
            </m:rPr>
            <m:t>)</m:t>
          </m:r>
        </m:oMath>
      </m:oMathPara>
      <w:r>
        <w:rPr>
          <w:sz w:val="24"/>
          <w:szCs w:val="24"/>
        </w:rPr>
      </w:r>
      <w:bookmarkEnd w:id="10"/>
      <w:r>
        <w:rPr>
          <w:sz w:val="24"/>
          <w:szCs w:val="24"/>
        </w:rPr>
      </w:r>
      <w:r>
        <w:rPr>
          <w:sz w:val="24"/>
          <w:szCs w:val="24"/>
        </w:rPr>
      </w:r>
    </w:p>
    <w:p>
      <w:pPr>
        <w:pStyle w:val="686"/>
        <w:pBdr/>
        <w:spacing/>
        <w:ind/>
        <w:jc w:val="both"/>
        <w:rPr>
          <w:sz w:val="24"/>
          <w:szCs w:val="24"/>
        </w:rPr>
      </w:pPr>
      <w:r>
        <w:rPr>
          <w:sz w:val="24"/>
          <w:szCs w:val="24"/>
        </w:rPr>
        <w:t xml:space="preserve">El Índice de Ineficiencia Digital (DII) de cada establecimiento sintetiza las debilidades operativas mediante el promedio simple de sus deficiencias en las cuatro dimensiones evaluadas:</w:t>
      </w:r>
      <w:r>
        <w:rPr>
          <w:sz w:val="24"/>
          <w:szCs w:val="24"/>
        </w:rPr>
      </w:r>
    </w:p>
    <w:p>
      <w:pPr>
        <w:pStyle w:val="685"/>
        <w:pBdr/>
        <w:spacing/>
        <w:ind/>
        <w:jc w:val="both"/>
        <w:rPr>
          <w:sz w:val="24"/>
          <w:szCs w:val="24"/>
        </w:rPr>
      </w:pPr>
      <w:r>
        <w:rPr>
          <w:sz w:val="24"/>
          <w:szCs w:val="24"/>
        </w:rPr>
      </w:r>
      <w:bookmarkStart w:id="11" w:name="eq-dii"/>
      <w:r>
        <w:rPr>
          <w:sz w:val="24"/>
          <w:szCs w:val="24"/>
        </w:rPr>
      </w:r>
      <m:oMathPara>
        <m:oMathParaPr>
          <m:jc m:val="centerGroup"/>
        </m:oMathParaPr>
        <m:oMath>
          <m:r>
            <w:rPr>
              <w:sz w:val="24"/>
              <w:szCs w:val="24"/>
            </w:rPr>
            <m:rPr/>
            <m:t>D</m:t>
          </m:r>
          <m:r>
            <w:rPr>
              <w:sz w:val="24"/>
              <w:szCs w:val="24"/>
            </w:rPr>
            <m:rPr/>
            <m:t>I</m:t>
          </m:r>
          <m:sSub>
            <m:sSubPr>
              <m:ctrlPr>
                <w:rPr>
                  <w:rFonts w:hint="default" w:ascii="Cambria Math" w:hAnsi="Cambria Math" w:eastAsia="Cambria Math" w:cs="Cambria Math"/>
                  <w:sz w:val="24"/>
                </w:rPr>
              </m:ctrlPr>
            </m:sSubPr>
            <m:e>
              <m:r>
                <w:rPr>
                  <w:sz w:val="24"/>
                  <w:szCs w:val="24"/>
                </w:rPr>
                <m:rPr/>
                <m:t>I</m:t>
              </m:r>
            </m:e>
            <m:sub>
              <m:r>
                <w:rPr>
                  <w:sz w:val="24"/>
                  <w:szCs w:val="24"/>
                </w:rPr>
                <m:rPr/>
                <m:t>i</m:t>
              </m:r>
            </m:sub>
          </m:sSub>
          <m:r>
            <w:rPr>
              <w:sz w:val="24"/>
              <w:szCs w:val="24"/>
            </w:rPr>
            <m:rPr>
              <m:sty m:val="p"/>
            </m:rPr>
            <m:t>=</m:t>
          </m:r>
          <m:f>
            <m:fPr>
              <m:ctrlPr>
                <w:rPr>
                  <w:rFonts w:hint="default" w:ascii="Cambria Math" w:hAnsi="Cambria Math" w:eastAsia="Cambria Math" w:cs="Cambria Math"/>
                  <w:sz w:val="24"/>
                </w:rPr>
              </m:ctrlPr>
            </m:fPr>
            <m:num>
              <m:r>
                <w:rPr>
                  <w:sz w:val="24"/>
                  <w:szCs w:val="24"/>
                </w:rPr>
                <m:rPr>
                  <m:sty m:val="p"/>
                </m:rPr>
                <m:t>(</m:t>
              </m:r>
              <m:r>
                <w:rPr>
                  <w:sz w:val="24"/>
                  <w:szCs w:val="24"/>
                </w:rPr>
                <m:rPr/>
                <m:t>100</m:t>
              </m:r>
              <m:r>
                <w:rPr>
                  <w:sz w:val="24"/>
                  <w:szCs w:val="24"/>
                </w:rPr>
                <m:rPr>
                  <m:sty m:val="p"/>
                </m:rPr>
                <m:t>−</m:t>
              </m:r>
              <m:r>
                <w:rPr>
                  <w:sz w:val="24"/>
                  <w:szCs w:val="24"/>
                </w:rPr>
                <m:rPr/>
                <m:t>S</m:t>
              </m:r>
              <m:r>
                <w:rPr>
                  <w:sz w:val="24"/>
                  <w:szCs w:val="24"/>
                </w:rPr>
                <m:rPr/>
                <m:t>E</m:t>
              </m:r>
              <m:sSub>
                <m:sSubPr>
                  <m:ctrlPr>
                    <w:rPr>
                      <w:rFonts w:hint="default" w:ascii="Cambria Math" w:hAnsi="Cambria Math" w:eastAsia="Cambria Math" w:cs="Cambria Math"/>
                      <w:sz w:val="24"/>
                    </w:rPr>
                  </m:ctrlPr>
                </m:sSubPr>
                <m:e>
                  <m:r>
                    <w:rPr>
                      <w:sz w:val="24"/>
                      <w:szCs w:val="24"/>
                    </w:rPr>
                    <m:rPr/>
                    <m:t>O</m:t>
                  </m:r>
                </m:e>
                <m:sub>
                  <m:r>
                    <w:rPr>
                      <w:sz w:val="24"/>
                      <w:szCs w:val="24"/>
                    </w:rPr>
                    <m:rPr/>
                    <m:t>i</m:t>
                  </m:r>
                </m:sub>
              </m:sSub>
              <m:r>
                <w:rPr>
                  <w:sz w:val="24"/>
                  <w:szCs w:val="24"/>
                </w:rPr>
                <m:rPr>
                  <m:sty m:val="p"/>
                </m:rPr>
                <m:t>)</m:t>
              </m:r>
              <m:r>
                <w:rPr>
                  <w:sz w:val="24"/>
                  <w:szCs w:val="24"/>
                </w:rPr>
                <m:rPr>
                  <m:sty m:val="p"/>
                </m:rPr>
                <m:t>+</m:t>
              </m:r>
              <m:r>
                <w:rPr>
                  <w:sz w:val="24"/>
                  <w:szCs w:val="24"/>
                </w:rPr>
                <m:rPr/>
                <m:t>R</m:t>
              </m:r>
              <m:sSub>
                <m:sSubPr>
                  <m:ctrlPr>
                    <w:rPr>
                      <w:rFonts w:hint="default" w:ascii="Cambria Math" w:hAnsi="Cambria Math" w:eastAsia="Cambria Math" w:cs="Cambria Math"/>
                      <w:sz w:val="24"/>
                    </w:rPr>
                  </m:ctrlPr>
                </m:sSubPr>
                <m:e>
                  <m:r>
                    <w:rPr>
                      <w:sz w:val="24"/>
                      <w:szCs w:val="24"/>
                    </w:rPr>
                    <m:rPr/>
                    <m:t>L</m:t>
                  </m:r>
                </m:e>
                <m:sub>
                  <m:r>
                    <w:rPr>
                      <w:sz w:val="24"/>
                      <w:szCs w:val="24"/>
                    </w:rPr>
                    <m:rPr/>
                    <m:t>i</m:t>
                  </m:r>
                </m:sub>
              </m:sSub>
              <m:r>
                <w:rPr>
                  <w:sz w:val="24"/>
                  <w:szCs w:val="24"/>
                </w:rPr>
                <m:rPr>
                  <m:sty m:val="p"/>
                </m:rPr>
                <m:t>+</m:t>
              </m:r>
              <m:r>
                <w:rPr>
                  <w:sz w:val="24"/>
                  <w:szCs w:val="24"/>
                </w:rPr>
                <m:rPr/>
                <m:t>I</m:t>
              </m:r>
              <m:r>
                <w:rPr>
                  <w:sz w:val="24"/>
                  <w:szCs w:val="24"/>
                </w:rPr>
                <m:rPr/>
                <m:t>L</m:t>
              </m:r>
              <m:sSub>
                <m:sSubPr>
                  <m:ctrlPr>
                    <w:rPr>
                      <w:rFonts w:hint="default" w:ascii="Cambria Math" w:hAnsi="Cambria Math" w:eastAsia="Cambria Math" w:cs="Cambria Math"/>
                      <w:sz w:val="24"/>
                    </w:rPr>
                  </m:ctrlPr>
                </m:sSubPr>
                <m:e>
                  <m:r>
                    <w:rPr>
                      <w:sz w:val="24"/>
                      <w:szCs w:val="24"/>
                    </w:rPr>
                    <m:rPr/>
                    <m:t>L</m:t>
                  </m:r>
                </m:e>
                <m:sub>
                  <m:r>
                    <w:rPr>
                      <w:sz w:val="24"/>
                      <w:szCs w:val="24"/>
                    </w:rPr>
                    <m:rPr/>
                    <m:t>i</m:t>
                  </m:r>
                </m:sub>
              </m:sSub>
              <m:r>
                <w:rPr>
                  <w:sz w:val="24"/>
                  <w:szCs w:val="24"/>
                </w:rPr>
                <m:rPr>
                  <m:sty m:val="p"/>
                </m:rPr>
                <m:t>+</m:t>
              </m:r>
              <m:sSub>
                <m:sSubPr>
                  <m:ctrlPr>
                    <w:rPr>
                      <w:rFonts w:hint="default" w:ascii="Cambria Math" w:hAnsi="Cambria Math" w:eastAsia="Cambria Math" w:cs="Cambria Math"/>
                      <w:sz w:val="24"/>
                    </w:rPr>
                  </m:ctrlPr>
                </m:sSubPr>
                <m:e>
                  <m:r>
                    <w:rPr>
                      <w:sz w:val="24"/>
                      <w:szCs w:val="24"/>
                    </w:rPr>
                    <m:rPr>
                      <m:nor m:val="on"/>
                      <m:sty m:val="p"/>
                    </m:rPr>
                    <m:t>Ineficiencia TTR</m:t>
                  </m:r>
                </m:e>
                <m:sub>
                  <m:r>
                    <w:rPr>
                      <w:sz w:val="24"/>
                      <w:szCs w:val="24"/>
                    </w:rPr>
                    <m:rPr/>
                    <m:t>i</m:t>
                  </m:r>
                </m:sub>
              </m:sSub>
            </m:num>
            <m:den>
              <m:r>
                <w:rPr>
                  <w:sz w:val="24"/>
                  <w:szCs w:val="24"/>
                </w:rPr>
                <m:rPr/>
                <m:t>4</m:t>
              </m:r>
            </m:den>
          </m:f>
          <m:r>
            <w:rPr>
              <w:sz w:val="24"/>
              <w:szCs w:val="24"/>
            </w:rPr>
            <m:rPr/>
            <m:t>  </m:t>
          </m:r>
          <m:r>
            <w:rPr>
              <w:sz w:val="24"/>
              <w:szCs w:val="24"/>
            </w:rPr>
            <m:rPr>
              <m:sty m:val="p"/>
            </m:rPr>
            <m:t>(</m:t>
          </m:r>
          <m:r>
            <w:rPr>
              <w:sz w:val="24"/>
              <w:szCs w:val="24"/>
            </w:rPr>
            <m:rPr/>
            <m:t>2</m:t>
          </m:r>
          <m:r>
            <w:rPr>
              <w:sz w:val="24"/>
              <w:szCs w:val="24"/>
            </w:rPr>
            <m:rPr>
              <m:sty m:val="p"/>
            </m:rPr>
            <m:t>)</m:t>
          </m:r>
        </m:oMath>
      </m:oMathPara>
      <w:r>
        <w:rPr>
          <w:sz w:val="24"/>
          <w:szCs w:val="24"/>
        </w:rPr>
      </w:r>
      <w:bookmarkEnd w:id="11"/>
      <w:r>
        <w:rPr>
          <w:sz w:val="24"/>
          <w:szCs w:val="24"/>
        </w:rPr>
      </w:r>
      <w:r>
        <w:rPr>
          <w:sz w:val="24"/>
          <w:szCs w:val="24"/>
        </w:rPr>
      </w:r>
    </w:p>
    <w:p>
      <w:pPr>
        <w:pStyle w:val="686"/>
        <w:pBdr/>
        <w:spacing/>
        <w:ind/>
        <w:jc w:val="both"/>
        <w:rPr>
          <w:sz w:val="24"/>
          <w:szCs w:val="24"/>
        </w:rPr>
      </w:pPr>
      <w:r>
        <w:rPr>
          <w:sz w:val="24"/>
          <w:szCs w:val="24"/>
        </w:rPr>
        <w:t xml:space="preserve">Para demostrar el costo financiero de esta ineficiencia digital, calculamos la facturación mensual que el negocio pierde directamente al ignorar clientes potenciales en canales sociales mediante la ecuación de pérdida mensual de ingresos:</w:t>
      </w:r>
      <w:r>
        <w:rPr>
          <w:sz w:val="24"/>
          <w:szCs w:val="24"/>
        </w:rPr>
      </w:r>
    </w:p>
    <w:p>
      <w:pPr>
        <w:pStyle w:val="685"/>
        <w:pBdr/>
        <w:spacing/>
        <w:ind/>
        <w:jc w:val="both"/>
        <w:rPr>
          <w:sz w:val="24"/>
          <w:szCs w:val="24"/>
        </w:rPr>
      </w:pPr>
      <w:r>
        <w:rPr>
          <w:sz w:val="24"/>
          <w:szCs w:val="24"/>
        </w:rPr>
      </w:r>
      <w:bookmarkStart w:id="12" w:name="eq-fuga"/>
      <w:r>
        <w:rPr>
          <w:sz w:val="24"/>
          <w:szCs w:val="24"/>
        </w:rPr>
      </w:r>
      <m:oMathPara>
        <m:oMathParaPr>
          <m:jc m:val="centerGroup"/>
        </m:oMathParaPr>
        <m:oMath>
          <m:sSub>
            <m:sSubPr>
              <m:ctrlPr>
                <w:rPr>
                  <w:rFonts w:hint="default" w:ascii="Cambria Math" w:hAnsi="Cambria Math" w:eastAsia="Cambria Math" w:cs="Cambria Math"/>
                  <w:sz w:val="24"/>
                </w:rPr>
              </m:ctrlPr>
            </m:sSubPr>
            <m:e>
              <m:r>
                <w:rPr>
                  <w:sz w:val="24"/>
                  <w:szCs w:val="24"/>
                </w:rPr>
                <m:rPr>
                  <m:nor m:val="on"/>
                  <m:sty m:val="p"/>
                </m:rPr>
                <m:t>Fuga Financiera Mensual (USD)</m:t>
              </m:r>
            </m:e>
            <m:sub>
              <m:r>
                <w:rPr>
                  <w:sz w:val="24"/>
                  <w:szCs w:val="24"/>
                </w:rPr>
                <m:rPr/>
                <m:t>i</m:t>
              </m:r>
            </m:sub>
          </m:sSub>
          <m:r>
            <w:rPr>
              <w:sz w:val="24"/>
              <w:szCs w:val="24"/>
            </w:rPr>
            <m:rPr>
              <m:sty m:val="p"/>
            </m:rPr>
            <m:t>=</m:t>
          </m:r>
          <m:sSub>
            <m:sSubPr>
              <m:ctrlPr>
                <w:rPr>
                  <w:rFonts w:hint="default" w:ascii="Cambria Math" w:hAnsi="Cambria Math" w:eastAsia="Cambria Math" w:cs="Cambria Math"/>
                  <w:sz w:val="24"/>
                </w:rPr>
              </m:ctrlPr>
            </m:sSubPr>
            <m:e>
              <m:r>
                <w:rPr>
                  <w:sz w:val="24"/>
                  <w:szCs w:val="24"/>
                </w:rPr>
                <m:rPr/>
                <m:t>U</m:t>
              </m:r>
            </m:e>
            <m:sub>
              <m:r>
                <w:rPr>
                  <w:sz w:val="24"/>
                  <w:szCs w:val="24"/>
                </w:rPr>
                <m:rPr/>
                <m:t>i</m:t>
              </m:r>
            </m:sub>
          </m:sSub>
          <m:r>
            <w:rPr>
              <w:sz w:val="24"/>
              <w:szCs w:val="24"/>
            </w:rPr>
            <m:rPr>
              <m:sty m:val="p"/>
            </m:rPr>
            <m:t>×</m:t>
          </m:r>
          <m:r>
            <w:rPr>
              <w:sz w:val="24"/>
              <w:szCs w:val="24"/>
            </w:rPr>
            <m:rPr/>
            <m:t>C</m:t>
          </m:r>
          <m:r>
            <w:rPr>
              <w:sz w:val="24"/>
              <w:szCs w:val="24"/>
            </w:rPr>
            <m:rPr/>
            <m:t>R</m:t>
          </m:r>
          <m:r>
            <w:rPr>
              <w:sz w:val="24"/>
              <w:szCs w:val="24"/>
            </w:rPr>
            <m:rPr>
              <m:sty m:val="p"/>
            </m:rPr>
            <m:t>×</m:t>
          </m:r>
          <m:r>
            <w:rPr>
              <w:sz w:val="24"/>
              <w:szCs w:val="24"/>
            </w:rPr>
            <m:rPr>
              <m:sty m:val="p"/>
            </m:rPr>
            <m:t>(</m:t>
          </m:r>
          <m:sSub>
            <m:sSubPr>
              <m:ctrlPr>
                <w:rPr>
                  <w:rFonts w:hint="default" w:ascii="Cambria Math" w:hAnsi="Cambria Math" w:eastAsia="Cambria Math" w:cs="Cambria Math"/>
                  <w:sz w:val="24"/>
                </w:rPr>
              </m:ctrlPr>
            </m:sSubPr>
            <m:e>
              <m:r>
                <w:rPr>
                  <w:sz w:val="24"/>
                  <w:szCs w:val="24"/>
                </w:rPr>
                <m:rPr/>
                <m:t>T</m:t>
              </m:r>
            </m:e>
            <m:sub>
              <m:r>
                <w:rPr>
                  <w:sz w:val="24"/>
                  <w:szCs w:val="24"/>
                </w:rPr>
                <m:rPr/>
                <m:t>p</m:t>
              </m:r>
            </m:sub>
          </m:sSub>
          <m:r>
            <w:rPr>
              <w:sz w:val="24"/>
              <w:szCs w:val="24"/>
            </w:rPr>
            <m:rPr>
              <m:sty m:val="p"/>
            </m:rPr>
            <m:t>×</m:t>
          </m:r>
          <m:sSub>
            <m:sSubPr>
              <m:ctrlPr>
                <w:rPr>
                  <w:rFonts w:hint="default" w:ascii="Cambria Math" w:hAnsi="Cambria Math" w:eastAsia="Cambria Math" w:cs="Cambria Math"/>
                  <w:sz w:val="24"/>
                </w:rPr>
              </m:ctrlPr>
            </m:sSubPr>
            <m:e>
              <m:r>
                <w:rPr>
                  <w:sz w:val="24"/>
                  <w:szCs w:val="24"/>
                </w:rPr>
                <m:rPr/>
                <m:t>G</m:t>
              </m:r>
            </m:e>
            <m:sub>
              <m:r>
                <w:rPr>
                  <w:sz w:val="24"/>
                  <w:szCs w:val="24"/>
                </w:rPr>
                <m:rPr/>
                <m:t>p</m:t>
              </m:r>
            </m:sub>
          </m:sSub>
          <m:r>
            <w:rPr>
              <w:sz w:val="24"/>
              <w:szCs w:val="24"/>
            </w:rPr>
            <m:rPr>
              <m:sty m:val="p"/>
            </m:rPr>
            <m:t>)</m:t>
          </m:r>
          <m:r>
            <w:rPr>
              <w:sz w:val="24"/>
              <w:szCs w:val="24"/>
            </w:rPr>
            <m:rPr/>
            <m:t>  </m:t>
          </m:r>
          <m:r>
            <w:rPr>
              <w:sz w:val="24"/>
              <w:szCs w:val="24"/>
            </w:rPr>
            <m:rPr>
              <m:sty m:val="p"/>
            </m:rPr>
            <m:t>(</m:t>
          </m:r>
          <m:r>
            <w:rPr>
              <w:sz w:val="24"/>
              <w:szCs w:val="24"/>
            </w:rPr>
            <m:rPr/>
            <m:t>3</m:t>
          </m:r>
          <m:r>
            <w:rPr>
              <w:sz w:val="24"/>
              <w:szCs w:val="24"/>
            </w:rPr>
            <m:rPr>
              <m:sty m:val="p"/>
            </m:rPr>
            <m:t>)</m:t>
          </m:r>
        </m:oMath>
      </m:oMathPara>
      <w:r>
        <w:rPr>
          <w:sz w:val="24"/>
          <w:szCs w:val="24"/>
        </w:rPr>
      </w:r>
      <w:bookmarkEnd w:id="12"/>
      <w:r>
        <w:rPr>
          <w:sz w:val="24"/>
          <w:szCs w:val="24"/>
        </w:rPr>
      </w:r>
      <w:r>
        <w:rPr>
          <w:sz w:val="24"/>
          <w:szCs w:val="24"/>
        </w:rPr>
      </w:r>
    </w:p>
    <w:p>
      <w:pPr>
        <w:pStyle w:val="686"/>
        <w:pBdr/>
        <w:spacing/>
        <w:ind/>
        <w:jc w:val="both"/>
        <w:rPr>
          <w:sz w:val="24"/>
          <w:szCs w:val="24"/>
        </w:rPr>
      </w:pPr>
      <w:r>
        <w:rPr>
          <w:sz w:val="24"/>
          <w:szCs w:val="24"/>
        </w:rPr>
        <w:t xml:space="preserve">En la fórmula anterior, el término</w:t>
      </w:r>
      <w:r>
        <w:rPr>
          <w:sz w:val="24"/>
          <w:szCs w:val="24"/>
        </w:rPr>
        <w:t xml:space="preserve"> </w:t>
      </w:r>
      <m:oMath>
        <m:sSub>
          <m:sSubPr>
            <m:ctrlPr>
              <w:rPr>
                <w:rFonts w:hint="default" w:ascii="Cambria Math" w:hAnsi="Cambria Math" w:eastAsia="Cambria Math" w:cs="Cambria Math"/>
                <w:sz w:val="24"/>
              </w:rPr>
            </m:ctrlPr>
          </m:sSubPr>
          <m:e>
            <m:r>
              <w:rPr>
                <w:sz w:val="24"/>
                <w:szCs w:val="24"/>
              </w:rPr>
              <m:rPr/>
              <m:t>U</m:t>
            </m:r>
          </m:e>
          <m:sub>
            <m:r>
              <w:rPr>
                <w:sz w:val="24"/>
                <w:szCs w:val="24"/>
              </w:rPr>
              <m:rPr/>
              <m:t>i</m:t>
            </m:r>
          </m:sub>
        </m:sSub>
      </m:oMath>
      <w:r>
        <w:rPr>
          <w:sz w:val="24"/>
          <w:szCs w:val="24"/>
        </w:rPr>
        <w:t xml:space="preserve"> </w:t>
      </w:r>
      <w:r>
        <w:rPr>
          <w:sz w:val="24"/>
          <w:szCs w:val="24"/>
        </w:rPr>
        <w:t xml:space="preserve">representa el volumen absoluto mensual de leads de alta intención que quedaron sin responder en los canales sociales. La tasa de conversión (</w:t>
      </w:r>
      <m:oMath>
        <m:r>
          <w:rPr>
            <w:sz w:val="24"/>
            <w:szCs w:val="24"/>
          </w:rPr>
          <m:rPr/>
          <m:t>C</m:t>
        </m:r>
        <m:r>
          <w:rPr>
            <w:sz w:val="24"/>
            <w:szCs w:val="24"/>
          </w:rPr>
          <m:rPr/>
          <m:t>R</m:t>
        </m:r>
      </m:oMath>
      <w:r>
        <w:rPr>
          <w:sz w:val="24"/>
          <w:szCs w:val="24"/>
        </w:rPr>
        <w:t xml:space="preserve">) se parametriza en un 30% como estándar conservador para contactos directos calificados. El ticket promedio de consumo per cápita (</w:t>
      </w:r>
      <m:oMath>
        <m:sSub>
          <m:sSubPr>
            <m:ctrlPr>
              <w:rPr>
                <w:rFonts w:hint="default" w:ascii="Cambria Math" w:hAnsi="Cambria Math" w:eastAsia="Cambria Math" w:cs="Cambria Math"/>
                <w:sz w:val="24"/>
              </w:rPr>
            </m:ctrlPr>
          </m:sSubPr>
          <m:e>
            <m:r>
              <w:rPr>
                <w:sz w:val="24"/>
                <w:szCs w:val="24"/>
              </w:rPr>
              <m:rPr/>
              <m:t>T</m:t>
            </m:r>
          </m:e>
          <m:sub>
            <m:r>
              <w:rPr>
                <w:sz w:val="24"/>
                <w:szCs w:val="24"/>
              </w:rPr>
              <m:rPr/>
              <m:t>p</m:t>
            </m:r>
          </m:sub>
        </m:sSub>
      </m:oMath>
      <w:r>
        <w:rPr>
          <w:sz w:val="24"/>
          <w:szCs w:val="24"/>
        </w:rPr>
        <w:t xml:space="preserve">) se establece en USD $15.50 basado en los benchmarks de performance y pauta publicitaria reportados en la región</w:t>
      </w:r>
      <w:r>
        <w:rPr>
          <w:sz w:val="24"/>
          <w:szCs w:val="24"/>
        </w:rPr>
        <w:t xml:space="preserve"> </w:t>
      </w:r>
      <w:r>
        <w:rPr>
          <w:sz w:val="24"/>
          <w:szCs w:val="24"/>
        </w:rPr>
        <w:t xml:space="preserve">(COPROMERCO, 2024; Zamora Montenegro, 2024)</w:t>
      </w:r>
      <w:r>
        <w:rPr>
          <w:sz w:val="24"/>
          <w:szCs w:val="24"/>
        </w:rPr>
        <w:t xml:space="preserve">, mientras que el tamaño promedio de grupo por mesa (</w:t>
      </w:r>
      <m:oMath>
        <m:sSub>
          <m:sSubPr>
            <m:ctrlPr>
              <w:rPr>
                <w:rFonts w:hint="default" w:ascii="Cambria Math" w:hAnsi="Cambria Math" w:eastAsia="Cambria Math" w:cs="Cambria Math"/>
                <w:sz w:val="24"/>
              </w:rPr>
            </m:ctrlPr>
          </m:sSubPr>
          <m:e>
            <m:r>
              <w:rPr>
                <w:sz w:val="24"/>
                <w:szCs w:val="24"/>
              </w:rPr>
              <m:rPr/>
              <m:t>G</m:t>
            </m:r>
          </m:e>
          <m:sub>
            <m:r>
              <w:rPr>
                <w:sz w:val="24"/>
                <w:szCs w:val="24"/>
              </w:rPr>
              <m:rPr/>
              <m:t>p</m:t>
            </m:r>
          </m:sub>
        </m:sSub>
      </m:oMath>
      <w:r>
        <w:rPr>
          <w:sz w:val="24"/>
          <w:szCs w:val="24"/>
        </w:rPr>
        <w:t xml:space="preserve">) se calibra en 3.0 personas. De este modo, el producto</w:t>
      </w:r>
      <w:r>
        <w:rPr>
          <w:sz w:val="24"/>
          <w:szCs w:val="24"/>
        </w:rPr>
        <w:t xml:space="preserve"> </w:t>
      </w:r>
      <m:oMath>
        <m:sSub>
          <m:sSubPr>
            <m:ctrlPr>
              <w:rPr>
                <w:rFonts w:hint="default" w:ascii="Cambria Math" w:hAnsi="Cambria Math" w:eastAsia="Cambria Math" w:cs="Cambria Math"/>
                <w:sz w:val="24"/>
              </w:rPr>
            </m:ctrlPr>
          </m:sSubPr>
          <m:e>
            <m:r>
              <w:rPr>
                <w:sz w:val="24"/>
                <w:szCs w:val="24"/>
              </w:rPr>
              <m:rPr/>
              <m:t>T</m:t>
            </m:r>
          </m:e>
          <m:sub>
            <m:r>
              <w:rPr>
                <w:sz w:val="24"/>
                <w:szCs w:val="24"/>
              </w:rPr>
              <m:rPr/>
              <m:t>p</m:t>
            </m:r>
          </m:sub>
        </m:sSub>
        <m:r>
          <w:rPr>
            <w:sz w:val="24"/>
            <w:szCs w:val="24"/>
          </w:rPr>
          <m:rPr>
            <m:sty m:val="p"/>
          </m:rPr>
          <m:t>×</m:t>
        </m:r>
        <m:sSub>
          <m:sSubPr>
            <m:ctrlPr>
              <w:rPr>
                <w:rFonts w:hint="default" w:ascii="Cambria Math" w:hAnsi="Cambria Math" w:eastAsia="Cambria Math" w:cs="Cambria Math"/>
                <w:sz w:val="24"/>
              </w:rPr>
            </m:ctrlPr>
          </m:sSubPr>
          <m:e>
            <m:r>
              <w:rPr>
                <w:sz w:val="24"/>
                <w:szCs w:val="24"/>
              </w:rPr>
              <m:rPr/>
              <m:t>G</m:t>
            </m:r>
          </m:e>
          <m:sub>
            <m:r>
              <w:rPr>
                <w:sz w:val="24"/>
                <w:szCs w:val="24"/>
              </w:rPr>
              <m:rPr/>
              <m:t>p</m:t>
            </m:r>
          </m:sub>
        </m:sSub>
      </m:oMath>
      <w:r>
        <w:rPr>
          <w:sz w:val="24"/>
          <w:szCs w:val="24"/>
        </w:rPr>
        <w:t xml:space="preserve"> </w:t>
      </w:r>
      <w:r>
        <w:rPr>
          <w:sz w:val="24"/>
          <w:szCs w:val="24"/>
        </w:rPr>
        <w:t xml:space="preserve">determina el valor del consumo promedio por mesa o pedido perdido, equivalente a USD $46.50, bajo el modelo clásico de monetización y consultoría adaptada para pequeños comercios</w:t>
      </w:r>
      <w:r>
        <w:rPr>
          <w:sz w:val="24"/>
          <w:szCs w:val="24"/>
        </w:rPr>
        <w:t xml:space="preserve"> </w:t>
      </w:r>
      <w:r>
        <w:rPr>
          <w:sz w:val="24"/>
          <w:szCs w:val="24"/>
        </w:rPr>
        <w:t xml:space="preserve">(Álvarez Contreras &amp; Jiménez Lyons, 2020)</w:t>
      </w:r>
      <w:r>
        <w:rPr>
          <w:sz w:val="24"/>
          <w:szCs w:val="24"/>
        </w:rPr>
        <w:t xml:space="preserve">.</w:t>
      </w:r>
      <w:bookmarkEnd w:id="13"/>
      <w:r/>
      <w:r>
        <w:rPr>
          <w:sz w:val="24"/>
          <w:szCs w:val="24"/>
        </w:rPr>
      </w:r>
    </w:p>
    <w:p>
      <w:pPr>
        <w:pStyle w:val="697"/>
        <w:pBdr/>
        <w:spacing/>
        <w:ind/>
        <w:jc w:val="both"/>
        <w:rPr>
          <w:sz w:val="24"/>
          <w:szCs w:val="24"/>
        </w:rPr>
      </w:pPr>
      <w:r>
        <w:rPr>
          <w:sz w:val="24"/>
          <w:szCs w:val="24"/>
        </w:rPr>
      </w:r>
      <w:bookmarkStart w:id="21" w:name="X8ff68d15e3c2e336b0eff0354beba74e311d369"/>
      <w:r>
        <w:rPr>
          <w:sz w:val="24"/>
          <w:szCs w:val="24"/>
        </w:rPr>
        <w:t xml:space="preserve">3. Resultados y Análisis Cuantitativo de la Auditoría en Loja</w:t>
      </w:r>
      <w:r>
        <w:rPr>
          <w:sz w:val="24"/>
          <w:szCs w:val="24"/>
        </w:rPr>
      </w:r>
    </w:p>
    <w:p>
      <w:pPr>
        <w:pStyle w:val="686"/>
        <w:pBdr/>
        <w:spacing/>
        <w:ind/>
        <w:jc w:val="both"/>
        <w:rPr>
          <w:sz w:val="24"/>
          <w:szCs w:val="24"/>
        </w:rPr>
      </w:pPr>
      <w:r>
        <w:rPr>
          <w:sz w:val="24"/>
          <w:szCs w:val="24"/>
        </w:rPr>
        <w:t xml:space="preserve">El análisis de la información recolectada</w:t>
      </w:r>
      <w:r>
        <w:rPr>
          <w:sz w:val="24"/>
          <w:szCs w:val="24"/>
        </w:rPr>
        <w:t xml:space="preserve"> revela ineficiencias críticas y asimetrías severas entre la capacidad del restaurante para atraer interés y su capacidad para canalizar el retorno financiero, en una densidad de mercado estimada en 2,190 establecimientos gastronómicos activos en el cantón</w:t>
      </w:r>
      <w:r>
        <w:rPr>
          <w:sz w:val="24"/>
          <w:szCs w:val="24"/>
        </w:rPr>
        <w:t xml:space="preserve"> </w:t>
      </w:r>
      <w:r>
        <w:rPr>
          <w:sz w:val="24"/>
          <w:szCs w:val="24"/>
        </w:rPr>
        <w:t xml:space="preserve">(UASB, 2024)</w:t>
      </w:r>
      <w:r>
        <w:rPr>
          <w:sz w:val="24"/>
          <w:szCs w:val="24"/>
        </w:rPr>
        <w:t xml:space="preserve">.</w:t>
      </w:r>
      <w:r>
        <w:rPr>
          <w:sz w:val="24"/>
          <w:szCs w:val="24"/>
        </w:rPr>
      </w:r>
    </w:p>
    <w:p>
      <w:pPr>
        <w:pStyle w:val="723"/>
        <w:pBdr/>
        <w:spacing/>
        <w:ind/>
        <w:jc w:val="both"/>
        <w:rPr>
          <w:sz w:val="24"/>
          <w:szCs w:val="24"/>
        </w:rPr>
      </w:pPr>
      <w:r>
        <w:rPr>
          <w:sz w:val="24"/>
          <w:szCs w:val="24"/>
        </w:rPr>
        <w:t xml:space="preserve">Resultados de la Auditoría Digital Forense.</w:t>
      </w:r>
      <w:r>
        <w:rPr>
          <w:sz w:val="24"/>
          <w:szCs w:val="24"/>
        </w:rPr>
      </w:r>
    </w:p>
    <w:tbl>
      <w:tblPr>
        <w:tblStyle w:val="719"/>
        <w:tblW w:w="5000" w:type="pct"/>
        <w:tblBorders/>
        <w:tblLayout w:type="fixed"/>
        <w:tblLook w:val="0020" w:firstRow="1" w:lastRow="0" w:firstColumn="0" w:lastColumn="0" w:noHBand="0" w:noVBand="0"/>
        <w:tblCaption w:val="Resultados de la Auditoría Digital Forense."/>
      </w:tblPr>
      <w:tblGrid>
        <w:gridCol w:w="1584"/>
        <w:gridCol w:w="1584"/>
        <w:gridCol w:w="792"/>
        <w:gridCol w:w="792"/>
        <w:gridCol w:w="792"/>
        <w:gridCol w:w="792"/>
        <w:gridCol w:w="792"/>
        <w:gridCol w:w="792"/>
      </w:tblGrid>
      <w:tr>
        <w:trPr>
          <w:tblHeader/>
        </w:trPr>
        <w:tc>
          <w:tcPr>
            <w:tcBorders/>
          </w:tcPr>
          <w:p>
            <w:pPr>
              <w:pStyle w:val="687"/>
              <w:pBdr/>
              <w:spacing/>
              <w:ind/>
              <w:jc w:val="both"/>
              <w:rPr>
                <w:sz w:val="24"/>
                <w:szCs w:val="24"/>
              </w:rPr>
            </w:pPr>
            <w:r>
              <w:rPr>
                <w:sz w:val="24"/>
                <w:szCs w:val="24"/>
              </w:rPr>
              <w:t xml:space="preserve">Restaurante</w:t>
            </w:r>
            <w:r>
              <w:rPr>
                <w:sz w:val="24"/>
                <w:szCs w:val="24"/>
              </w:rPr>
            </w:r>
          </w:p>
        </w:tc>
        <w:tc>
          <w:tcPr>
            <w:tcBorders/>
          </w:tcPr>
          <w:p>
            <w:pPr>
              <w:pStyle w:val="687"/>
              <w:pBdr/>
              <w:spacing/>
              <w:ind/>
              <w:jc w:val="both"/>
              <w:rPr>
                <w:sz w:val="24"/>
                <w:szCs w:val="24"/>
              </w:rPr>
            </w:pPr>
            <w:r>
              <w:rPr>
                <w:sz w:val="24"/>
                <w:szCs w:val="24"/>
              </w:rPr>
              <w:t xml:space="preserve">Especialidad</w:t>
            </w:r>
            <w:r>
              <w:rPr>
                <w:sz w:val="24"/>
                <w:szCs w:val="24"/>
              </w:rPr>
            </w:r>
          </w:p>
        </w:tc>
        <w:tc>
          <w:tcPr>
            <w:tcBorders/>
          </w:tcPr>
          <w:p>
            <w:pPr>
              <w:pStyle w:val="687"/>
              <w:pBdr/>
              <w:spacing/>
              <w:ind/>
              <w:jc w:val="both"/>
              <w:rPr>
                <w:sz w:val="24"/>
                <w:szCs w:val="24"/>
              </w:rPr>
            </w:pPr>
            <w:r>
              <w:rPr>
                <w:sz w:val="24"/>
                <w:szCs w:val="24"/>
              </w:rPr>
              <w:t xml:space="preserve">SEO Local</w:t>
            </w:r>
            <w:r>
              <w:rPr>
                <w:sz w:val="24"/>
                <w:szCs w:val="24"/>
              </w:rPr>
            </w:r>
          </w:p>
        </w:tc>
        <w:tc>
          <w:tcPr>
            <w:tcBorders/>
          </w:tcPr>
          <w:p>
            <w:pPr>
              <w:pStyle w:val="687"/>
              <w:pBdr/>
              <w:spacing/>
              <w:ind/>
              <w:jc w:val="both"/>
              <w:rPr>
                <w:sz w:val="24"/>
                <w:szCs w:val="24"/>
              </w:rPr>
            </w:pPr>
            <w:r>
              <w:rPr>
                <w:sz w:val="24"/>
                <w:szCs w:val="24"/>
              </w:rPr>
              <w:t xml:space="preserve">Reviews Leak</w:t>
            </w:r>
            <w:r>
              <w:rPr>
                <w:sz w:val="24"/>
                <w:szCs w:val="24"/>
              </w:rPr>
            </w:r>
          </w:p>
        </w:tc>
        <w:tc>
          <w:tcPr>
            <w:tcBorders/>
          </w:tcPr>
          <w:p>
            <w:pPr>
              <w:pStyle w:val="687"/>
              <w:pBdr/>
              <w:spacing/>
              <w:ind/>
              <w:jc w:val="both"/>
              <w:rPr>
                <w:sz w:val="24"/>
                <w:szCs w:val="24"/>
              </w:rPr>
            </w:pPr>
            <w:r>
              <w:rPr>
                <w:sz w:val="24"/>
                <w:szCs w:val="24"/>
              </w:rPr>
              <w:t xml:space="preserve">Instagram Lead Leak</w:t>
            </w:r>
            <w:r>
              <w:rPr>
                <w:sz w:val="24"/>
                <w:szCs w:val="24"/>
              </w:rPr>
            </w:r>
          </w:p>
        </w:tc>
        <w:tc>
          <w:tcPr>
            <w:tcBorders/>
          </w:tcPr>
          <w:p>
            <w:pPr>
              <w:pStyle w:val="687"/>
              <w:pBdr/>
              <w:spacing/>
              <w:ind/>
              <w:jc w:val="both"/>
              <w:rPr>
                <w:sz w:val="24"/>
                <w:szCs w:val="24"/>
              </w:rPr>
            </w:pPr>
            <w:r>
              <w:rPr>
                <w:sz w:val="24"/>
                <w:szCs w:val="24"/>
              </w:rPr>
              <w:t xml:space="preserve">TTR (Minutos)</w:t>
            </w:r>
            <w:r>
              <w:rPr>
                <w:sz w:val="24"/>
                <w:szCs w:val="24"/>
              </w:rPr>
            </w:r>
          </w:p>
        </w:tc>
        <w:tc>
          <w:tcPr>
            <w:tcBorders/>
          </w:tcPr>
          <w:p>
            <w:pPr>
              <w:pStyle w:val="687"/>
              <w:pBdr/>
              <w:spacing/>
              <w:ind/>
              <w:jc w:val="both"/>
              <w:rPr>
                <w:sz w:val="24"/>
                <w:szCs w:val="24"/>
              </w:rPr>
            </w:pPr>
            <w:r>
              <w:rPr>
                <w:sz w:val="24"/>
                <w:szCs w:val="24"/>
              </w:rPr>
              <w:t xml:space="preserve">DII (%)</w:t>
            </w:r>
            <w:r>
              <w:rPr>
                <w:sz w:val="24"/>
                <w:szCs w:val="24"/>
              </w:rPr>
            </w:r>
          </w:p>
        </w:tc>
        <w:tc>
          <w:tcPr>
            <w:tcBorders/>
          </w:tcPr>
          <w:p>
            <w:pPr>
              <w:pStyle w:val="687"/>
              <w:pBdr/>
              <w:spacing/>
              <w:ind/>
              <w:jc w:val="both"/>
              <w:rPr>
                <w:sz w:val="24"/>
                <w:szCs w:val="24"/>
              </w:rPr>
            </w:pPr>
            <w:r>
              <w:rPr>
                <w:sz w:val="24"/>
                <w:szCs w:val="24"/>
              </w:rPr>
              <w:t xml:space="preserve">Fuga Mensual (USD)</w:t>
            </w:r>
            <w:r>
              <w:rPr>
                <w:sz w:val="24"/>
                <w:szCs w:val="24"/>
              </w:rPr>
            </w:r>
          </w:p>
        </w:tc>
      </w:tr>
      <w:tr>
        <w:trPr/>
        <w:tc>
          <w:tcPr>
            <w:tcBorders/>
          </w:tcPr>
          <w:p>
            <w:pPr>
              <w:pStyle w:val="687"/>
              <w:pBdr/>
              <w:spacing/>
              <w:ind/>
              <w:jc w:val="both"/>
              <w:rPr>
                <w:sz w:val="24"/>
                <w:szCs w:val="24"/>
              </w:rPr>
            </w:pPr>
            <w:r>
              <w:rPr>
                <w:b/>
                <w:bCs/>
                <w:sz w:val="24"/>
                <w:szCs w:val="24"/>
              </w:rPr>
              <w:t xml:space="preserve">Carbonero</w:t>
            </w:r>
            <w:r>
              <w:rPr>
                <w:sz w:val="24"/>
                <w:szCs w:val="24"/>
              </w:rPr>
            </w:r>
          </w:p>
        </w:tc>
        <w:tc>
          <w:tcPr>
            <w:tcBorders/>
          </w:tcPr>
          <w:p>
            <w:pPr>
              <w:pStyle w:val="687"/>
              <w:pBdr/>
              <w:spacing/>
              <w:ind/>
              <w:jc w:val="both"/>
              <w:rPr>
                <w:sz w:val="24"/>
                <w:szCs w:val="24"/>
              </w:rPr>
            </w:pPr>
            <w:r>
              <w:rPr>
                <w:sz w:val="24"/>
                <w:szCs w:val="24"/>
              </w:rPr>
              <w:t xml:space="preserve">Carnes / Parrilla</w:t>
            </w:r>
            <w:r>
              <w:rPr>
                <w:sz w:val="24"/>
                <w:szCs w:val="24"/>
              </w:rPr>
            </w:r>
          </w:p>
        </w:tc>
        <w:tc>
          <w:tcPr>
            <w:tcBorders/>
          </w:tcPr>
          <w:p>
            <w:pPr>
              <w:pStyle w:val="687"/>
              <w:pBdr/>
              <w:spacing/>
              <w:ind/>
              <w:jc w:val="both"/>
              <w:rPr>
                <w:sz w:val="24"/>
                <w:szCs w:val="24"/>
              </w:rPr>
            </w:pPr>
            <w:r>
              <w:rPr>
                <w:sz w:val="24"/>
                <w:szCs w:val="24"/>
              </w:rPr>
              <w:t xml:space="preserve">90%</w:t>
            </w:r>
            <w:r>
              <w:rPr>
                <w:sz w:val="24"/>
                <w:szCs w:val="24"/>
              </w:rPr>
            </w:r>
          </w:p>
        </w:tc>
        <w:tc>
          <w:tcPr>
            <w:tcBorders/>
          </w:tcPr>
          <w:p>
            <w:pPr>
              <w:pStyle w:val="687"/>
              <w:pBdr/>
              <w:spacing/>
              <w:ind/>
              <w:jc w:val="both"/>
              <w:rPr>
                <w:sz w:val="24"/>
                <w:szCs w:val="24"/>
              </w:rPr>
            </w:pPr>
            <w:r>
              <w:rPr>
                <w:sz w:val="24"/>
                <w:szCs w:val="24"/>
              </w:rPr>
              <w:t xml:space="preserve">20%</w:t>
            </w:r>
            <w:r>
              <w:rPr>
                <w:sz w:val="24"/>
                <w:szCs w:val="24"/>
              </w:rPr>
            </w:r>
          </w:p>
        </w:tc>
        <w:tc>
          <w:tcPr>
            <w:tcBorders/>
          </w:tcPr>
          <w:p>
            <w:pPr>
              <w:pStyle w:val="687"/>
              <w:pBdr/>
              <w:spacing/>
              <w:ind/>
              <w:jc w:val="both"/>
              <w:rPr>
                <w:sz w:val="24"/>
                <w:szCs w:val="24"/>
              </w:rPr>
            </w:pPr>
            <w:r>
              <w:rPr>
                <w:sz w:val="24"/>
                <w:szCs w:val="24"/>
              </w:rPr>
              <w:t xml:space="preserve">15%</w:t>
            </w:r>
            <w:r>
              <w:rPr>
                <w:sz w:val="24"/>
                <w:szCs w:val="24"/>
              </w:rPr>
            </w:r>
          </w:p>
        </w:tc>
        <w:tc>
          <w:tcPr>
            <w:tcBorders/>
          </w:tcPr>
          <w:p>
            <w:pPr>
              <w:pStyle w:val="687"/>
              <w:pBdr/>
              <w:spacing/>
              <w:ind/>
              <w:jc w:val="both"/>
              <w:rPr>
                <w:sz w:val="24"/>
                <w:szCs w:val="24"/>
              </w:rPr>
            </w:pPr>
            <w:r>
              <w:rPr>
                <w:sz w:val="24"/>
                <w:szCs w:val="24"/>
              </w:rPr>
              <w:t xml:space="preserve">15 min</w:t>
            </w:r>
            <w:r>
              <w:rPr>
                <w:sz w:val="24"/>
                <w:szCs w:val="24"/>
              </w:rPr>
            </w:r>
          </w:p>
        </w:tc>
        <w:tc>
          <w:tcPr>
            <w:tcBorders/>
          </w:tcPr>
          <w:p>
            <w:pPr>
              <w:pStyle w:val="687"/>
              <w:pBdr/>
              <w:spacing/>
              <w:ind/>
              <w:jc w:val="both"/>
              <w:rPr>
                <w:sz w:val="24"/>
                <w:szCs w:val="24"/>
              </w:rPr>
            </w:pPr>
            <w:r>
              <w:rPr>
                <w:b/>
                <w:bCs/>
                <w:sz w:val="24"/>
                <w:szCs w:val="24"/>
              </w:rPr>
              <w:t xml:space="preserve">14.06%</w:t>
            </w:r>
            <w:r>
              <w:rPr>
                <w:sz w:val="24"/>
                <w:szCs w:val="24"/>
              </w:rPr>
            </w:r>
          </w:p>
        </w:tc>
        <w:tc>
          <w:tcPr>
            <w:tcBorders/>
          </w:tcPr>
          <w:p>
            <w:pPr>
              <w:pStyle w:val="687"/>
              <w:pBdr/>
              <w:spacing/>
              <w:ind/>
              <w:jc w:val="both"/>
              <w:rPr>
                <w:sz w:val="24"/>
                <w:szCs w:val="24"/>
              </w:rPr>
            </w:pPr>
            <w:r>
              <w:rPr>
                <w:b/>
                <w:bCs/>
                <w:sz w:val="24"/>
                <w:szCs w:val="24"/>
              </w:rPr>
              <w:t xml:space="preserve">$167.40</w:t>
            </w:r>
            <w:r>
              <w:rPr>
                <w:sz w:val="24"/>
                <w:szCs w:val="24"/>
              </w:rPr>
            </w:r>
          </w:p>
        </w:tc>
      </w:tr>
      <w:tr>
        <w:trPr/>
        <w:tc>
          <w:tcPr>
            <w:tcBorders/>
          </w:tcPr>
          <w:p>
            <w:pPr>
              <w:pStyle w:val="687"/>
              <w:pBdr/>
              <w:spacing/>
              <w:ind/>
              <w:jc w:val="both"/>
              <w:rPr>
                <w:sz w:val="24"/>
                <w:szCs w:val="24"/>
              </w:rPr>
            </w:pPr>
            <w:r>
              <w:rPr>
                <w:b/>
                <w:bCs/>
                <w:sz w:val="24"/>
                <w:szCs w:val="24"/>
              </w:rPr>
              <w:t xml:space="preserve">200 Millas</w:t>
            </w:r>
            <w:r>
              <w:rPr>
                <w:sz w:val="24"/>
                <w:szCs w:val="24"/>
              </w:rPr>
            </w:r>
          </w:p>
        </w:tc>
        <w:tc>
          <w:tcPr>
            <w:tcBorders/>
          </w:tcPr>
          <w:p>
            <w:pPr>
              <w:pStyle w:val="687"/>
              <w:pBdr/>
              <w:spacing/>
              <w:ind/>
              <w:jc w:val="both"/>
              <w:rPr>
                <w:sz w:val="24"/>
                <w:szCs w:val="24"/>
              </w:rPr>
            </w:pPr>
            <w:r>
              <w:rPr>
                <w:sz w:val="24"/>
                <w:szCs w:val="24"/>
              </w:rPr>
              <w:t xml:space="preserve">Mariscos / Fusión</w:t>
            </w:r>
            <w:r>
              <w:rPr>
                <w:sz w:val="24"/>
                <w:szCs w:val="24"/>
              </w:rPr>
            </w:r>
          </w:p>
        </w:tc>
        <w:tc>
          <w:tcPr>
            <w:tcBorders/>
          </w:tcPr>
          <w:p>
            <w:pPr>
              <w:pStyle w:val="687"/>
              <w:pBdr/>
              <w:spacing/>
              <w:ind/>
              <w:jc w:val="both"/>
              <w:rPr>
                <w:sz w:val="24"/>
                <w:szCs w:val="24"/>
              </w:rPr>
            </w:pPr>
            <w:r>
              <w:rPr>
                <w:sz w:val="24"/>
                <w:szCs w:val="24"/>
              </w:rPr>
              <w:t xml:space="preserve">80%</w:t>
            </w:r>
            <w:r>
              <w:rPr>
                <w:sz w:val="24"/>
                <w:szCs w:val="24"/>
              </w:rPr>
            </w:r>
          </w:p>
        </w:tc>
        <w:tc>
          <w:tcPr>
            <w:tcBorders/>
          </w:tcPr>
          <w:p>
            <w:pPr>
              <w:pStyle w:val="687"/>
              <w:pBdr/>
              <w:spacing/>
              <w:ind/>
              <w:jc w:val="both"/>
              <w:rPr>
                <w:sz w:val="24"/>
                <w:szCs w:val="24"/>
              </w:rPr>
            </w:pPr>
            <w:r>
              <w:rPr>
                <w:sz w:val="24"/>
                <w:szCs w:val="24"/>
              </w:rPr>
              <w:t xml:space="preserve">35%</w:t>
            </w:r>
            <w:r>
              <w:rPr>
                <w:sz w:val="24"/>
                <w:szCs w:val="24"/>
              </w:rPr>
            </w:r>
          </w:p>
        </w:tc>
        <w:tc>
          <w:tcPr>
            <w:tcBorders/>
          </w:tcPr>
          <w:p>
            <w:pPr>
              <w:pStyle w:val="687"/>
              <w:pBdr/>
              <w:spacing/>
              <w:ind/>
              <w:jc w:val="both"/>
              <w:rPr>
                <w:sz w:val="24"/>
                <w:szCs w:val="24"/>
              </w:rPr>
            </w:pPr>
            <w:r>
              <w:rPr>
                <w:sz w:val="24"/>
                <w:szCs w:val="24"/>
              </w:rPr>
              <w:t xml:space="preserve">40%</w:t>
            </w:r>
            <w:r>
              <w:rPr>
                <w:sz w:val="24"/>
                <w:szCs w:val="24"/>
              </w:rPr>
            </w:r>
          </w:p>
        </w:tc>
        <w:tc>
          <w:tcPr>
            <w:tcBorders/>
          </w:tcPr>
          <w:p>
            <w:pPr>
              <w:pStyle w:val="687"/>
              <w:pBdr/>
              <w:spacing/>
              <w:ind/>
              <w:jc w:val="both"/>
              <w:rPr>
                <w:sz w:val="24"/>
                <w:szCs w:val="24"/>
              </w:rPr>
            </w:pPr>
            <w:r>
              <w:rPr>
                <w:sz w:val="24"/>
                <w:szCs w:val="24"/>
              </w:rPr>
              <w:t xml:space="preserve">45 min</w:t>
            </w:r>
            <w:r>
              <w:rPr>
                <w:sz w:val="24"/>
                <w:szCs w:val="24"/>
              </w:rPr>
            </w:r>
          </w:p>
        </w:tc>
        <w:tc>
          <w:tcPr>
            <w:tcBorders/>
          </w:tcPr>
          <w:p>
            <w:pPr>
              <w:pStyle w:val="687"/>
              <w:pBdr/>
              <w:spacing/>
              <w:ind/>
              <w:jc w:val="both"/>
              <w:rPr>
                <w:sz w:val="24"/>
                <w:szCs w:val="24"/>
              </w:rPr>
            </w:pPr>
            <w:r>
              <w:rPr>
                <w:b/>
                <w:bCs/>
                <w:sz w:val="24"/>
                <w:szCs w:val="24"/>
              </w:rPr>
              <w:t xml:space="preserve">28.44%</w:t>
            </w:r>
            <w:r>
              <w:rPr>
                <w:sz w:val="24"/>
                <w:szCs w:val="24"/>
              </w:rPr>
            </w:r>
          </w:p>
        </w:tc>
        <w:tc>
          <w:tcPr>
            <w:tcBorders/>
          </w:tcPr>
          <w:p>
            <w:pPr>
              <w:pStyle w:val="687"/>
              <w:pBdr/>
              <w:spacing/>
              <w:ind/>
              <w:jc w:val="both"/>
              <w:rPr>
                <w:sz w:val="24"/>
                <w:szCs w:val="24"/>
              </w:rPr>
            </w:pPr>
            <w:r>
              <w:rPr>
                <w:b/>
                <w:bCs/>
                <w:sz w:val="24"/>
                <w:szCs w:val="24"/>
              </w:rPr>
              <w:t xml:space="preserve">$627.75</w:t>
            </w:r>
            <w:r>
              <w:rPr>
                <w:sz w:val="24"/>
                <w:szCs w:val="24"/>
              </w:rPr>
            </w:r>
          </w:p>
        </w:tc>
      </w:tr>
      <w:tr>
        <w:trPr/>
        <w:tc>
          <w:tcPr>
            <w:tcBorders/>
          </w:tcPr>
          <w:p>
            <w:pPr>
              <w:pStyle w:val="687"/>
              <w:pBdr/>
              <w:spacing/>
              <w:ind/>
              <w:jc w:val="both"/>
              <w:rPr>
                <w:sz w:val="24"/>
                <w:szCs w:val="24"/>
              </w:rPr>
            </w:pPr>
            <w:r>
              <w:rPr>
                <w:b/>
                <w:bCs/>
                <w:sz w:val="24"/>
                <w:szCs w:val="24"/>
              </w:rPr>
              <w:t xml:space="preserve">La Estancia</w:t>
            </w:r>
            <w:r>
              <w:rPr>
                <w:sz w:val="24"/>
                <w:szCs w:val="24"/>
              </w:rPr>
            </w:r>
          </w:p>
        </w:tc>
        <w:tc>
          <w:tcPr>
            <w:tcBorders/>
          </w:tcPr>
          <w:p>
            <w:pPr>
              <w:pStyle w:val="687"/>
              <w:pBdr/>
              <w:spacing/>
              <w:ind/>
              <w:jc w:val="both"/>
              <w:rPr>
                <w:sz w:val="24"/>
                <w:szCs w:val="24"/>
              </w:rPr>
            </w:pPr>
            <w:r>
              <w:rPr>
                <w:sz w:val="24"/>
                <w:szCs w:val="24"/>
              </w:rPr>
              <w:t xml:space="preserve">Gastronomía Lojana</w:t>
            </w:r>
            <w:r>
              <w:rPr>
                <w:sz w:val="24"/>
                <w:szCs w:val="24"/>
              </w:rPr>
            </w:r>
          </w:p>
        </w:tc>
        <w:tc>
          <w:tcPr>
            <w:tcBorders/>
          </w:tcPr>
          <w:p>
            <w:pPr>
              <w:pStyle w:val="687"/>
              <w:pBdr/>
              <w:spacing/>
              <w:ind/>
              <w:jc w:val="both"/>
              <w:rPr>
                <w:sz w:val="24"/>
                <w:szCs w:val="24"/>
              </w:rPr>
            </w:pPr>
            <w:r>
              <w:rPr>
                <w:sz w:val="24"/>
                <w:szCs w:val="24"/>
              </w:rPr>
              <w:t xml:space="preserve">60%</w:t>
            </w:r>
            <w:r>
              <w:rPr>
                <w:sz w:val="24"/>
                <w:szCs w:val="24"/>
              </w:rPr>
            </w:r>
          </w:p>
        </w:tc>
        <w:tc>
          <w:tcPr>
            <w:tcBorders/>
          </w:tcPr>
          <w:p>
            <w:pPr>
              <w:pStyle w:val="687"/>
              <w:pBdr/>
              <w:spacing/>
              <w:ind/>
              <w:jc w:val="both"/>
              <w:rPr>
                <w:sz w:val="24"/>
                <w:szCs w:val="24"/>
              </w:rPr>
            </w:pPr>
            <w:r>
              <w:rPr>
                <w:sz w:val="24"/>
                <w:szCs w:val="24"/>
              </w:rPr>
              <w:t xml:space="preserve">50%</w:t>
            </w:r>
            <w:r>
              <w:rPr>
                <w:sz w:val="24"/>
                <w:szCs w:val="24"/>
              </w:rPr>
            </w:r>
          </w:p>
        </w:tc>
        <w:tc>
          <w:tcPr>
            <w:tcBorders/>
          </w:tcPr>
          <w:p>
            <w:pPr>
              <w:pStyle w:val="687"/>
              <w:pBdr/>
              <w:spacing/>
              <w:ind/>
              <w:jc w:val="both"/>
              <w:rPr>
                <w:sz w:val="24"/>
                <w:szCs w:val="24"/>
              </w:rPr>
            </w:pPr>
            <w:r>
              <w:rPr>
                <w:sz w:val="24"/>
                <w:szCs w:val="24"/>
              </w:rPr>
              <w:t xml:space="preserve">50%</w:t>
            </w:r>
            <w:r>
              <w:rPr>
                <w:sz w:val="24"/>
                <w:szCs w:val="24"/>
              </w:rPr>
            </w:r>
          </w:p>
        </w:tc>
        <w:tc>
          <w:tcPr>
            <w:tcBorders/>
          </w:tcPr>
          <w:p>
            <w:pPr>
              <w:pStyle w:val="687"/>
              <w:pBdr/>
              <w:spacing/>
              <w:ind/>
              <w:jc w:val="both"/>
              <w:rPr>
                <w:sz w:val="24"/>
                <w:szCs w:val="24"/>
              </w:rPr>
            </w:pPr>
            <w:r>
              <w:rPr>
                <w:sz w:val="24"/>
                <w:szCs w:val="24"/>
              </w:rPr>
              <w:t xml:space="preserve">120 min</w:t>
            </w:r>
            <w:r>
              <w:rPr>
                <w:sz w:val="24"/>
                <w:szCs w:val="24"/>
              </w:rPr>
            </w:r>
          </w:p>
        </w:tc>
        <w:tc>
          <w:tcPr>
            <w:tcBorders/>
          </w:tcPr>
          <w:p>
            <w:pPr>
              <w:pStyle w:val="687"/>
              <w:pBdr/>
              <w:spacing/>
              <w:ind/>
              <w:jc w:val="both"/>
              <w:rPr>
                <w:sz w:val="24"/>
                <w:szCs w:val="24"/>
              </w:rPr>
            </w:pPr>
            <w:r>
              <w:rPr>
                <w:b/>
                <w:bCs/>
                <w:sz w:val="24"/>
                <w:szCs w:val="24"/>
              </w:rPr>
              <w:t xml:space="preserve">47.50%</w:t>
            </w:r>
            <w:r>
              <w:rPr>
                <w:sz w:val="24"/>
                <w:szCs w:val="24"/>
              </w:rPr>
            </w:r>
          </w:p>
        </w:tc>
        <w:tc>
          <w:tcPr>
            <w:tcBorders/>
          </w:tcPr>
          <w:p>
            <w:pPr>
              <w:pStyle w:val="687"/>
              <w:pBdr/>
              <w:spacing/>
              <w:ind/>
              <w:jc w:val="both"/>
              <w:rPr>
                <w:sz w:val="24"/>
                <w:szCs w:val="24"/>
              </w:rPr>
            </w:pPr>
            <w:r>
              <w:rPr>
                <w:b/>
                <w:bCs/>
                <w:sz w:val="24"/>
                <w:szCs w:val="24"/>
              </w:rPr>
              <w:t xml:space="preserve">$418.50</w:t>
            </w:r>
            <w:r>
              <w:rPr>
                <w:sz w:val="24"/>
                <w:szCs w:val="24"/>
              </w:rPr>
            </w:r>
          </w:p>
        </w:tc>
      </w:tr>
      <w:tr>
        <w:trPr/>
        <w:tc>
          <w:tcPr>
            <w:tcBorders/>
          </w:tcPr>
          <w:p>
            <w:pPr>
              <w:pStyle w:val="687"/>
              <w:pBdr/>
              <w:spacing/>
              <w:ind/>
              <w:jc w:val="both"/>
              <w:rPr>
                <w:sz w:val="24"/>
                <w:szCs w:val="24"/>
              </w:rPr>
            </w:pPr>
            <w:r>
              <w:rPr>
                <w:b/>
                <w:bCs/>
                <w:sz w:val="24"/>
                <w:szCs w:val="24"/>
              </w:rPr>
              <w:t xml:space="preserve">Café Indera</w:t>
            </w:r>
            <w:r>
              <w:rPr>
                <w:sz w:val="24"/>
                <w:szCs w:val="24"/>
              </w:rPr>
            </w:r>
          </w:p>
        </w:tc>
        <w:tc>
          <w:tcPr>
            <w:tcBorders/>
          </w:tcPr>
          <w:p>
            <w:pPr>
              <w:pStyle w:val="687"/>
              <w:pBdr/>
              <w:spacing/>
              <w:ind/>
              <w:jc w:val="both"/>
              <w:rPr>
                <w:sz w:val="24"/>
                <w:szCs w:val="24"/>
              </w:rPr>
            </w:pPr>
            <w:r>
              <w:rPr>
                <w:sz w:val="24"/>
                <w:szCs w:val="24"/>
              </w:rPr>
              <w:t xml:space="preserve">Cafetería / Tradicional</w:t>
            </w:r>
            <w:r>
              <w:rPr>
                <w:sz w:val="24"/>
                <w:szCs w:val="24"/>
              </w:rPr>
            </w:r>
          </w:p>
        </w:tc>
        <w:tc>
          <w:tcPr>
            <w:tcBorders/>
          </w:tcPr>
          <w:p>
            <w:pPr>
              <w:pStyle w:val="687"/>
              <w:pBdr/>
              <w:spacing/>
              <w:ind/>
              <w:jc w:val="both"/>
              <w:rPr>
                <w:sz w:val="24"/>
                <w:szCs w:val="24"/>
              </w:rPr>
            </w:pPr>
            <w:r>
              <w:rPr>
                <w:sz w:val="24"/>
                <w:szCs w:val="24"/>
              </w:rPr>
              <w:t xml:space="preserve">40%</w:t>
            </w:r>
            <w:r>
              <w:rPr>
                <w:sz w:val="24"/>
                <w:szCs w:val="24"/>
              </w:rPr>
            </w:r>
          </w:p>
        </w:tc>
        <w:tc>
          <w:tcPr>
            <w:tcBorders/>
          </w:tcPr>
          <w:p>
            <w:pPr>
              <w:pStyle w:val="687"/>
              <w:pBdr/>
              <w:spacing/>
              <w:ind/>
              <w:jc w:val="both"/>
              <w:rPr>
                <w:sz w:val="24"/>
                <w:szCs w:val="24"/>
              </w:rPr>
            </w:pPr>
            <w:r>
              <w:rPr>
                <w:sz w:val="24"/>
                <w:szCs w:val="24"/>
              </w:rPr>
              <w:t xml:space="preserve">75%</w:t>
            </w:r>
            <w:r>
              <w:rPr>
                <w:sz w:val="24"/>
                <w:szCs w:val="24"/>
              </w:rPr>
            </w:r>
          </w:p>
        </w:tc>
        <w:tc>
          <w:tcPr>
            <w:tcBorders/>
          </w:tcPr>
          <w:p>
            <w:pPr>
              <w:pStyle w:val="687"/>
              <w:pBdr/>
              <w:spacing/>
              <w:ind/>
              <w:jc w:val="both"/>
              <w:rPr>
                <w:sz w:val="24"/>
                <w:szCs w:val="24"/>
              </w:rPr>
            </w:pPr>
            <w:r>
              <w:rPr>
                <w:sz w:val="24"/>
                <w:szCs w:val="24"/>
              </w:rPr>
              <w:t xml:space="preserve">65%</w:t>
            </w:r>
            <w:r>
              <w:rPr>
                <w:sz w:val="24"/>
                <w:szCs w:val="24"/>
              </w:rPr>
            </w:r>
          </w:p>
        </w:tc>
        <w:tc>
          <w:tcPr>
            <w:tcBorders/>
          </w:tcPr>
          <w:p>
            <w:pPr>
              <w:pStyle w:val="687"/>
              <w:pBdr/>
              <w:spacing/>
              <w:ind/>
              <w:jc w:val="both"/>
              <w:rPr>
                <w:sz w:val="24"/>
                <w:szCs w:val="24"/>
              </w:rPr>
            </w:pPr>
            <w:r>
              <w:rPr>
                <w:sz w:val="24"/>
                <w:szCs w:val="24"/>
              </w:rPr>
              <w:t xml:space="preserve">180 min</w:t>
            </w:r>
            <w:r>
              <w:rPr>
                <w:sz w:val="24"/>
                <w:szCs w:val="24"/>
              </w:rPr>
            </w:r>
          </w:p>
        </w:tc>
        <w:tc>
          <w:tcPr>
            <w:tcBorders/>
          </w:tcPr>
          <w:p>
            <w:pPr>
              <w:pStyle w:val="687"/>
              <w:pBdr/>
              <w:spacing/>
              <w:ind/>
              <w:jc w:val="both"/>
              <w:rPr>
                <w:sz w:val="24"/>
                <w:szCs w:val="24"/>
              </w:rPr>
            </w:pPr>
            <w:r>
              <w:rPr>
                <w:b/>
                <w:bCs/>
                <w:sz w:val="24"/>
                <w:szCs w:val="24"/>
              </w:rPr>
              <w:t xml:space="preserve">68.75%</w:t>
            </w:r>
            <w:r>
              <w:rPr>
                <w:sz w:val="24"/>
                <w:szCs w:val="24"/>
              </w:rPr>
            </w:r>
          </w:p>
        </w:tc>
        <w:tc>
          <w:tcPr>
            <w:tcBorders/>
          </w:tcPr>
          <w:p>
            <w:pPr>
              <w:pStyle w:val="687"/>
              <w:pBdr/>
              <w:spacing/>
              <w:ind/>
              <w:jc w:val="both"/>
              <w:rPr>
                <w:sz w:val="24"/>
                <w:szCs w:val="24"/>
              </w:rPr>
            </w:pPr>
            <w:r>
              <w:rPr>
                <w:b/>
                <w:bCs/>
                <w:sz w:val="24"/>
                <w:szCs w:val="24"/>
              </w:rPr>
              <w:t xml:space="preserve">$837.00</w:t>
            </w:r>
            <w:r>
              <w:rPr>
                <w:sz w:val="24"/>
                <w:szCs w:val="24"/>
              </w:rPr>
            </w:r>
          </w:p>
        </w:tc>
      </w:tr>
      <w:tr>
        <w:trPr/>
        <w:tc>
          <w:tcPr>
            <w:tcBorders/>
          </w:tcPr>
          <w:p>
            <w:pPr>
              <w:pStyle w:val="687"/>
              <w:pBdr/>
              <w:spacing/>
              <w:ind/>
              <w:jc w:val="both"/>
              <w:rPr>
                <w:sz w:val="24"/>
                <w:szCs w:val="24"/>
              </w:rPr>
            </w:pPr>
            <w:r>
              <w:rPr>
                <w:b/>
                <w:bCs/>
                <w:sz w:val="24"/>
                <w:szCs w:val="24"/>
              </w:rPr>
              <w:t xml:space="preserve">Pizzería La Mía</w:t>
            </w:r>
            <w:r>
              <w:rPr>
                <w:sz w:val="24"/>
                <w:szCs w:val="24"/>
              </w:rPr>
            </w:r>
          </w:p>
        </w:tc>
        <w:tc>
          <w:tcPr>
            <w:tcBorders/>
          </w:tcPr>
          <w:p>
            <w:pPr>
              <w:pStyle w:val="687"/>
              <w:pBdr/>
              <w:spacing/>
              <w:ind/>
              <w:jc w:val="both"/>
              <w:rPr>
                <w:sz w:val="24"/>
                <w:szCs w:val="24"/>
              </w:rPr>
            </w:pPr>
            <w:r>
              <w:rPr>
                <w:sz w:val="24"/>
                <w:szCs w:val="24"/>
              </w:rPr>
              <w:t xml:space="preserve">Italiana / Pizzas</w:t>
            </w:r>
            <w:r>
              <w:rPr>
                <w:sz w:val="24"/>
                <w:szCs w:val="24"/>
              </w:rPr>
            </w:r>
          </w:p>
        </w:tc>
        <w:tc>
          <w:tcPr>
            <w:tcBorders/>
          </w:tcPr>
          <w:p>
            <w:pPr>
              <w:pStyle w:val="687"/>
              <w:pBdr/>
              <w:spacing/>
              <w:ind/>
              <w:jc w:val="both"/>
              <w:rPr>
                <w:sz w:val="24"/>
                <w:szCs w:val="24"/>
              </w:rPr>
            </w:pPr>
            <w:r>
              <w:rPr>
                <w:sz w:val="24"/>
                <w:szCs w:val="24"/>
              </w:rPr>
              <w:t xml:space="preserve">50%</w:t>
            </w:r>
            <w:r>
              <w:rPr>
                <w:sz w:val="24"/>
                <w:szCs w:val="24"/>
              </w:rPr>
            </w:r>
          </w:p>
        </w:tc>
        <w:tc>
          <w:tcPr>
            <w:tcBorders/>
          </w:tcPr>
          <w:p>
            <w:pPr>
              <w:pStyle w:val="687"/>
              <w:pBdr/>
              <w:spacing/>
              <w:ind/>
              <w:jc w:val="both"/>
              <w:rPr>
                <w:sz w:val="24"/>
                <w:szCs w:val="24"/>
              </w:rPr>
            </w:pPr>
            <w:r>
              <w:rPr>
                <w:sz w:val="24"/>
                <w:szCs w:val="24"/>
              </w:rPr>
              <w:t xml:space="preserve">85%</w:t>
            </w:r>
            <w:r>
              <w:rPr>
                <w:sz w:val="24"/>
                <w:szCs w:val="24"/>
              </w:rPr>
            </w:r>
          </w:p>
        </w:tc>
        <w:tc>
          <w:tcPr>
            <w:tcBorders/>
          </w:tcPr>
          <w:p>
            <w:pPr>
              <w:pStyle w:val="687"/>
              <w:pBdr/>
              <w:spacing/>
              <w:ind/>
              <w:jc w:val="both"/>
              <w:rPr>
                <w:sz w:val="24"/>
                <w:szCs w:val="24"/>
              </w:rPr>
            </w:pPr>
            <w:r>
              <w:rPr>
                <w:sz w:val="24"/>
                <w:szCs w:val="24"/>
              </w:rPr>
              <w:t xml:space="preserve">80%</w:t>
            </w:r>
            <w:r>
              <w:rPr>
                <w:sz w:val="24"/>
                <w:szCs w:val="24"/>
              </w:rPr>
            </w:r>
          </w:p>
        </w:tc>
        <w:tc>
          <w:tcPr>
            <w:tcBorders/>
          </w:tcPr>
          <w:p>
            <w:pPr>
              <w:pStyle w:val="687"/>
              <w:pBdr/>
              <w:spacing/>
              <w:ind/>
              <w:jc w:val="both"/>
              <w:rPr>
                <w:sz w:val="24"/>
                <w:szCs w:val="24"/>
              </w:rPr>
            </w:pPr>
            <w:r>
              <w:rPr>
                <w:sz w:val="24"/>
                <w:szCs w:val="24"/>
              </w:rPr>
              <w:t xml:space="preserve">240 min</w:t>
            </w:r>
            <w:r>
              <w:rPr>
                <w:sz w:val="24"/>
                <w:szCs w:val="24"/>
              </w:rPr>
            </w:r>
          </w:p>
        </w:tc>
        <w:tc>
          <w:tcPr>
            <w:tcBorders/>
          </w:tcPr>
          <w:p>
            <w:pPr>
              <w:pStyle w:val="687"/>
              <w:pBdr/>
              <w:spacing/>
              <w:ind/>
              <w:jc w:val="both"/>
              <w:rPr>
                <w:sz w:val="24"/>
                <w:szCs w:val="24"/>
              </w:rPr>
            </w:pPr>
            <w:r>
              <w:rPr>
                <w:b/>
                <w:bCs/>
                <w:sz w:val="24"/>
                <w:szCs w:val="24"/>
              </w:rPr>
              <w:t xml:space="preserve">77.50%</w:t>
            </w:r>
            <w:r>
              <w:rPr>
                <w:sz w:val="24"/>
                <w:szCs w:val="24"/>
              </w:rPr>
            </w:r>
          </w:p>
        </w:tc>
        <w:tc>
          <w:tcPr>
            <w:tcBorders/>
          </w:tcPr>
          <w:p>
            <w:pPr>
              <w:pStyle w:val="687"/>
              <w:pBdr/>
              <w:spacing/>
              <w:ind/>
              <w:jc w:val="both"/>
              <w:rPr>
                <w:sz w:val="24"/>
                <w:szCs w:val="24"/>
              </w:rPr>
            </w:pPr>
            <w:r>
              <w:rPr>
                <w:b/>
                <w:bCs/>
                <w:sz w:val="24"/>
                <w:szCs w:val="24"/>
              </w:rPr>
              <w:t xml:space="preserve">$1,185.75</w:t>
            </w:r>
            <w:r>
              <w:rPr>
                <w:sz w:val="24"/>
                <w:szCs w:val="24"/>
              </w:rPr>
            </w:r>
          </w:p>
        </w:tc>
      </w:tr>
    </w:tbl>
    <w:p>
      <w:pPr>
        <w:pStyle w:val="685"/>
        <w:pBdr/>
        <w:spacing/>
        <w:ind/>
        <w:jc w:val="both"/>
        <w:rPr>
          <w:sz w:val="24"/>
          <w:szCs w:val="24"/>
        </w:rPr>
      </w:pPr>
      <w:r>
        <w:rPr>
          <w:i/>
          <w:iCs/>
          <w:sz w:val="24"/>
          <w:szCs w:val="24"/>
        </w:rPr>
        <w:t xml:space="preserve">Nota: El DII se calcula como el promedio de las cuatro dimensiones de inefici</w:t>
      </w:r>
      <w:r>
        <w:rPr>
          <w:i/>
          <w:iCs/>
          <w:sz w:val="24"/>
          <w:szCs w:val="24"/>
        </w:rPr>
        <w:t xml:space="preserve">encia. La fuga financiera mensual se estima asumiendo una tasa de conversión (CR) del 30% sobre el volumen absoluto mensual de leads desatendidos, un ticket promedio de USD $15.50 por persona y una mesa promedio de 3 personas (USD $46.50 por mesa perdida).</w:t>
      </w:r>
      <w:r>
        <w:rPr>
          <w:sz w:val="24"/>
          <w:szCs w:val="24"/>
        </w:rPr>
      </w:r>
    </w:p>
    <w:p>
      <w:pPr>
        <w:pStyle w:val="699"/>
        <w:pBdr/>
        <w:spacing/>
        <w:ind/>
        <w:jc w:val="both"/>
        <w:rPr>
          <w:sz w:val="24"/>
          <w:szCs w:val="24"/>
        </w:rPr>
      </w:pPr>
      <w:r>
        <w:rPr>
          <w:sz w:val="24"/>
          <w:szCs w:val="24"/>
        </w:rPr>
      </w:r>
      <w:bookmarkStart w:id="20" w:name="visualizaciones-de-impacto-operativo"/>
      <w:r>
        <w:rPr>
          <w:sz w:val="24"/>
          <w:szCs w:val="24"/>
        </w:rPr>
        <w:t xml:space="preserve">3.0.1 Visualizaciones de Impacto Operativo</w:t>
      </w:r>
      <w:r>
        <w:rPr>
          <w:sz w:val="24"/>
          <w:szCs w:val="24"/>
        </w:rPr>
      </w:r>
    </w:p>
    <w:p>
      <w:pPr>
        <w:pStyle w:val="686"/>
        <w:pBdr/>
        <w:spacing/>
        <w:ind/>
        <w:jc w:val="both"/>
        <w:rPr>
          <w:sz w:val="24"/>
          <w:szCs w:val="24"/>
        </w:rPr>
      </w:pPr>
      <w:r>
        <w:rPr>
          <w:sz w:val="24"/>
          <w:szCs w:val="24"/>
        </w:rPr>
        <w:t xml:space="preserve">Las figuras 1 y 2 muestran la distribución del Índice de Ineficiencia Digital y el volumen monetario mensual que cada restaurante pierde activamente:</w:t>
      </w:r>
      <w:r>
        <w:rPr>
          <w:sz w:val="24"/>
          <w:szCs w:val="24"/>
        </w:rPr>
      </w:r>
    </w:p>
    <w:p>
      <w:pPr>
        <w:pStyle w:val="726"/>
        <w:pBdr/>
        <w:spacing/>
        <w:ind/>
        <w:jc w:val="both"/>
        <w:rPr>
          <w:sz w:val="24"/>
          <w:szCs w:val="24"/>
        </w:rPr>
      </w:pPr>
      <w:r>
        <w:rPr>
          <w:sz w:val="24"/>
          <w:szCs w:val="24"/>
        </w:rPr>
        <mc:AlternateContent>
          <mc:Choice Requires="wpg">
            <w:drawing>
              <wp:inline xmlns:wp="http://schemas.openxmlformats.org/drawingml/2006/wordprocessingDrawing" distT="0" distB="0" distL="0" distR="0">
                <wp:extent cx="4000500" cy="2222500"/>
                <wp:effectExtent l="0" t="0" r="0" b="0"/>
                <wp:docPr id="1" name="Picture" descr="Figura 1: Índice de Ineficiencia Digital (DII) por Loca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assets/shadow_audit_dii.png"/>
                        <pic:cNvPicPr>
                          <a:picLocks noChangeAspect="1" noChangeArrowheads="1"/>
                        </pic:cNvPicPr>
                        <pic:nvPr/>
                      </pic:nvPicPr>
                      <pic:blipFill rotWithShape="1">
                        <a:blip r:embed="rId9"/>
                        <a:stretch/>
                      </pic:blipFill>
                      <pic:spPr bwMode="auto">
                        <a:xfrm>
                          <a:off x="0" y="0"/>
                          <a:ext cx="4000500" cy="22225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15.00pt;height:175.00pt;mso-wrap-distance-left:0.00pt;mso-wrap-distance-top:0.00pt;mso-wrap-distance-right:0.00pt;mso-wrap-distance-bottom:0.00pt;z-index:1;" stroked="f" strokeweight="0.75pt">
                <v:imagedata r:id="rId9" o:title=""/>
                <o:lock v:ext="edit" rotation="t"/>
              </v:shape>
            </w:pict>
          </mc:Fallback>
        </mc:AlternateContent>
      </w:r>
      <w:r>
        <w:rPr>
          <w:sz w:val="24"/>
          <w:szCs w:val="24"/>
        </w:rPr>
      </w:r>
    </w:p>
    <w:p>
      <w:pPr>
        <w:pStyle w:val="724"/>
        <w:pBdr/>
        <w:spacing/>
        <w:ind/>
        <w:jc w:val="both"/>
        <w:rPr>
          <w:sz w:val="24"/>
          <w:szCs w:val="24"/>
        </w:rPr>
      </w:pPr>
      <w:r>
        <w:rPr>
          <w:sz w:val="24"/>
          <w:szCs w:val="24"/>
        </w:rPr>
        <w:t xml:space="preserve">Figura 1: Índice de Ineficiencia Digital (DII) por Local</w:t>
      </w:r>
      <w:r>
        <w:rPr>
          <w:sz w:val="24"/>
          <w:szCs w:val="24"/>
        </w:rPr>
      </w:r>
    </w:p>
    <w:p>
      <w:pPr>
        <w:pStyle w:val="726"/>
        <w:pBdr/>
        <w:spacing/>
        <w:ind/>
        <w:jc w:val="both"/>
        <w:rPr>
          <w:sz w:val="24"/>
          <w:szCs w:val="24"/>
        </w:rPr>
      </w:pPr>
      <w:r>
        <w:rPr>
          <w:sz w:val="24"/>
          <w:szCs w:val="24"/>
        </w:rPr>
        <mc:AlternateContent>
          <mc:Choice Requires="wpg">
            <w:drawing>
              <wp:inline xmlns:wp="http://schemas.openxmlformats.org/drawingml/2006/wordprocessingDrawing" distT="0" distB="0" distL="0" distR="0">
                <wp:extent cx="4000500" cy="2222500"/>
                <wp:effectExtent l="0" t="0" r="0" b="0"/>
                <wp:docPr id="2" name="Picture" descr="Figura 2: Fuga de Facturación Mensual Estimada en US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assets/shadow_audit_financial.png"/>
                        <pic:cNvPicPr>
                          <a:picLocks noChangeAspect="1" noChangeArrowheads="1"/>
                        </pic:cNvPicPr>
                        <pic:nvPr/>
                      </pic:nvPicPr>
                      <pic:blipFill rotWithShape="1">
                        <a:blip r:embed="rId10"/>
                        <a:stretch/>
                      </pic:blipFill>
                      <pic:spPr bwMode="auto">
                        <a:xfrm>
                          <a:off x="0" y="0"/>
                          <a:ext cx="4000500" cy="22225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15.00pt;height:175.00pt;mso-wrap-distance-left:0.00pt;mso-wrap-distance-top:0.00pt;mso-wrap-distance-right:0.00pt;mso-wrap-distance-bottom:0.00pt;z-index:1;" stroked="f" strokeweight="0.75pt">
                <v:imagedata r:id="rId10" o:title=""/>
                <o:lock v:ext="edit" rotation="t"/>
              </v:shape>
            </w:pict>
          </mc:Fallback>
        </mc:AlternateContent>
      </w:r>
      <w:r>
        <w:rPr>
          <w:sz w:val="24"/>
          <w:szCs w:val="24"/>
        </w:rPr>
      </w:r>
    </w:p>
    <w:p>
      <w:pPr>
        <w:pStyle w:val="724"/>
        <w:pBdr/>
        <w:spacing/>
        <w:ind/>
        <w:jc w:val="both"/>
        <w:rPr>
          <w:sz w:val="24"/>
          <w:szCs w:val="24"/>
        </w:rPr>
      </w:pPr>
      <w:r>
        <w:rPr>
          <w:sz w:val="24"/>
          <w:szCs w:val="24"/>
        </w:rPr>
        <w:t xml:space="preserve">Figura 2: Fuga de Facturación Mensual Estimada en USD</w:t>
      </w:r>
      <w:bookmarkEnd w:id="20"/>
      <w:r/>
      <w:bookmarkEnd w:id="21"/>
      <w:r/>
      <w:r>
        <w:rPr>
          <w:sz w:val="24"/>
          <w:szCs w:val="24"/>
        </w:rPr>
      </w:r>
    </w:p>
    <w:p>
      <w:pPr>
        <w:pStyle w:val="697"/>
        <w:pBdr/>
        <w:spacing/>
        <w:ind/>
        <w:jc w:val="both"/>
        <w:rPr>
          <w:sz w:val="24"/>
          <w:szCs w:val="24"/>
        </w:rPr>
      </w:pPr>
      <w:r>
        <w:rPr>
          <w:sz w:val="24"/>
          <w:szCs w:val="24"/>
        </w:rPr>
      </w:r>
      <w:bookmarkStart w:id="22" w:name="Xe2b483ca18910c3d562beb410d1331c7fa96607"/>
      <w:r>
        <w:rPr>
          <w:sz w:val="24"/>
          <w:szCs w:val="24"/>
        </w:rPr>
        <w:t xml:space="preserve">4. Hallazgos Clave e Implicaciones de Innovación</w:t>
      </w:r>
      <w:r>
        <w:rPr>
          <w:sz w:val="24"/>
          <w:szCs w:val="24"/>
        </w:rPr>
      </w:r>
    </w:p>
    <w:p>
      <w:pPr>
        <w:pStyle w:val="686"/>
        <w:pBdr/>
        <w:spacing/>
        <w:ind/>
        <w:jc w:val="both"/>
        <w:rPr>
          <w:sz w:val="24"/>
          <w:szCs w:val="24"/>
        </w:rPr>
      </w:pPr>
      <w:r>
        <w:rPr>
          <w:sz w:val="24"/>
          <w:szCs w:val="24"/>
        </w:rPr>
        <w:t xml:space="preserve">El primer hallazgo crítico radica en la latencia de respuesta, donde el tiempo promedio para una atención humana efectiva alcanza los 120.0 minutos (2 horas). En el </w:t>
      </w:r>
      <w:r>
        <w:rPr>
          <w:sz w:val="24"/>
          <w:szCs w:val="24"/>
        </w:rPr>
        <w:t xml:space="preserve">sector gastronómico de consumo inmediato, esta demora supera holgadamente la ventana de decisión de compra del cliente, provocando una pérdida definitiva del pedido a favor de competidores con menor fricción de respuesta en sus canales. En términos agregad</w:t>
      </w:r>
      <w:r>
        <w:rPr>
          <w:sz w:val="24"/>
          <w:szCs w:val="24"/>
        </w:rPr>
        <w:t xml:space="preserve">os, la ineficiencia digital combinada de los 5 establecimientos analizados acumula una fuga conjunta de USD $3,236.40 mensuales en facturación no concretada. Esta pérdida real demuestra la viabilidad comercial de la propuesta de AMDL, evidenciando que el m</w:t>
      </w:r>
      <w:r>
        <w:rPr>
          <w:sz w:val="24"/>
          <w:szCs w:val="24"/>
        </w:rPr>
        <w:t xml:space="preserve">ercado local ya posee demanda activa en canales digitales y que el crecimiento comercial depende del cierre técnico de fugas operacionales, no de la creación de audiencias desde cero. Finalmente, el análisis individual identifica a Pizzería La Mía como el </w:t>
      </w:r>
      <w:r>
        <w:rPr>
          <w:sz w:val="24"/>
          <w:szCs w:val="24"/>
        </w:rPr>
        <w:t xml:space="preserve">prospecto de más alta prioridad en Loja, al registrar la mayor fuga financiera con USD $1,185.75 perdidos al mes y un Índice de Ineficiencia Digital (DII) del 77.50%. Este establecimiento representa el candidato idóneo para el despliegue piloto del paquete</w:t>
      </w:r>
      <w:r>
        <w:rPr>
          <w:sz w:val="24"/>
          <w:szCs w:val="24"/>
        </w:rPr>
        <w:t xml:space="preserve"> </w:t>
      </w:r>
      <w:r>
        <w:rPr>
          <w:sz w:val="24"/>
          <w:szCs w:val="24"/>
        </w:rPr>
        <w:t xml:space="preserve">“Performance Pilot”</w:t>
      </w:r>
      <w:r>
        <w:rPr>
          <w:sz w:val="24"/>
          <w:szCs w:val="24"/>
        </w:rPr>
        <w:t xml:space="preserve">, facilitando el proceso de venta técnica mediante la presentación directa del costo financiero real de su ineficiencia actual.</w:t>
      </w:r>
      <w:bookmarkEnd w:id="22"/>
      <w:r/>
      <w:r>
        <w:rPr>
          <w:sz w:val="24"/>
          <w:szCs w:val="24"/>
        </w:rPr>
      </w:r>
    </w:p>
    <w:p>
      <w:pPr>
        <w:pStyle w:val="697"/>
        <w:pBdr/>
        <w:spacing/>
        <w:ind/>
        <w:jc w:val="both"/>
        <w:rPr>
          <w:sz w:val="24"/>
          <w:szCs w:val="24"/>
        </w:rPr>
      </w:pPr>
      <w:r>
        <w:rPr>
          <w:sz w:val="24"/>
          <w:szCs w:val="24"/>
        </w:rPr>
      </w:r>
      <w:bookmarkStart w:id="42" w:name="referencias"/>
      <w:r>
        <w:rPr>
          <w:sz w:val="24"/>
          <w:szCs w:val="24"/>
        </w:rPr>
        <w:t xml:space="preserve">Referencias</w:t>
      </w:r>
      <w:r>
        <w:rPr>
          <w:sz w:val="24"/>
          <w:szCs w:val="24"/>
        </w:rPr>
      </w:r>
    </w:p>
    <w:p>
      <w:pPr>
        <w:pStyle w:val="696"/>
        <w:pBdr/>
        <w:spacing/>
        <w:ind/>
        <w:jc w:val="both"/>
        <w:rPr>
          <w:sz w:val="24"/>
          <w:szCs w:val="24"/>
        </w:rPr>
      </w:pPr>
      <w:r>
        <w:rPr>
          <w:sz w:val="24"/>
          <w:szCs w:val="24"/>
        </w:rPr>
      </w:r>
      <w:bookmarkStart w:id="41" w:name="refs"/>
      <w:r>
        <w:rPr>
          <w:sz w:val="24"/>
          <w:szCs w:val="24"/>
        </w:rPr>
      </w:r>
      <w:bookmarkStart w:id="24" w:name="ref-alvarez2020consultoria"/>
      <w:r>
        <w:rPr>
          <w:sz w:val="24"/>
          <w:szCs w:val="24"/>
        </w:rPr>
        <w:t xml:space="preserve">Álvarez Contreras, D. E., &amp; Jiménez Lyons, K. A. (2020). La consultoría y asesoría: aliada estratégica para el fortalecimiento empresarial de las MIPYMES.</w:t>
      </w:r>
      <w:r>
        <w:rPr>
          <w:sz w:val="24"/>
          <w:szCs w:val="24"/>
        </w:rPr>
        <w:t xml:space="preserve"> </w:t>
      </w:r>
      <w:r>
        <w:rPr>
          <w:i/>
          <w:iCs/>
          <w:sz w:val="24"/>
          <w:szCs w:val="24"/>
        </w:rPr>
        <w:t xml:space="preserve">Revista Tendencias</w:t>
      </w:r>
      <w:r>
        <w:rPr>
          <w:sz w:val="24"/>
          <w:szCs w:val="24"/>
        </w:rPr>
        <w:t xml:space="preserve">,</w:t>
      </w:r>
      <w:r>
        <w:rPr>
          <w:sz w:val="24"/>
          <w:szCs w:val="24"/>
        </w:rPr>
        <w:t xml:space="preserve"> </w:t>
      </w:r>
      <w:r>
        <w:rPr>
          <w:i/>
          <w:iCs/>
          <w:sz w:val="24"/>
          <w:szCs w:val="24"/>
        </w:rPr>
        <w:t xml:space="preserve">21</w:t>
      </w:r>
      <w:r>
        <w:rPr>
          <w:sz w:val="24"/>
          <w:szCs w:val="24"/>
        </w:rPr>
        <w:t xml:space="preserve">(1), 173-195.</w:t>
      </w:r>
      <w:r>
        <w:rPr>
          <w:sz w:val="24"/>
          <w:szCs w:val="24"/>
        </w:rPr>
        <w:t xml:space="preserve"> </w:t>
      </w:r>
      <w:hyperlink r:id="rId11" w:tooltip="https://doi.org/10.22267/rtend.202101.136" w:history="1">
        <w:r>
          <w:rPr>
            <w:rStyle w:val="731"/>
            <w:sz w:val="24"/>
            <w:szCs w:val="24"/>
          </w:rPr>
          <w:t xml:space="preserve">https://doi.org/10.22267/rtend.202101.136</w:t>
        </w:r>
      </w:hyperlink>
      <w:r>
        <w:rPr>
          <w:sz w:val="24"/>
          <w:szCs w:val="24"/>
        </w:rPr>
      </w:r>
      <w:bookmarkEnd w:id="24"/>
      <w:r/>
      <w:r>
        <w:rPr>
          <w:sz w:val="24"/>
          <w:szCs w:val="24"/>
        </w:rPr>
      </w:r>
    </w:p>
    <w:p>
      <w:pPr>
        <w:pStyle w:val="696"/>
        <w:pBdr/>
        <w:spacing/>
        <w:ind/>
        <w:jc w:val="both"/>
        <w:rPr>
          <w:sz w:val="24"/>
          <w:szCs w:val="24"/>
        </w:rPr>
      </w:pPr>
      <w:r>
        <w:rPr>
          <w:sz w:val="24"/>
          <w:szCs w:val="24"/>
        </w:rPr>
      </w:r>
      <w:bookmarkStart w:id="26" w:name="ref-brightlocal2024"/>
      <w:r>
        <w:rPr>
          <w:sz w:val="24"/>
          <w:szCs w:val="24"/>
        </w:rPr>
        <w:t xml:space="preserve">BrightLocal. (2024).</w:t>
      </w:r>
      <w:r>
        <w:rPr>
          <w:sz w:val="24"/>
          <w:szCs w:val="24"/>
        </w:rPr>
        <w:t xml:space="preserve"> </w:t>
      </w:r>
      <w:r>
        <w:rPr>
          <w:i/>
          <w:iCs/>
          <w:sz w:val="24"/>
          <w:szCs w:val="24"/>
        </w:rPr>
        <w:t xml:space="preserve">Local Consumer Review Survey 2024: Trends and Statistics</w:t>
      </w:r>
      <w:r>
        <w:rPr>
          <w:sz w:val="24"/>
          <w:szCs w:val="24"/>
        </w:rPr>
        <w:t xml:space="preserve">.</w:t>
      </w:r>
      <w:r>
        <w:rPr>
          <w:sz w:val="24"/>
          <w:szCs w:val="24"/>
        </w:rPr>
        <w:t xml:space="preserve"> </w:t>
      </w:r>
      <w:hyperlink r:id="rId12" w:tooltip="https://www.brightlocal.com/research/local-consumer-review-survey/" w:history="1">
        <w:r>
          <w:rPr>
            <w:rStyle w:val="731"/>
            <w:sz w:val="24"/>
            <w:szCs w:val="24"/>
          </w:rPr>
          <w:t xml:space="preserve">https://www.brightlocal.com/research/local-consumer-review-survey/</w:t>
        </w:r>
      </w:hyperlink>
      <w:r>
        <w:rPr>
          <w:sz w:val="24"/>
          <w:szCs w:val="24"/>
        </w:rPr>
      </w:r>
      <w:bookmarkEnd w:id="26"/>
      <w:r/>
      <w:r>
        <w:rPr>
          <w:sz w:val="24"/>
          <w:szCs w:val="24"/>
        </w:rPr>
      </w:r>
    </w:p>
    <w:p>
      <w:pPr>
        <w:pStyle w:val="696"/>
        <w:pBdr/>
        <w:spacing/>
        <w:ind/>
        <w:jc w:val="both"/>
        <w:rPr>
          <w:sz w:val="24"/>
          <w:szCs w:val="24"/>
        </w:rPr>
      </w:pPr>
      <w:r>
        <w:rPr>
          <w:sz w:val="24"/>
          <w:szCs w:val="24"/>
        </w:rPr>
      </w:r>
      <w:bookmarkStart w:id="28" w:name="ref-copromerco2024"/>
      <w:r>
        <w:rPr>
          <w:sz w:val="24"/>
          <w:szCs w:val="24"/>
        </w:rPr>
        <w:t xml:space="preserve">COPROMERCO. (2024).</w:t>
      </w:r>
      <w:r>
        <w:rPr>
          <w:sz w:val="24"/>
          <w:szCs w:val="24"/>
        </w:rPr>
        <w:t xml:space="preserve"> </w:t>
      </w:r>
      <w:r>
        <w:rPr>
          <w:i/>
          <w:iCs/>
          <w:sz w:val="24"/>
          <w:szCs w:val="24"/>
        </w:rPr>
        <w:t xml:space="preserve">Impacto del Marketing Digital en las Empresas Ecuatorianas en 2024</w:t>
      </w:r>
      <w:r>
        <w:rPr>
          <w:sz w:val="24"/>
          <w:szCs w:val="24"/>
        </w:rPr>
        <w:t xml:space="preserve">. COPROMERCO.</w:t>
      </w:r>
      <w:r>
        <w:rPr>
          <w:sz w:val="24"/>
          <w:szCs w:val="24"/>
        </w:rPr>
        <w:t xml:space="preserve"> </w:t>
      </w:r>
      <w:hyperlink r:id="rId13" w:tooltip="https://www.copromerco.com/publicaciones" w:history="1">
        <w:r>
          <w:rPr>
            <w:rStyle w:val="731"/>
            <w:sz w:val="24"/>
            <w:szCs w:val="24"/>
          </w:rPr>
          <w:t xml:space="preserve">https://www.copromerco.com/publicaciones</w:t>
        </w:r>
      </w:hyperlink>
      <w:r>
        <w:rPr>
          <w:sz w:val="24"/>
          <w:szCs w:val="24"/>
        </w:rPr>
      </w:r>
      <w:bookmarkEnd w:id="28"/>
      <w:r/>
      <w:r>
        <w:rPr>
          <w:sz w:val="24"/>
          <w:szCs w:val="24"/>
        </w:rPr>
      </w:r>
    </w:p>
    <w:p>
      <w:pPr>
        <w:pStyle w:val="696"/>
        <w:pBdr/>
        <w:spacing/>
        <w:ind/>
        <w:jc w:val="both"/>
        <w:rPr>
          <w:sz w:val="24"/>
          <w:szCs w:val="24"/>
        </w:rPr>
      </w:pPr>
      <w:r>
        <w:rPr>
          <w:sz w:val="24"/>
          <w:szCs w:val="24"/>
        </w:rPr>
      </w:r>
      <w:bookmarkStart w:id="30" w:name="ref-maulida2022lean"/>
      <w:r>
        <w:rPr>
          <w:sz w:val="24"/>
          <w:szCs w:val="24"/>
        </w:rPr>
        <w:t xml:space="preserve">Maulida, E. et al.</w:t>
      </w:r>
      <w:r>
        <w:rPr>
          <w:sz w:val="24"/>
          <w:szCs w:val="24"/>
        </w:rPr>
        <w:t xml:space="preserve"> (2022). The implementation of lean canvas in startup business.</w:t>
      </w:r>
      <w:r>
        <w:rPr>
          <w:sz w:val="24"/>
          <w:szCs w:val="24"/>
        </w:rPr>
        <w:t xml:space="preserve"> </w:t>
      </w:r>
      <w:r>
        <w:rPr>
          <w:i/>
          <w:iCs/>
          <w:sz w:val="24"/>
          <w:szCs w:val="24"/>
        </w:rPr>
        <w:t xml:space="preserve">Journal of Applied Management and Business</w:t>
      </w:r>
      <w:r>
        <w:rPr>
          <w:sz w:val="24"/>
          <w:szCs w:val="24"/>
        </w:rPr>
        <w:t xml:space="preserve">.</w:t>
      </w:r>
      <w:r>
        <w:rPr>
          <w:sz w:val="24"/>
          <w:szCs w:val="24"/>
        </w:rPr>
        <w:t xml:space="preserve"> </w:t>
      </w:r>
      <w:hyperlink r:id="rId14" w:tooltip="https://www.semanticscholar.org/paper/Lean-Canvas-and-the-Business-Model-Canvas-Model-in-Razabillah-Junaedi/867770ead0a809e74e59df8d6f87f13bd12bae0d" w:history="1">
        <w:r>
          <w:rPr>
            <w:rStyle w:val="731"/>
            <w:sz w:val="24"/>
            <w:szCs w:val="24"/>
          </w:rPr>
          <w:t xml:space="preserve">https://www.semanticscholar.org/paper/Lean-Canvas-and-the-Business-Model-Canvas-Model-in-Razabillah-Junaedi/867770ead0a809e74e59df8d6f87f13bd12bae0d</w:t>
        </w:r>
      </w:hyperlink>
      <w:r>
        <w:rPr>
          <w:sz w:val="24"/>
          <w:szCs w:val="24"/>
        </w:rPr>
      </w:r>
      <w:bookmarkEnd w:id="30"/>
      <w:r/>
      <w:r>
        <w:rPr>
          <w:sz w:val="24"/>
          <w:szCs w:val="24"/>
        </w:rPr>
      </w:r>
    </w:p>
    <w:p>
      <w:pPr>
        <w:pStyle w:val="696"/>
        <w:pBdr/>
        <w:spacing/>
        <w:ind/>
        <w:jc w:val="both"/>
        <w:rPr>
          <w:sz w:val="24"/>
          <w:szCs w:val="24"/>
        </w:rPr>
      </w:pPr>
      <w:r>
        <w:rPr>
          <w:sz w:val="24"/>
          <w:szCs w:val="24"/>
        </w:rPr>
      </w:r>
      <w:bookmarkStart w:id="32" w:name="ref-mentinno2024"/>
      <w:r>
        <w:rPr>
          <w:sz w:val="24"/>
          <w:szCs w:val="24"/>
        </w:rPr>
        <w:t xml:space="preserve">Mentinno. (2024). Informe Estado Digital Ecuador 2024: Redes Sociales y Conectividad.</w:t>
      </w:r>
      <w:r>
        <w:rPr>
          <w:sz w:val="24"/>
          <w:szCs w:val="24"/>
        </w:rPr>
        <w:t xml:space="preserve"> </w:t>
      </w:r>
      <w:r>
        <w:rPr>
          <w:i/>
          <w:iCs/>
          <w:sz w:val="24"/>
          <w:szCs w:val="24"/>
        </w:rPr>
        <w:t xml:space="preserve">Mentinno - Formación y Consultoría</w:t>
      </w:r>
      <w:r>
        <w:rPr>
          <w:sz w:val="24"/>
          <w:szCs w:val="24"/>
        </w:rPr>
        <w:t xml:space="preserve">.</w:t>
      </w:r>
      <w:r>
        <w:rPr>
          <w:sz w:val="24"/>
          <w:szCs w:val="24"/>
        </w:rPr>
        <w:t xml:space="preserve"> </w:t>
      </w:r>
      <w:hyperlink r:id="rId15" w:tooltip="https://www.mentinno.com/informe-estado-digital-ecuador-2024/" w:history="1">
        <w:r>
          <w:rPr>
            <w:rStyle w:val="731"/>
            <w:sz w:val="24"/>
            <w:szCs w:val="24"/>
          </w:rPr>
          <w:t xml:space="preserve">https://www.mentinno.com/informe-estado-digital-ecuador-2024/</w:t>
        </w:r>
      </w:hyperlink>
      <w:r>
        <w:rPr>
          <w:sz w:val="24"/>
          <w:szCs w:val="24"/>
        </w:rPr>
      </w:r>
      <w:bookmarkEnd w:id="32"/>
      <w:r/>
      <w:r>
        <w:rPr>
          <w:sz w:val="24"/>
          <w:szCs w:val="24"/>
        </w:rPr>
      </w:r>
    </w:p>
    <w:p>
      <w:pPr>
        <w:pStyle w:val="696"/>
        <w:pBdr/>
        <w:spacing/>
        <w:ind/>
        <w:jc w:val="both"/>
        <w:rPr>
          <w:sz w:val="24"/>
          <w:szCs w:val="24"/>
        </w:rPr>
      </w:pPr>
      <w:r>
        <w:rPr>
          <w:sz w:val="24"/>
          <w:szCs w:val="24"/>
        </w:rPr>
      </w:r>
      <w:bookmarkStart w:id="34" w:name="ref-mintel2024"/>
      <w:r>
        <w:rPr>
          <w:sz w:val="24"/>
          <w:szCs w:val="24"/>
        </w:rPr>
        <w:t xml:space="preserve">MINTEL / INEC. (2024).</w:t>
      </w:r>
      <w:r>
        <w:rPr>
          <w:sz w:val="24"/>
          <w:szCs w:val="24"/>
        </w:rPr>
        <w:t xml:space="preserve"> </w:t>
      </w:r>
      <w:r>
        <w:rPr>
          <w:i/>
          <w:iCs/>
          <w:sz w:val="24"/>
          <w:szCs w:val="24"/>
        </w:rPr>
        <w:t xml:space="preserve">Estadísticas de Uso de Tecnologías de Información en Ecuador</w:t>
      </w:r>
      <w:r>
        <w:rPr>
          <w:sz w:val="24"/>
          <w:szCs w:val="24"/>
        </w:rPr>
        <w:t xml:space="preserve">.</w:t>
      </w:r>
      <w:r>
        <w:rPr>
          <w:sz w:val="24"/>
          <w:szCs w:val="24"/>
        </w:rPr>
        <w:t xml:space="preserve"> </w:t>
      </w:r>
      <w:hyperlink r:id="rId16" w:tooltip="https://www.ecuadorencifras.gob.ec/tecnologias-de-la-informacion-y-comunicacion-tic/" w:history="1">
        <w:r>
          <w:rPr>
            <w:rStyle w:val="731"/>
            <w:sz w:val="24"/>
            <w:szCs w:val="24"/>
          </w:rPr>
          <w:t xml:space="preserve">https://www.ecuadorencifras.gob.ec/tecnologias-de-la-informacion-y-comunicacion-tic/</w:t>
        </w:r>
      </w:hyperlink>
      <w:r>
        <w:rPr>
          <w:sz w:val="24"/>
          <w:szCs w:val="24"/>
        </w:rPr>
      </w:r>
      <w:bookmarkEnd w:id="34"/>
      <w:r/>
      <w:r>
        <w:rPr>
          <w:sz w:val="24"/>
          <w:szCs w:val="24"/>
        </w:rPr>
      </w:r>
    </w:p>
    <w:p>
      <w:pPr>
        <w:pStyle w:val="696"/>
        <w:pBdr/>
        <w:spacing/>
        <w:ind/>
        <w:jc w:val="both"/>
        <w:rPr>
          <w:sz w:val="24"/>
          <w:szCs w:val="24"/>
        </w:rPr>
      </w:pPr>
      <w:r>
        <w:rPr>
          <w:sz w:val="24"/>
          <w:szCs w:val="24"/>
        </w:rPr>
      </w:r>
      <w:bookmarkStart w:id="36" w:name="ref-municipioloja2025"/>
      <w:r>
        <w:rPr>
          <w:sz w:val="24"/>
          <w:szCs w:val="24"/>
        </w:rPr>
        <w:t xml:space="preserve">Municipio de Loja. (2025).</w:t>
      </w:r>
      <w:r>
        <w:rPr>
          <w:sz w:val="24"/>
          <w:szCs w:val="24"/>
        </w:rPr>
        <w:t xml:space="preserve"> </w:t>
      </w:r>
      <w:r>
        <w:rPr>
          <w:i/>
          <w:iCs/>
          <w:sz w:val="24"/>
          <w:szCs w:val="24"/>
        </w:rPr>
        <w:t xml:space="preserve">Ordenanza No. 0068-2024 para la Transformación Digital del Cantón Loja</w:t>
      </w:r>
      <w:r>
        <w:rPr>
          <w:sz w:val="24"/>
          <w:szCs w:val="24"/>
        </w:rPr>
        <w:t xml:space="preserve">.</w:t>
      </w:r>
      <w:r>
        <w:rPr>
          <w:sz w:val="24"/>
          <w:szCs w:val="24"/>
        </w:rPr>
        <w:t xml:space="preserve"> </w:t>
      </w:r>
      <w:hyperlink r:id="rId17" w:tooltip="https://www.loja.gob.ec/content/ordenanza-no-0068-2024-ordenanza-para-la-transformacion-digital-en-el-gobierno-autonomo" w:history="1">
        <w:r>
          <w:rPr>
            <w:rStyle w:val="731"/>
            <w:sz w:val="24"/>
            <w:szCs w:val="24"/>
          </w:rPr>
          <w:t xml:space="preserve">https://www.loja.gob.ec/content/ordenanza-no-0068-2024-ordenanza-para-la-transformacion-digital-en-el-gobierno-autonomo</w:t>
        </w:r>
      </w:hyperlink>
      <w:r>
        <w:rPr>
          <w:sz w:val="24"/>
          <w:szCs w:val="24"/>
        </w:rPr>
      </w:r>
      <w:bookmarkEnd w:id="36"/>
      <w:r/>
      <w:r>
        <w:rPr>
          <w:sz w:val="24"/>
          <w:szCs w:val="24"/>
        </w:rPr>
      </w:r>
    </w:p>
    <w:p>
      <w:pPr>
        <w:pStyle w:val="696"/>
        <w:pBdr/>
        <w:spacing/>
        <w:ind/>
        <w:jc w:val="both"/>
        <w:rPr>
          <w:sz w:val="24"/>
          <w:szCs w:val="24"/>
        </w:rPr>
      </w:pPr>
      <w:r>
        <w:rPr>
          <w:sz w:val="24"/>
          <w:szCs w:val="24"/>
        </w:rPr>
      </w:r>
      <w:bookmarkStart w:id="38" w:name="ref-uasb2024loja"/>
      <w:r>
        <w:rPr>
          <w:sz w:val="24"/>
          <w:szCs w:val="24"/>
        </w:rPr>
        <w:t xml:space="preserve">UASB. (2024).</w:t>
      </w:r>
      <w:r>
        <w:rPr>
          <w:sz w:val="24"/>
          <w:szCs w:val="24"/>
        </w:rPr>
        <w:t xml:space="preserve"> </w:t>
      </w:r>
      <w:r>
        <w:rPr>
          <w:i/>
          <w:iCs/>
          <w:sz w:val="24"/>
          <w:szCs w:val="24"/>
        </w:rPr>
        <w:t xml:space="preserve">Censo de Establecimientos Económicos de Loja: Análisis Sectorial</w:t>
      </w:r>
      <w:r>
        <w:rPr>
          <w:sz w:val="24"/>
          <w:szCs w:val="24"/>
        </w:rPr>
        <w:t xml:space="preserve">. Universidad Andina Simón Bolívar.</w:t>
      </w:r>
      <w:r>
        <w:rPr>
          <w:sz w:val="24"/>
          <w:szCs w:val="24"/>
        </w:rPr>
        <w:t xml:space="preserve"> </w:t>
      </w:r>
      <w:hyperlink r:id="rId18" w:tooltip="https://uasb.edu.ec/investigacion/observatorios/observatorio-de-la-pyme/" w:history="1">
        <w:r>
          <w:rPr>
            <w:rStyle w:val="731"/>
            <w:sz w:val="24"/>
            <w:szCs w:val="24"/>
          </w:rPr>
          <w:t xml:space="preserve">https://uasb.edu.ec/investigacion/observatorios/observatorio-de-la-pyme/</w:t>
        </w:r>
      </w:hyperlink>
      <w:r>
        <w:rPr>
          <w:sz w:val="24"/>
          <w:szCs w:val="24"/>
        </w:rPr>
      </w:r>
      <w:bookmarkEnd w:id="38"/>
      <w:r/>
      <w:r>
        <w:rPr>
          <w:sz w:val="24"/>
          <w:szCs w:val="24"/>
        </w:rPr>
      </w:r>
    </w:p>
    <w:p>
      <w:pPr>
        <w:pStyle w:val="696"/>
        <w:pBdr/>
        <w:spacing/>
        <w:ind/>
        <w:jc w:val="both"/>
        <w:rPr>
          <w:sz w:val="24"/>
          <w:szCs w:val="24"/>
        </w:rPr>
      </w:pPr>
      <w:r>
        <w:rPr>
          <w:sz w:val="24"/>
          <w:szCs w:val="24"/>
        </w:rPr>
      </w:r>
      <w:bookmarkStart w:id="40" w:name="ref-zamora2024estrategias"/>
      <w:r>
        <w:rPr>
          <w:sz w:val="24"/>
          <w:szCs w:val="24"/>
        </w:rPr>
        <w:t xml:space="preserve">Zamora Montenegro, A. M. (2024). Estrategias de marketing digital para pequeñas y medianas empresas (PYMES).</w:t>
      </w:r>
      <w:r>
        <w:rPr>
          <w:sz w:val="24"/>
          <w:szCs w:val="24"/>
        </w:rPr>
        <w:t xml:space="preserve"> </w:t>
      </w:r>
      <w:r>
        <w:rPr>
          <w:i/>
          <w:iCs/>
          <w:sz w:val="24"/>
          <w:szCs w:val="24"/>
        </w:rPr>
        <w:t xml:space="preserve">LATAM Revista Latinoamericana de Ciencias Sociales y Humanidades</w:t>
      </w:r>
      <w:r>
        <w:rPr>
          <w:sz w:val="24"/>
          <w:szCs w:val="24"/>
        </w:rPr>
        <w:t xml:space="preserve">,</w:t>
      </w:r>
      <w:r>
        <w:rPr>
          <w:sz w:val="24"/>
          <w:szCs w:val="24"/>
        </w:rPr>
        <w:t xml:space="preserve"> </w:t>
      </w:r>
      <w:r>
        <w:rPr>
          <w:i/>
          <w:iCs/>
          <w:sz w:val="24"/>
          <w:szCs w:val="24"/>
        </w:rPr>
        <w:t xml:space="preserve">5</w:t>
      </w:r>
      <w:r>
        <w:rPr>
          <w:sz w:val="24"/>
          <w:szCs w:val="24"/>
        </w:rPr>
        <w:t xml:space="preserve">(5), 3590-3602.</w:t>
      </w:r>
      <w:r>
        <w:rPr>
          <w:sz w:val="24"/>
          <w:szCs w:val="24"/>
        </w:rPr>
        <w:t xml:space="preserve"> </w:t>
      </w:r>
      <w:hyperlink r:id="rId19" w:tooltip="https://doi.org/10.56712/latam.v5i5.288110" w:history="1">
        <w:r>
          <w:rPr>
            <w:rStyle w:val="731"/>
            <w:sz w:val="24"/>
            <w:szCs w:val="24"/>
          </w:rPr>
          <w:t xml:space="preserve">https://doi.org/10.56712/latam.v5i5.288110</w:t>
        </w:r>
      </w:hyperlink>
      <w:r>
        <w:rPr>
          <w:sz w:val="24"/>
          <w:szCs w:val="24"/>
        </w:rPr>
      </w:r>
      <w:bookmarkEnd w:id="40"/>
      <w:r/>
      <w:bookmarkEnd w:id="41"/>
      <w:r/>
      <w:bookmarkEnd w:id="42"/>
      <w:r/>
      <w:r>
        <w:rPr>
          <w:sz w:val="24"/>
          <w:szCs w:val="24"/>
        </w:rP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s-ES" w:eastAsia="zh-CN"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684"/>
    <w:next w:val="684"/>
    <w:link w:val="164"/>
    <w:uiPriority w:val="29"/>
    <w:qFormat/>
    <w:pPr>
      <w:pBdr/>
      <w:spacing w:before="160"/>
      <w:ind/>
      <w:jc w:val="center"/>
    </w:pPr>
    <w:rPr>
      <w:i/>
      <w:iCs/>
      <w:color w:val="404040" w:themeColor="text1" w:themeTint="BF"/>
    </w:rPr>
  </w:style>
  <w:style w:type="character" w:styleId="164">
    <w:name w:val="Quote Char"/>
    <w:basedOn w:val="718"/>
    <w:link w:val="163"/>
    <w:uiPriority w:val="29"/>
    <w:pPr>
      <w:pBdr/>
      <w:spacing/>
      <w:ind/>
    </w:pPr>
    <w:rPr>
      <w:i/>
      <w:iCs/>
      <w:color w:val="404040" w:themeColor="text1" w:themeTint="BF"/>
    </w:rPr>
  </w:style>
  <w:style w:type="paragraph" w:styleId="165">
    <w:name w:val="List Paragraph"/>
    <w:basedOn w:val="684"/>
    <w:uiPriority w:val="34"/>
    <w:qFormat/>
    <w:pPr>
      <w:pBdr/>
      <w:spacing/>
      <w:ind w:left="720"/>
      <w:contextualSpacing w:val="true"/>
    </w:pPr>
  </w:style>
  <w:style w:type="character" w:styleId="166">
    <w:name w:val="Intense Emphasis"/>
    <w:basedOn w:val="718"/>
    <w:uiPriority w:val="21"/>
    <w:qFormat/>
    <w:pPr>
      <w:pBdr/>
      <w:spacing/>
      <w:ind/>
    </w:pPr>
    <w:rPr>
      <w:i/>
      <w:iCs/>
      <w:color w:val="0f4761" w:themeColor="accent1" w:themeShade="BF"/>
    </w:rPr>
  </w:style>
  <w:style w:type="paragraph" w:styleId="167">
    <w:name w:val="Intense Quote"/>
    <w:basedOn w:val="684"/>
    <w:next w:val="68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8"/>
    <w:link w:val="167"/>
    <w:uiPriority w:val="30"/>
    <w:pPr>
      <w:pBdr/>
      <w:spacing/>
      <w:ind/>
    </w:pPr>
    <w:rPr>
      <w:i/>
      <w:iCs/>
      <w:color w:val="0f4761" w:themeColor="accent1" w:themeShade="BF"/>
    </w:rPr>
  </w:style>
  <w:style w:type="character" w:styleId="169">
    <w:name w:val="Intense Reference"/>
    <w:basedOn w:val="718"/>
    <w:uiPriority w:val="32"/>
    <w:qFormat/>
    <w:pPr>
      <w:pBdr/>
      <w:spacing/>
      <w:ind/>
    </w:pPr>
    <w:rPr>
      <w:b/>
      <w:bCs/>
      <w:smallCaps/>
      <w:color w:val="0f4761" w:themeColor="accent1" w:themeShade="BF"/>
      <w:spacing w:val="5"/>
    </w:rPr>
  </w:style>
  <w:style w:type="paragraph" w:styleId="170">
    <w:name w:val="No Spacing"/>
    <w:basedOn w:val="684"/>
    <w:uiPriority w:val="1"/>
    <w:qFormat/>
    <w:pPr>
      <w:pBdr/>
      <w:spacing w:after="0" w:line="240" w:lineRule="auto"/>
      <w:ind/>
    </w:pPr>
  </w:style>
  <w:style w:type="character" w:styleId="171">
    <w:name w:val="Subtle Emphasis"/>
    <w:basedOn w:val="718"/>
    <w:uiPriority w:val="19"/>
    <w:qFormat/>
    <w:pPr>
      <w:pBdr/>
      <w:spacing/>
      <w:ind/>
    </w:pPr>
    <w:rPr>
      <w:i/>
      <w:iCs/>
      <w:color w:val="404040" w:themeColor="text1" w:themeTint="BF"/>
    </w:rPr>
  </w:style>
  <w:style w:type="character" w:styleId="172">
    <w:name w:val="Emphasis"/>
    <w:basedOn w:val="718"/>
    <w:uiPriority w:val="20"/>
    <w:qFormat/>
    <w:pPr>
      <w:pBdr/>
      <w:spacing/>
      <w:ind/>
    </w:pPr>
    <w:rPr>
      <w:i/>
      <w:iCs/>
    </w:rPr>
  </w:style>
  <w:style w:type="character" w:styleId="173">
    <w:name w:val="Strong"/>
    <w:basedOn w:val="718"/>
    <w:uiPriority w:val="22"/>
    <w:qFormat/>
    <w:pPr>
      <w:pBdr/>
      <w:spacing/>
      <w:ind/>
    </w:pPr>
    <w:rPr>
      <w:b/>
      <w:bCs/>
    </w:rPr>
  </w:style>
  <w:style w:type="character" w:styleId="174">
    <w:name w:val="Subtle Reference"/>
    <w:basedOn w:val="718"/>
    <w:uiPriority w:val="31"/>
    <w:qFormat/>
    <w:pPr>
      <w:pBdr/>
      <w:spacing/>
      <w:ind/>
    </w:pPr>
    <w:rPr>
      <w:smallCaps/>
      <w:color w:val="5a5a5a" w:themeColor="text1" w:themeTint="A5"/>
    </w:rPr>
  </w:style>
  <w:style w:type="character" w:styleId="175">
    <w:name w:val="Book Title"/>
    <w:basedOn w:val="718"/>
    <w:uiPriority w:val="33"/>
    <w:qFormat/>
    <w:pPr>
      <w:pBdr/>
      <w:spacing/>
      <w:ind/>
    </w:pPr>
    <w:rPr>
      <w:b/>
      <w:bCs/>
      <w:i/>
      <w:iCs/>
      <w:spacing w:val="5"/>
    </w:rPr>
  </w:style>
  <w:style w:type="paragraph" w:styleId="176">
    <w:name w:val="Header"/>
    <w:basedOn w:val="684"/>
    <w:link w:val="177"/>
    <w:uiPriority w:val="99"/>
    <w:unhideWhenUsed/>
    <w:pPr>
      <w:pBdr/>
      <w:tabs>
        <w:tab w:val="center" w:leader="none" w:pos="4844"/>
        <w:tab w:val="right" w:leader="none" w:pos="9689"/>
      </w:tabs>
      <w:spacing w:after="0" w:line="240" w:lineRule="auto"/>
      <w:ind/>
    </w:pPr>
  </w:style>
  <w:style w:type="character" w:styleId="177">
    <w:name w:val="Header Char"/>
    <w:basedOn w:val="718"/>
    <w:link w:val="176"/>
    <w:uiPriority w:val="99"/>
    <w:pPr>
      <w:pBdr/>
      <w:spacing/>
      <w:ind/>
    </w:pPr>
  </w:style>
  <w:style w:type="paragraph" w:styleId="178">
    <w:name w:val="Footer"/>
    <w:basedOn w:val="684"/>
    <w:link w:val="179"/>
    <w:uiPriority w:val="99"/>
    <w:unhideWhenUsed/>
    <w:pPr>
      <w:pBdr/>
      <w:tabs>
        <w:tab w:val="center" w:leader="none" w:pos="4844"/>
        <w:tab w:val="right" w:leader="none" w:pos="9689"/>
      </w:tabs>
      <w:spacing w:after="0" w:line="240" w:lineRule="auto"/>
      <w:ind/>
    </w:pPr>
  </w:style>
  <w:style w:type="character" w:styleId="179">
    <w:name w:val="Footer Char"/>
    <w:basedOn w:val="718"/>
    <w:link w:val="178"/>
    <w:uiPriority w:val="99"/>
    <w:pPr>
      <w:pBdr/>
      <w:spacing/>
      <w:ind/>
    </w:pPr>
  </w:style>
  <w:style w:type="character" w:styleId="182">
    <w:name w:val="Footnote Text Char"/>
    <w:basedOn w:val="718"/>
    <w:link w:val="716"/>
    <w:uiPriority w:val="99"/>
    <w:semiHidden/>
    <w:pPr>
      <w:pBdr/>
      <w:spacing/>
      <w:ind/>
    </w:pPr>
    <w:rPr>
      <w:sz w:val="20"/>
      <w:szCs w:val="20"/>
    </w:rPr>
  </w:style>
  <w:style w:type="paragraph" w:styleId="184">
    <w:name w:val="endnote text"/>
    <w:basedOn w:val="684"/>
    <w:link w:val="185"/>
    <w:uiPriority w:val="99"/>
    <w:semiHidden/>
    <w:unhideWhenUsed/>
    <w:pPr>
      <w:pBdr/>
      <w:spacing w:after="0" w:line="240" w:lineRule="auto"/>
      <w:ind/>
    </w:pPr>
    <w:rPr>
      <w:sz w:val="20"/>
      <w:szCs w:val="20"/>
    </w:rPr>
  </w:style>
  <w:style w:type="character" w:styleId="185">
    <w:name w:val="Endnote Text Char"/>
    <w:basedOn w:val="718"/>
    <w:link w:val="184"/>
    <w:uiPriority w:val="99"/>
    <w:semiHidden/>
    <w:pPr>
      <w:pBdr/>
      <w:spacing/>
      <w:ind/>
    </w:pPr>
    <w:rPr>
      <w:sz w:val="20"/>
      <w:szCs w:val="20"/>
    </w:rPr>
  </w:style>
  <w:style w:type="character" w:styleId="186">
    <w:name w:val="endnote reference"/>
    <w:basedOn w:val="718"/>
    <w:uiPriority w:val="99"/>
    <w:semiHidden/>
    <w:unhideWhenUsed/>
    <w:pPr>
      <w:pBdr/>
      <w:spacing/>
      <w:ind/>
    </w:pPr>
    <w:rPr>
      <w:vertAlign w:val="superscript"/>
    </w:rPr>
  </w:style>
  <w:style w:type="character" w:styleId="188">
    <w:name w:val="FollowedHyperlink"/>
    <w:basedOn w:val="718"/>
    <w:uiPriority w:val="99"/>
    <w:semiHidden/>
    <w:unhideWhenUsed/>
    <w:pPr>
      <w:pBdr/>
      <w:spacing/>
      <w:ind/>
    </w:pPr>
    <w:rPr>
      <w:color w:val="954f72" w:themeColor="followedHyperlink"/>
      <w:u w:val="single"/>
    </w:rPr>
  </w:style>
  <w:style w:type="paragraph" w:styleId="189">
    <w:name w:val="toc 1"/>
    <w:basedOn w:val="684"/>
    <w:next w:val="684"/>
    <w:uiPriority w:val="39"/>
    <w:unhideWhenUsed/>
    <w:pPr>
      <w:pBdr/>
      <w:spacing w:after="100"/>
      <w:ind/>
    </w:pPr>
  </w:style>
  <w:style w:type="paragraph" w:styleId="190">
    <w:name w:val="toc 2"/>
    <w:basedOn w:val="684"/>
    <w:next w:val="684"/>
    <w:uiPriority w:val="39"/>
    <w:unhideWhenUsed/>
    <w:pPr>
      <w:pBdr/>
      <w:spacing w:after="100"/>
      <w:ind w:left="220"/>
    </w:pPr>
  </w:style>
  <w:style w:type="paragraph" w:styleId="191">
    <w:name w:val="toc 3"/>
    <w:basedOn w:val="684"/>
    <w:next w:val="684"/>
    <w:uiPriority w:val="39"/>
    <w:unhideWhenUsed/>
    <w:pPr>
      <w:pBdr/>
      <w:spacing w:after="100"/>
      <w:ind w:left="440"/>
    </w:pPr>
  </w:style>
  <w:style w:type="paragraph" w:styleId="192">
    <w:name w:val="toc 4"/>
    <w:basedOn w:val="684"/>
    <w:next w:val="684"/>
    <w:uiPriority w:val="39"/>
    <w:unhideWhenUsed/>
    <w:pPr>
      <w:pBdr/>
      <w:spacing w:after="100"/>
      <w:ind w:left="660"/>
    </w:pPr>
  </w:style>
  <w:style w:type="paragraph" w:styleId="193">
    <w:name w:val="toc 5"/>
    <w:basedOn w:val="684"/>
    <w:next w:val="684"/>
    <w:uiPriority w:val="39"/>
    <w:unhideWhenUsed/>
    <w:pPr>
      <w:pBdr/>
      <w:spacing w:after="100"/>
      <w:ind w:left="880"/>
    </w:pPr>
  </w:style>
  <w:style w:type="paragraph" w:styleId="194">
    <w:name w:val="toc 6"/>
    <w:basedOn w:val="684"/>
    <w:next w:val="684"/>
    <w:uiPriority w:val="39"/>
    <w:unhideWhenUsed/>
    <w:pPr>
      <w:pBdr/>
      <w:spacing w:after="100"/>
      <w:ind w:left="1100"/>
    </w:pPr>
  </w:style>
  <w:style w:type="paragraph" w:styleId="195">
    <w:name w:val="toc 7"/>
    <w:basedOn w:val="684"/>
    <w:next w:val="684"/>
    <w:uiPriority w:val="39"/>
    <w:unhideWhenUsed/>
    <w:pPr>
      <w:pBdr/>
      <w:spacing w:after="100"/>
      <w:ind w:left="1320"/>
    </w:pPr>
  </w:style>
  <w:style w:type="paragraph" w:styleId="196">
    <w:name w:val="toc 8"/>
    <w:basedOn w:val="684"/>
    <w:next w:val="684"/>
    <w:uiPriority w:val="39"/>
    <w:unhideWhenUsed/>
    <w:pPr>
      <w:pBdr/>
      <w:spacing w:after="100"/>
      <w:ind w:left="1540"/>
    </w:pPr>
  </w:style>
  <w:style w:type="paragraph" w:styleId="197">
    <w:name w:val="toc 9"/>
    <w:basedOn w:val="684"/>
    <w:next w:val="684"/>
    <w:uiPriority w:val="39"/>
    <w:unhideWhenUsed/>
    <w:pPr>
      <w:pBdr/>
      <w:spacing w:after="100"/>
      <w:ind w:left="1760"/>
    </w:pPr>
  </w:style>
  <w:style w:type="character" w:styleId="198">
    <w:name w:val="Placeholder Text"/>
    <w:basedOn w:val="718"/>
    <w:uiPriority w:val="99"/>
    <w:semiHidden/>
    <w:pPr>
      <w:pBdr/>
      <w:spacing/>
      <w:ind/>
    </w:pPr>
    <w:rPr>
      <w:color w:val="666666"/>
    </w:rPr>
  </w:style>
  <w:style w:type="paragraph" w:styleId="209">
    <w:name w:val="table of figures"/>
    <w:basedOn w:val="684"/>
    <w:next w:val="684"/>
    <w:uiPriority w:val="99"/>
    <w:unhideWhenUsed/>
    <w:pPr>
      <w:pBdr/>
      <w:spacing w:after="0" w:afterAutospacing="0"/>
      <w:ind/>
    </w:pPr>
  </w:style>
  <w:style w:type="paragraph" w:styleId="684" w:default="1">
    <w:name w:val="Normal"/>
    <w:qFormat/>
    <w:pPr>
      <w:pBdr/>
      <w:spacing/>
      <w:ind/>
    </w:pPr>
  </w:style>
  <w:style w:type="paragraph" w:styleId="685">
    <w:name w:val="Body Text"/>
    <w:basedOn w:val="684"/>
    <w:link w:val="727"/>
    <w:qFormat/>
    <w:pPr>
      <w:pBdr/>
      <w:spacing w:after="180" w:before="180"/>
      <w:ind/>
    </w:pPr>
  </w:style>
  <w:style w:type="paragraph" w:styleId="686" w:customStyle="1">
    <w:name w:val="First Paragraph"/>
    <w:basedOn w:val="685"/>
    <w:next w:val="685"/>
    <w:qFormat/>
    <w:pPr>
      <w:pBdr/>
      <w:spacing/>
      <w:ind/>
    </w:pPr>
  </w:style>
  <w:style w:type="paragraph" w:styleId="687" w:customStyle="1">
    <w:name w:val="Compact"/>
    <w:basedOn w:val="685"/>
    <w:qFormat/>
    <w:pPr>
      <w:pBdr/>
      <w:spacing w:after="36" w:before="36"/>
      <w:ind/>
    </w:pPr>
  </w:style>
  <w:style w:type="paragraph" w:styleId="688">
    <w:name w:val="Title"/>
    <w:basedOn w:val="684"/>
    <w:next w:val="685"/>
    <w:link w:val="689"/>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689" w:customStyle="1">
    <w:name w:val="Title Char"/>
    <w:basedOn w:val="718"/>
    <w:link w:val="688"/>
    <w:uiPriority w:val="10"/>
    <w:pPr>
      <w:pBdr/>
      <w:spacing/>
      <w:ind/>
    </w:pPr>
    <w:rPr>
      <w:rFonts w:asciiTheme="majorHAnsi" w:hAnsiTheme="majorHAnsi" w:eastAsiaTheme="majorEastAsia" w:cstheme="majorBidi"/>
      <w:sz w:val="56"/>
      <w:szCs w:val="56"/>
    </w:rPr>
  </w:style>
  <w:style w:type="paragraph" w:styleId="690">
    <w:name w:val="Subtitle"/>
    <w:basedOn w:val="688"/>
    <w:next w:val="685"/>
    <w:link w:val="691"/>
    <w:uiPriority w:val="11"/>
    <w:qFormat/>
    <w:pPr>
      <w:numPr>
        <w:ilvl w:val="1"/>
      </w:numPr>
      <w:pBdr/>
      <w:spacing/>
      <w:ind/>
    </w:pPr>
    <w:rPr>
      <w:rFonts w:eastAsiaTheme="majorEastAsia" w:cstheme="majorBidi"/>
      <w:spacing w:val="15"/>
      <w:sz w:val="28"/>
      <w:szCs w:val="28"/>
    </w:rPr>
  </w:style>
  <w:style w:type="character" w:styleId="691" w:customStyle="1">
    <w:name w:val="Subtitle Char"/>
    <w:basedOn w:val="718"/>
    <w:link w:val="690"/>
    <w:uiPriority w:val="11"/>
    <w:pPr>
      <w:pBdr/>
      <w:spacing/>
      <w:ind/>
    </w:pPr>
    <w:rPr>
      <w:rFonts w:eastAsiaTheme="majorEastAsia" w:cstheme="majorBidi"/>
      <w:color w:val="595959" w:themeColor="text1" w:themeTint="A6"/>
      <w:spacing w:val="15"/>
      <w:sz w:val="28"/>
      <w:szCs w:val="28"/>
    </w:rPr>
  </w:style>
  <w:style w:type="paragraph" w:styleId="692" w:customStyle="1">
    <w:name w:val="Author"/>
    <w:basedOn w:val="688"/>
    <w:next w:val="685"/>
    <w:qFormat/>
    <w:pPr>
      <w:keepNext w:val="true"/>
      <w:keepLines w:val="true"/>
      <w:pBdr/>
      <w:spacing/>
      <w:ind/>
    </w:pPr>
    <w:rPr>
      <w:sz w:val="24"/>
      <w:szCs w:val="24"/>
    </w:rPr>
  </w:style>
  <w:style w:type="paragraph" w:styleId="693">
    <w:name w:val="Date"/>
    <w:basedOn w:val="688"/>
    <w:next w:val="685"/>
    <w:qFormat/>
    <w:pPr>
      <w:keepNext w:val="true"/>
      <w:keepLines w:val="true"/>
      <w:pBdr/>
      <w:spacing/>
      <w:ind/>
    </w:pPr>
    <w:rPr>
      <w:sz w:val="24"/>
      <w:szCs w:val="24"/>
    </w:rPr>
  </w:style>
  <w:style w:type="paragraph" w:styleId="694" w:customStyle="1">
    <w:name w:val="Abstract Title"/>
    <w:basedOn w:val="684"/>
    <w:next w:val="695"/>
    <w:qFormat/>
    <w:pPr>
      <w:keepNext w:val="true"/>
      <w:keepLines w:val="true"/>
      <w:pBdr/>
      <w:spacing w:after="0" w:before="300"/>
      <w:ind/>
      <w:jc w:val="center"/>
    </w:pPr>
    <w:rPr>
      <w:b/>
      <w:sz w:val="20"/>
      <w:szCs w:val="20"/>
    </w:rPr>
  </w:style>
  <w:style w:type="paragraph" w:styleId="695" w:customStyle="1">
    <w:name w:val="Abstract"/>
    <w:basedOn w:val="684"/>
    <w:next w:val="685"/>
    <w:qFormat/>
    <w:pPr>
      <w:keepNext w:val="true"/>
      <w:keepLines w:val="true"/>
      <w:pBdr/>
      <w:spacing w:after="300" w:before="100"/>
      <w:ind/>
    </w:pPr>
    <w:rPr>
      <w:sz w:val="20"/>
      <w:szCs w:val="20"/>
    </w:rPr>
  </w:style>
  <w:style w:type="paragraph" w:styleId="696">
    <w:name w:val="Bibliography"/>
    <w:basedOn w:val="684"/>
    <w:next w:val="696"/>
    <w:qFormat/>
    <w:pPr>
      <w:pBdr/>
      <w:spacing/>
      <w:ind/>
    </w:pPr>
  </w:style>
  <w:style w:type="paragraph" w:styleId="697">
    <w:name w:val="Heading 1"/>
    <w:basedOn w:val="684"/>
    <w:next w:val="685"/>
    <w:link w:val="70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98">
    <w:name w:val="Heading 2"/>
    <w:basedOn w:val="684"/>
    <w:next w:val="685"/>
    <w:link w:val="707"/>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99">
    <w:name w:val="Heading 3"/>
    <w:basedOn w:val="684"/>
    <w:next w:val="685"/>
    <w:link w:val="708"/>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00">
    <w:name w:val="Heading 4"/>
    <w:basedOn w:val="684"/>
    <w:next w:val="685"/>
    <w:link w:val="70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01">
    <w:name w:val="Heading 5"/>
    <w:basedOn w:val="684"/>
    <w:next w:val="685"/>
    <w:link w:val="71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02">
    <w:name w:val="Heading 6"/>
    <w:basedOn w:val="684"/>
    <w:next w:val="685"/>
    <w:link w:val="71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03">
    <w:name w:val="Heading 7"/>
    <w:basedOn w:val="684"/>
    <w:next w:val="685"/>
    <w:link w:val="71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04">
    <w:name w:val="Heading 8"/>
    <w:basedOn w:val="684"/>
    <w:next w:val="685"/>
    <w:link w:val="71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05">
    <w:name w:val="Heading 9"/>
    <w:basedOn w:val="684"/>
    <w:next w:val="685"/>
    <w:link w:val="71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06" w:customStyle="1">
    <w:name w:val="Heading 1 Char"/>
    <w:basedOn w:val="718"/>
    <w:link w:val="697"/>
    <w:uiPriority w:val="9"/>
    <w:pPr>
      <w:pBdr/>
      <w:spacing/>
      <w:ind/>
    </w:pPr>
    <w:rPr>
      <w:rFonts w:asciiTheme="majorHAnsi" w:hAnsiTheme="majorHAnsi" w:eastAsiaTheme="majorEastAsia" w:cstheme="majorBidi"/>
      <w:color w:val="0f4761" w:themeColor="accent1" w:themeShade="BF"/>
      <w:sz w:val="40"/>
      <w:szCs w:val="40"/>
    </w:rPr>
  </w:style>
  <w:style w:type="character" w:styleId="707" w:customStyle="1">
    <w:name w:val="Heading 2 Char"/>
    <w:basedOn w:val="718"/>
    <w:link w:val="698"/>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08" w:customStyle="1">
    <w:name w:val="Heading 3 Char"/>
    <w:basedOn w:val="718"/>
    <w:link w:val="699"/>
    <w:uiPriority w:val="9"/>
    <w:semiHidden/>
    <w:pPr>
      <w:pBdr/>
      <w:spacing/>
      <w:ind/>
    </w:pPr>
    <w:rPr>
      <w:rFonts w:eastAsiaTheme="majorEastAsia" w:cstheme="majorBidi"/>
      <w:color w:val="0f4761" w:themeColor="accent1" w:themeShade="BF"/>
      <w:sz w:val="28"/>
      <w:szCs w:val="28"/>
    </w:rPr>
  </w:style>
  <w:style w:type="character" w:styleId="709" w:customStyle="1">
    <w:name w:val="Heading 4 Char"/>
    <w:basedOn w:val="718"/>
    <w:link w:val="700"/>
    <w:uiPriority w:val="9"/>
    <w:semiHidden/>
    <w:pPr>
      <w:pBdr/>
      <w:spacing/>
      <w:ind/>
    </w:pPr>
    <w:rPr>
      <w:rFonts w:eastAsiaTheme="majorEastAsia" w:cstheme="majorBidi"/>
      <w:i/>
      <w:iCs/>
      <w:color w:val="0f4761" w:themeColor="accent1" w:themeShade="BF"/>
    </w:rPr>
  </w:style>
  <w:style w:type="character" w:styleId="710" w:customStyle="1">
    <w:name w:val="Heading 5 Char"/>
    <w:basedOn w:val="718"/>
    <w:link w:val="701"/>
    <w:uiPriority w:val="9"/>
    <w:semiHidden/>
    <w:pPr>
      <w:pBdr/>
      <w:spacing/>
      <w:ind/>
    </w:pPr>
    <w:rPr>
      <w:rFonts w:eastAsiaTheme="majorEastAsia" w:cstheme="majorBidi"/>
      <w:color w:val="0f4761" w:themeColor="accent1" w:themeShade="BF"/>
    </w:rPr>
  </w:style>
  <w:style w:type="character" w:styleId="711" w:customStyle="1">
    <w:name w:val="Heading 6 Char"/>
    <w:basedOn w:val="718"/>
    <w:link w:val="702"/>
    <w:uiPriority w:val="9"/>
    <w:semiHidden/>
    <w:pPr>
      <w:pBdr/>
      <w:spacing/>
      <w:ind/>
    </w:pPr>
    <w:rPr>
      <w:rFonts w:eastAsiaTheme="majorEastAsia" w:cstheme="majorBidi"/>
      <w:i/>
      <w:iCs/>
      <w:color w:val="595959" w:themeColor="text1" w:themeTint="A6"/>
    </w:rPr>
  </w:style>
  <w:style w:type="character" w:styleId="712" w:customStyle="1">
    <w:name w:val="Heading 7 Char"/>
    <w:basedOn w:val="718"/>
    <w:link w:val="703"/>
    <w:uiPriority w:val="9"/>
    <w:semiHidden/>
    <w:pPr>
      <w:pBdr/>
      <w:spacing/>
      <w:ind/>
    </w:pPr>
    <w:rPr>
      <w:rFonts w:eastAsiaTheme="majorEastAsia" w:cstheme="majorBidi"/>
      <w:color w:val="595959" w:themeColor="text1" w:themeTint="A6"/>
    </w:rPr>
  </w:style>
  <w:style w:type="character" w:styleId="713" w:customStyle="1">
    <w:name w:val="Heading 8 Char"/>
    <w:basedOn w:val="718"/>
    <w:link w:val="704"/>
    <w:uiPriority w:val="9"/>
    <w:semiHidden/>
    <w:pPr>
      <w:pBdr/>
      <w:spacing/>
      <w:ind/>
    </w:pPr>
    <w:rPr>
      <w:rFonts w:eastAsiaTheme="majorEastAsia" w:cstheme="majorBidi"/>
      <w:i/>
      <w:iCs/>
      <w:color w:val="272727" w:themeColor="text1" w:themeTint="D8"/>
    </w:rPr>
  </w:style>
  <w:style w:type="character" w:styleId="714" w:customStyle="1">
    <w:name w:val="Heading 9 Char"/>
    <w:basedOn w:val="718"/>
    <w:link w:val="705"/>
    <w:uiPriority w:val="9"/>
    <w:semiHidden/>
    <w:pPr>
      <w:pBdr/>
      <w:spacing/>
      <w:ind/>
    </w:pPr>
    <w:rPr>
      <w:rFonts w:eastAsiaTheme="majorEastAsia" w:cstheme="majorBidi"/>
      <w:color w:val="272727" w:themeColor="text1" w:themeTint="D8"/>
    </w:rPr>
  </w:style>
  <w:style w:type="paragraph" w:styleId="715">
    <w:name w:val="Block Text"/>
    <w:basedOn w:val="685"/>
    <w:next w:val="685"/>
    <w:uiPriority w:val="9"/>
    <w:unhideWhenUsed/>
    <w:qFormat/>
    <w:pPr>
      <w:pBdr/>
      <w:spacing w:after="100" w:before="100"/>
      <w:ind w:right="480" w:firstLine="0" w:left="480"/>
    </w:pPr>
  </w:style>
  <w:style w:type="paragraph" w:styleId="716">
    <w:name w:val="footnote text"/>
    <w:basedOn w:val="684"/>
    <w:next w:val="716"/>
    <w:uiPriority w:val="9"/>
    <w:unhideWhenUsed/>
    <w:qFormat/>
    <w:pPr>
      <w:pBdr/>
      <w:spacing/>
      <w:ind/>
    </w:pPr>
  </w:style>
  <w:style w:type="paragraph" w:styleId="717">
    <w:name w:val="Footnote Block Text"/>
    <w:basedOn w:val="716"/>
    <w:next w:val="716"/>
    <w:uiPriority w:val="9"/>
    <w:unhideWhenUsed/>
    <w:qFormat/>
    <w:pPr>
      <w:pBdr/>
      <w:spacing w:after="100" w:before="100"/>
      <w:ind w:right="480" w:firstLine="0" w:left="480"/>
    </w:pPr>
  </w:style>
  <w:style w:type="character" w:styleId="718" w:default="1">
    <w:name w:val="Default Paragraph Font"/>
    <w:semiHidden/>
    <w:unhideWhenUsed/>
    <w:pPr>
      <w:pBdr/>
      <w:spacing/>
      <w:ind/>
    </w:pPr>
  </w:style>
  <w:style w:type="table" w:styleId="719">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0" w:customStyle="1">
    <w:name w:val="Definition Term"/>
    <w:basedOn w:val="684"/>
    <w:next w:val="721"/>
    <w:pPr>
      <w:keepNext w:val="true"/>
      <w:keepLines w:val="true"/>
      <w:pBdr/>
      <w:spacing w:after="0"/>
      <w:ind/>
    </w:pPr>
    <w:rPr>
      <w:b/>
    </w:rPr>
  </w:style>
  <w:style w:type="paragraph" w:styleId="721" w:customStyle="1">
    <w:name w:val="Definition"/>
    <w:basedOn w:val="684"/>
    <w:pPr>
      <w:pBdr/>
      <w:spacing/>
      <w:ind/>
    </w:pPr>
  </w:style>
  <w:style w:type="paragraph" w:styleId="722">
    <w:name w:val="Caption"/>
    <w:basedOn w:val="684"/>
    <w:link w:val="727"/>
    <w:pPr>
      <w:pBdr/>
      <w:spacing w:after="120" w:before="0"/>
      <w:ind/>
    </w:pPr>
    <w:rPr>
      <w:i/>
    </w:rPr>
  </w:style>
  <w:style w:type="paragraph" w:styleId="723" w:customStyle="1">
    <w:name w:val="Table Caption"/>
    <w:basedOn w:val="722"/>
    <w:pPr>
      <w:keepNext w:val="true"/>
      <w:pBdr/>
      <w:spacing/>
      <w:ind/>
    </w:pPr>
  </w:style>
  <w:style w:type="paragraph" w:styleId="724" w:customStyle="1">
    <w:name w:val="Image Caption"/>
    <w:basedOn w:val="722"/>
    <w:pPr>
      <w:pBdr/>
      <w:spacing/>
      <w:ind/>
    </w:pPr>
  </w:style>
  <w:style w:type="paragraph" w:styleId="725" w:customStyle="1">
    <w:name w:val="Figure"/>
    <w:basedOn w:val="684"/>
    <w:pPr>
      <w:pBdr/>
      <w:spacing/>
      <w:ind/>
    </w:pPr>
  </w:style>
  <w:style w:type="paragraph" w:styleId="726" w:customStyle="1">
    <w:name w:val="Captioned Figure"/>
    <w:basedOn w:val="725"/>
    <w:pPr>
      <w:keepNext w:val="true"/>
      <w:pBdr/>
      <w:spacing/>
      <w:ind/>
    </w:pPr>
  </w:style>
  <w:style w:type="character" w:styleId="727" w:customStyle="1">
    <w:name w:val="Body Text Char"/>
    <w:basedOn w:val="718"/>
    <w:link w:val="685"/>
    <w:pPr>
      <w:pBdr/>
      <w:spacing/>
      <w:ind/>
    </w:pPr>
  </w:style>
  <w:style w:type="character" w:styleId="728" w:customStyle="1">
    <w:name w:val="Verbatim Char"/>
    <w:basedOn w:val="727"/>
    <w:pPr>
      <w:pBdr/>
      <w:spacing/>
      <w:ind/>
    </w:pPr>
    <w:rPr>
      <w:rFonts w:ascii="Consolas" w:hAnsi="Consolas"/>
      <w:sz w:val="22"/>
    </w:rPr>
  </w:style>
  <w:style w:type="character" w:styleId="729" w:customStyle="1">
    <w:name w:val="Section Number"/>
    <w:basedOn w:val="727"/>
    <w:pPr>
      <w:pBdr/>
      <w:spacing/>
      <w:ind/>
    </w:pPr>
  </w:style>
  <w:style w:type="character" w:styleId="730">
    <w:name w:val="footnote reference"/>
    <w:basedOn w:val="727"/>
    <w:pPr>
      <w:pBdr/>
      <w:spacing/>
      <w:ind/>
    </w:pPr>
    <w:rPr>
      <w:vertAlign w:val="superscript"/>
    </w:rPr>
  </w:style>
  <w:style w:type="character" w:styleId="731">
    <w:name w:val="Hyperlink"/>
    <w:basedOn w:val="727"/>
    <w:pPr>
      <w:pBdr/>
      <w:spacing/>
      <w:ind/>
    </w:pPr>
    <w:rPr>
      <w:color w:val="4f81bd" w:themeColor="accent1"/>
    </w:rPr>
  </w:style>
  <w:style w:type="paragraph" w:styleId="732">
    <w:name w:val="TOC Heading"/>
    <w:basedOn w:val="697"/>
    <w:next w:val="685"/>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33" w:customStyle="1">
    <w:name w:val="Source Code"/>
    <w:basedOn w:val="684"/>
    <w:link w:val="728"/>
    <w:pPr>
      <w:pBdr/>
      <w:shd w:val="clear" w:color="auto" w:fill="f1f3f5"/>
      <w:spacing/>
      <w:ind/>
    </w:pPr>
  </w:style>
  <w:style w:type="character" w:styleId="734" w:customStyle="1">
    <w:name w:val="KeywordTok"/>
    <w:basedOn w:val="728"/>
    <w:pPr>
      <w:pBdr/>
      <w:spacing/>
      <w:ind/>
    </w:pPr>
    <w:rPr>
      <w:b/>
      <w:color w:val="003b4f"/>
      <w:shd w:val="clear" w:color="auto" w:fill="f1f3f5"/>
    </w:rPr>
  </w:style>
  <w:style w:type="character" w:styleId="735" w:customStyle="1">
    <w:name w:val="DataTypeTok"/>
    <w:basedOn w:val="728"/>
    <w:pPr>
      <w:pBdr/>
      <w:spacing/>
      <w:ind/>
    </w:pPr>
    <w:rPr>
      <w:color w:val="ad0000"/>
      <w:shd w:val="clear" w:color="auto" w:fill="f1f3f5"/>
    </w:rPr>
  </w:style>
  <w:style w:type="character" w:styleId="736" w:customStyle="1">
    <w:name w:val="DecValTok"/>
    <w:basedOn w:val="728"/>
    <w:pPr>
      <w:pBdr/>
      <w:spacing/>
      <w:ind/>
    </w:pPr>
    <w:rPr>
      <w:color w:val="ad0000"/>
      <w:shd w:val="clear" w:color="auto" w:fill="f1f3f5"/>
    </w:rPr>
  </w:style>
  <w:style w:type="character" w:styleId="737" w:customStyle="1">
    <w:name w:val="BaseNTok"/>
    <w:basedOn w:val="728"/>
    <w:pPr>
      <w:pBdr/>
      <w:spacing/>
      <w:ind/>
    </w:pPr>
    <w:rPr>
      <w:color w:val="ad0000"/>
      <w:shd w:val="clear" w:color="auto" w:fill="f1f3f5"/>
    </w:rPr>
  </w:style>
  <w:style w:type="character" w:styleId="738" w:customStyle="1">
    <w:name w:val="FloatTok"/>
    <w:basedOn w:val="728"/>
    <w:pPr>
      <w:pBdr/>
      <w:spacing/>
      <w:ind/>
    </w:pPr>
    <w:rPr>
      <w:color w:val="ad0000"/>
      <w:shd w:val="clear" w:color="auto" w:fill="f1f3f5"/>
    </w:rPr>
  </w:style>
  <w:style w:type="character" w:styleId="739" w:customStyle="1">
    <w:name w:val="ConstantTok"/>
    <w:basedOn w:val="728"/>
    <w:pPr>
      <w:pBdr/>
      <w:spacing/>
      <w:ind/>
    </w:pPr>
    <w:rPr>
      <w:color w:val="8f5902"/>
      <w:shd w:val="clear" w:color="auto" w:fill="f1f3f5"/>
    </w:rPr>
  </w:style>
  <w:style w:type="character" w:styleId="740" w:customStyle="1">
    <w:name w:val="CharTok"/>
    <w:basedOn w:val="728"/>
    <w:pPr>
      <w:pBdr/>
      <w:spacing/>
      <w:ind/>
    </w:pPr>
    <w:rPr>
      <w:color w:val="20794d"/>
      <w:shd w:val="clear" w:color="auto" w:fill="f1f3f5"/>
    </w:rPr>
  </w:style>
  <w:style w:type="character" w:styleId="741" w:customStyle="1">
    <w:name w:val="SpecialCharTok"/>
    <w:basedOn w:val="728"/>
    <w:pPr>
      <w:pBdr/>
      <w:spacing/>
      <w:ind/>
    </w:pPr>
    <w:rPr>
      <w:color w:val="5e5e5e"/>
      <w:shd w:val="clear" w:color="auto" w:fill="f1f3f5"/>
    </w:rPr>
  </w:style>
  <w:style w:type="character" w:styleId="742" w:customStyle="1">
    <w:name w:val="StringTok"/>
    <w:basedOn w:val="728"/>
    <w:pPr>
      <w:pBdr/>
      <w:spacing/>
      <w:ind/>
    </w:pPr>
    <w:rPr>
      <w:color w:val="20794d"/>
      <w:shd w:val="clear" w:color="auto" w:fill="f1f3f5"/>
    </w:rPr>
  </w:style>
  <w:style w:type="character" w:styleId="743" w:customStyle="1">
    <w:name w:val="VerbatimStringTok"/>
    <w:basedOn w:val="728"/>
    <w:pPr>
      <w:pBdr/>
      <w:spacing/>
      <w:ind/>
    </w:pPr>
    <w:rPr>
      <w:color w:val="20794d"/>
      <w:shd w:val="clear" w:color="auto" w:fill="f1f3f5"/>
    </w:rPr>
  </w:style>
  <w:style w:type="character" w:styleId="744" w:customStyle="1">
    <w:name w:val="SpecialStringTok"/>
    <w:basedOn w:val="728"/>
    <w:pPr>
      <w:pBdr/>
      <w:spacing/>
      <w:ind/>
    </w:pPr>
    <w:rPr>
      <w:color w:val="20794d"/>
      <w:shd w:val="clear" w:color="auto" w:fill="f1f3f5"/>
    </w:rPr>
  </w:style>
  <w:style w:type="character" w:styleId="745" w:customStyle="1">
    <w:name w:val="ImportTok"/>
    <w:basedOn w:val="728"/>
    <w:pPr>
      <w:pBdr/>
      <w:spacing/>
      <w:ind/>
    </w:pPr>
    <w:rPr>
      <w:color w:val="00769e"/>
      <w:shd w:val="clear" w:color="auto" w:fill="f1f3f5"/>
    </w:rPr>
  </w:style>
  <w:style w:type="character" w:styleId="746" w:customStyle="1">
    <w:name w:val="CommentTok"/>
    <w:basedOn w:val="728"/>
    <w:pPr>
      <w:pBdr/>
      <w:spacing/>
      <w:ind/>
    </w:pPr>
    <w:rPr>
      <w:color w:val="5e5e5e"/>
      <w:shd w:val="clear" w:color="auto" w:fill="f1f3f5"/>
    </w:rPr>
  </w:style>
  <w:style w:type="character" w:styleId="747" w:customStyle="1">
    <w:name w:val="DocumentationTok"/>
    <w:basedOn w:val="728"/>
    <w:pPr>
      <w:pBdr/>
      <w:spacing/>
      <w:ind/>
    </w:pPr>
    <w:rPr>
      <w:i/>
      <w:color w:val="5e5e5e"/>
      <w:shd w:val="clear" w:color="auto" w:fill="f1f3f5"/>
    </w:rPr>
  </w:style>
  <w:style w:type="character" w:styleId="748" w:customStyle="1">
    <w:name w:val="AnnotationTok"/>
    <w:basedOn w:val="728"/>
    <w:pPr>
      <w:pBdr/>
      <w:spacing/>
      <w:ind/>
    </w:pPr>
    <w:rPr>
      <w:color w:val="5e5e5e"/>
      <w:shd w:val="clear" w:color="auto" w:fill="f1f3f5"/>
    </w:rPr>
  </w:style>
  <w:style w:type="character" w:styleId="749" w:customStyle="1">
    <w:name w:val="CommentVarTok"/>
    <w:basedOn w:val="728"/>
    <w:pPr>
      <w:pBdr/>
      <w:spacing/>
      <w:ind/>
    </w:pPr>
    <w:rPr>
      <w:i/>
      <w:color w:val="5e5e5e"/>
      <w:shd w:val="clear" w:color="auto" w:fill="f1f3f5"/>
    </w:rPr>
  </w:style>
  <w:style w:type="character" w:styleId="750" w:customStyle="1">
    <w:name w:val="OtherTok"/>
    <w:basedOn w:val="728"/>
    <w:pPr>
      <w:pBdr/>
      <w:spacing/>
      <w:ind/>
    </w:pPr>
    <w:rPr>
      <w:color w:val="003b4f"/>
      <w:shd w:val="clear" w:color="auto" w:fill="f1f3f5"/>
    </w:rPr>
  </w:style>
  <w:style w:type="character" w:styleId="751" w:customStyle="1">
    <w:name w:val="FunctionTok"/>
    <w:basedOn w:val="728"/>
    <w:pPr>
      <w:pBdr/>
      <w:spacing/>
      <w:ind/>
    </w:pPr>
    <w:rPr>
      <w:color w:val="4758ab"/>
      <w:shd w:val="clear" w:color="auto" w:fill="f1f3f5"/>
    </w:rPr>
  </w:style>
  <w:style w:type="character" w:styleId="752" w:customStyle="1">
    <w:name w:val="VariableTok"/>
    <w:basedOn w:val="728"/>
    <w:pPr>
      <w:pBdr/>
      <w:spacing/>
      <w:ind/>
    </w:pPr>
    <w:rPr>
      <w:color w:val="111111"/>
      <w:shd w:val="clear" w:color="auto" w:fill="f1f3f5"/>
    </w:rPr>
  </w:style>
  <w:style w:type="character" w:styleId="753" w:customStyle="1">
    <w:name w:val="ControlFlowTok"/>
    <w:basedOn w:val="728"/>
    <w:pPr>
      <w:pBdr/>
      <w:spacing/>
      <w:ind/>
    </w:pPr>
    <w:rPr>
      <w:b/>
      <w:color w:val="003b4f"/>
      <w:shd w:val="clear" w:color="auto" w:fill="f1f3f5"/>
    </w:rPr>
  </w:style>
  <w:style w:type="character" w:styleId="754" w:customStyle="1">
    <w:name w:val="OperatorTok"/>
    <w:basedOn w:val="728"/>
    <w:pPr>
      <w:pBdr/>
      <w:spacing/>
      <w:ind/>
    </w:pPr>
    <w:rPr>
      <w:color w:val="5e5e5e"/>
      <w:shd w:val="clear" w:color="auto" w:fill="f1f3f5"/>
    </w:rPr>
  </w:style>
  <w:style w:type="character" w:styleId="755" w:customStyle="1">
    <w:name w:val="BuiltInTok"/>
    <w:basedOn w:val="728"/>
    <w:pPr>
      <w:pBdr/>
      <w:spacing/>
      <w:ind/>
    </w:pPr>
    <w:rPr>
      <w:color w:val="003b4f"/>
      <w:shd w:val="clear" w:color="auto" w:fill="f1f3f5"/>
    </w:rPr>
  </w:style>
  <w:style w:type="character" w:styleId="756" w:customStyle="1">
    <w:name w:val="ExtensionTok"/>
    <w:basedOn w:val="728"/>
    <w:pPr>
      <w:pBdr/>
      <w:spacing/>
      <w:ind/>
    </w:pPr>
    <w:rPr>
      <w:color w:val="003b4f"/>
      <w:shd w:val="clear" w:color="auto" w:fill="f1f3f5"/>
    </w:rPr>
  </w:style>
  <w:style w:type="character" w:styleId="757" w:customStyle="1">
    <w:name w:val="PreprocessorTok"/>
    <w:basedOn w:val="728"/>
    <w:pPr>
      <w:pBdr/>
      <w:spacing/>
      <w:ind/>
    </w:pPr>
    <w:rPr>
      <w:color w:val="ad0000"/>
      <w:shd w:val="clear" w:color="auto" w:fill="f1f3f5"/>
    </w:rPr>
  </w:style>
  <w:style w:type="character" w:styleId="758" w:customStyle="1">
    <w:name w:val="AttributeTok"/>
    <w:basedOn w:val="728"/>
    <w:pPr>
      <w:pBdr/>
      <w:spacing/>
      <w:ind/>
    </w:pPr>
    <w:rPr>
      <w:color w:val="657422"/>
      <w:shd w:val="clear" w:color="auto" w:fill="f1f3f5"/>
    </w:rPr>
  </w:style>
  <w:style w:type="character" w:styleId="759" w:customStyle="1">
    <w:name w:val="RegionMarkerTok"/>
    <w:basedOn w:val="728"/>
    <w:pPr>
      <w:pBdr/>
      <w:spacing/>
      <w:ind/>
    </w:pPr>
    <w:rPr>
      <w:color w:val="003b4f"/>
      <w:shd w:val="clear" w:color="auto" w:fill="f1f3f5"/>
    </w:rPr>
  </w:style>
  <w:style w:type="character" w:styleId="760" w:customStyle="1">
    <w:name w:val="InformationTok"/>
    <w:basedOn w:val="728"/>
    <w:pPr>
      <w:pBdr/>
      <w:spacing/>
      <w:ind/>
    </w:pPr>
    <w:rPr>
      <w:color w:val="5e5e5e"/>
      <w:shd w:val="clear" w:color="auto" w:fill="f1f3f5"/>
    </w:rPr>
  </w:style>
  <w:style w:type="character" w:styleId="761" w:customStyle="1">
    <w:name w:val="WarningTok"/>
    <w:basedOn w:val="728"/>
    <w:pPr>
      <w:pBdr/>
      <w:spacing/>
      <w:ind/>
    </w:pPr>
    <w:rPr>
      <w:i/>
      <w:color w:val="5e5e5e"/>
      <w:shd w:val="clear" w:color="auto" w:fill="f1f3f5"/>
    </w:rPr>
  </w:style>
  <w:style w:type="character" w:styleId="762" w:customStyle="1">
    <w:name w:val="AlertTok"/>
    <w:basedOn w:val="728"/>
    <w:pPr>
      <w:pBdr/>
      <w:spacing/>
      <w:ind/>
    </w:pPr>
    <w:rPr>
      <w:color w:val="ad0000"/>
      <w:shd w:val="clear" w:color="auto" w:fill="f1f3f5"/>
    </w:rPr>
  </w:style>
  <w:style w:type="character" w:styleId="763" w:customStyle="1">
    <w:name w:val="ErrorTok"/>
    <w:basedOn w:val="728"/>
    <w:pPr>
      <w:pBdr/>
      <w:spacing/>
      <w:ind/>
    </w:pPr>
    <w:rPr>
      <w:color w:val="ad0000"/>
      <w:shd w:val="clear" w:color="auto" w:fill="f1f3f5"/>
    </w:rPr>
  </w:style>
  <w:style w:type="character" w:styleId="764" w:customStyle="1">
    <w:name w:val="NormalTok"/>
    <w:basedOn w:val="728"/>
    <w:pPr>
      <w:pBdr/>
      <w:spacing/>
      <w:ind/>
    </w:pPr>
    <w:rPr>
      <w:color w:val="003b4f"/>
      <w:shd w:val="clear" w:color="auto" w:fill="f1f3f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doi.org/10.22267/rtend.202101.136" TargetMode="External"/><Relationship Id="rId12" Type="http://schemas.openxmlformats.org/officeDocument/2006/relationships/hyperlink" Target="https://www.brightlocal.com/research/local-consumer-review-survey/" TargetMode="External"/><Relationship Id="rId13" Type="http://schemas.openxmlformats.org/officeDocument/2006/relationships/hyperlink" Target="https://www.copromerco.com/publicaciones" TargetMode="External"/><Relationship Id="rId14" Type="http://schemas.openxmlformats.org/officeDocument/2006/relationships/hyperlink" Target="https://www.semanticscholar.org/paper/Lean-Canvas-and-the-Business-Model-Canvas-Model-in-Razabillah-Junaedi/867770ead0a809e74e59df8d6f87f13bd12bae0d" TargetMode="External"/><Relationship Id="rId15" Type="http://schemas.openxmlformats.org/officeDocument/2006/relationships/hyperlink" Target="https://www.mentinno.com/informe-estado-digital-ecuador-2024/" TargetMode="External"/><Relationship Id="rId16" Type="http://schemas.openxmlformats.org/officeDocument/2006/relationships/hyperlink" Target="https://www.ecuadorencifras.gob.ec/tecnologias-de-la-informacion-y-comunicacion-tic/" TargetMode="External"/><Relationship Id="rId17" Type="http://schemas.openxmlformats.org/officeDocument/2006/relationships/hyperlink" Target="https://www.loja.gob.ec/content/ordenanza-no-0068-2024-ordenanza-para-la-transformacion-digital-en-el-gobierno-autonomo" TargetMode="External"/><Relationship Id="rId18" Type="http://schemas.openxmlformats.org/officeDocument/2006/relationships/hyperlink" Target="https://uasb.edu.ec/investigacion/observatorios/observatorio-de-la-pyme/" TargetMode="External"/><Relationship Id="rId19" Type="http://schemas.openxmlformats.org/officeDocument/2006/relationships/hyperlink" Target="https://doi.org/10.56712/latam.v5i5.288110"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Investigación de Mercado: AMDL</dc:title>
  <dc:creator>Condoy Seraquive Erick Fabricio; Japón Yaguachi Kristie Susana; Vasquez Japón Jefferson Alexander</dc:creator>
  <cp:keywords/>
  <dc:language>es-ES</dc:language>
  <cp:revision>1</cp:revision>
  <dcterms:created xsi:type="dcterms:W3CDTF">2026-05-25T16:14:38Z</dcterms:created>
  <dcterms:modified xsi:type="dcterms:W3CDTF">2026-05-25T16:16:58Z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ignment">
    <vt:lpwstr>Agencia de Marketing Digital Loja (AMDL)</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ourse">
    <vt:lpwstr>ECONOMÍA DE LA INNOVACIÓN</vt:lpwstr>
  </property>
  <property fmtid="{D5CDD505-2E9C-101B-9397-08002B2CF9AE}" pid="8" name="csl">
    <vt:lpwstr>templates/apa_7.csl</vt:lpwstr>
  </property>
  <property fmtid="{D5CDD505-2E9C-101B-9397-08002B2CF9AE}" pid="9" name="date">
    <vt:lpwstr>2026-05-14</vt:lpwstr>
  </property>
  <property fmtid="{D5CDD505-2E9C-101B-9397-08002B2CF9AE}" pid="10" name="engines">
    <vt:lpwstr/>
  </property>
  <property fmtid="{D5CDD505-2E9C-101B-9397-08002B2CF9AE}" pid="11" name="faculty">
    <vt:lpwstr>FACULTAD JURÍDICA, SOCIAL Y ADMINISTRATIVA</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estretch">
    <vt:lpwstr>1</vt:lpwstr>
  </property>
  <property fmtid="{D5CDD505-2E9C-101B-9397-08002B2CF9AE}" pid="17" name="professor">
    <vt:lpwstr>Econ. Jose Vicente Ordoñez Yaguache</vt:lpwstr>
  </property>
  <property fmtid="{D5CDD505-2E9C-101B-9397-08002B2CF9AE}" pid="18" name="school">
    <vt:lpwstr>CARRERA DE ECONOMÍA</vt:lpwstr>
  </property>
  <property fmtid="{D5CDD505-2E9C-101B-9397-08002B2CF9AE}" pid="19" name="submission_date">
    <vt:lpwstr>2026-05-14</vt:lpwstr>
  </property>
  <property fmtid="{D5CDD505-2E9C-101B-9397-08002B2CF9AE}" pid="20" name="subtitle">
    <vt:lpwstr>Validación de Mercado Secundaria y Estrategia de Ejecución</vt:lpwstr>
  </property>
  <property fmtid="{D5CDD505-2E9C-101B-9397-08002B2CF9AE}" pid="21" name="toc-title">
    <vt:lpwstr>Tabla de contenidos</vt:lpwstr>
  </property>
  <property fmtid="{D5CDD505-2E9C-101B-9397-08002B2CF9AE}" pid="22" name="university">
    <vt:lpwstr>UNIVERSIDAD NACIONAL DE LOJA</vt:lpwstr>
  </property>
</Properties>
</file>