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Borders>
          <w:top w:val="none"/>
          <w:bottom w:val="none"/>
          <w:left w:val="none"/>
          <w:right w:val="none"/>
          <w:insideH w:val="none"/>
          <w:insideV w:val="none"/>
        </w:tblBorders>
      </w:tblPr>
      <w:tblGrid>
        <w:gridCol w:w="2880"/>
        <w:gridCol w:w="2880"/>
        <w:gridCol w:w="2880"/>
      </w:tblGrid>
      <w:tr>
        <w:tc>
          <w:tcPr>
            <w:tcW w:type="dxa" w:w="2880"/>
          </w:tcPr>
          <w:p/>
        </w:tc>
        <w:tc>
          <w:tcPr>
            <w:tcW w:type="dxa" w:w="3600"/>
          </w:tcPr>
          <w:p/>
        </w:tc>
        <w:tc>
          <w:tcPr>
            <w:tcW w:type="dxa" w:w="2880"/>
          </w:tcPr>
          <w:p/>
        </w:tc>
      </w:tr>
    </w:tbl>
    <w:p>
      <w:pPr>
        <w:spacing w:before="0" w:after="240" w:line="276" w:lineRule="auto"/>
        <w:jc w:val="center"/>
      </w:pPr>
    </w:p>
    <w:p>
      <w:pPr>
        <w:spacing w:before="0" w:after="80" w:line="276" w:lineRule="auto"/>
        <w:jc w:val="center"/>
      </w:pPr>
      <w:r>
        <w:rPr>
          <w:rFonts w:ascii="Times New Roman" w:hAnsi="Times New Roman" w:cs="Times New Roman" w:eastAsia="Times New Roman"/>
          <w:b/>
          <w:bCs/>
          <w:sz w:val="28"/>
          <w:szCs w:val="28"/>
        </w:rPr>
        <w:t xml:space="preserve">UNIVERSIDAD NACIONAL DE LOJA</w:t>
      </w:r>
    </w:p>
    <w:p>
      <w:pPr>
        <w:spacing w:before="0" w:after="80" w:line="276" w:lineRule="auto"/>
        <w:jc w:val="center"/>
      </w:pPr>
      <w:r>
        <w:rPr>
          <w:rFonts w:ascii="Times New Roman" w:hAnsi="Times New Roman" w:cs="Times New Roman" w:eastAsia="Times New Roman"/>
          <w:b/>
          <w:bCs/>
          <w:sz w:val="24"/>
          <w:szCs w:val="24"/>
        </w:rPr>
        <w:t xml:space="preserve">FACULTAD JURÍDICA, SOCIAL Y ADMINISTRATIVA</w:t>
      </w:r>
    </w:p>
    <w:p>
      <w:pPr>
        <w:spacing w:before="0" w:after="360" w:line="276" w:lineRule="auto"/>
        <w:jc w:val="center"/>
      </w:pPr>
      <w:r>
        <w:rPr>
          <w:rFonts w:ascii="Times New Roman" w:hAnsi="Times New Roman" w:cs="Times New Roman" w:eastAsia="Times New Roman"/>
          <w:b/>
          <w:bCs/>
          <w:sz w:val="24"/>
          <w:szCs w:val="24"/>
        </w:rPr>
        <w:t xml:space="preserve">CARRERA DE ECONOMÍA</w:t>
      </w:r>
    </w:p>
    <w:p>
      <w:pPr>
        <w:spacing w:before="0" w:after="120" w:line="276" w:lineRule="auto"/>
        <w:jc w:val="center"/>
      </w:pPr>
      <w:r>
        <w:rPr>
          <w:rFonts w:ascii="Times New Roman" w:hAnsi="Times New Roman" w:cs="Times New Roman" w:eastAsia="Times New Roman"/>
          <w:b/>
          <w:bCs/>
          <w:i/>
          <w:iCs/>
          <w:sz w:val="22"/>
          <w:szCs w:val="22"/>
        </w:rPr>
        <w:t xml:space="preserve">PROYECTO DE FACTIBILIDAD Y PLAN DE INVERSIÓN PÚBLICA:</w:t>
      </w:r>
    </w:p>
    <w:p>
      <w:pPr>
        <w:spacing w:before="0" w:after="400" w:line="276" w:lineRule="auto"/>
        <w:jc w:val="center"/>
      </w:pPr>
      <w:r>
        <w:rPr>
          <w:rFonts w:ascii="Times New Roman" w:hAnsi="Times New Roman" w:cs="Times New Roman" w:eastAsia="Times New Roman"/>
          <w:b/>
          <w:bCs/>
          <w:sz w:val="26"/>
          <w:szCs w:val="26"/>
        </w:rPr>
        <w:t xml:space="preserve">CONECTIVIDAD VIAL Y CONSTRUCCIÓN DEL PUENTE VEHICULAR SOBRE EL RÍO SANTA ROSA EN EL SECTOR EL GUAYABO - LA CHILCA, PARROQUIA RURAL TORATA</w:t>
      </w:r>
    </w:p>
    <w:p>
      <w:pPr>
        <w:spacing w:before="0" w:after="360" w:line="276" w:lineRule="auto"/>
        <w:jc w:val="center"/>
      </w:pPr>
      <w:r>
        <w:rPr>
          <w:rFonts w:ascii="Times New Roman" w:hAnsi="Times New Roman" w:cs="Times New Roman" w:eastAsia="Times New Roman"/>
          <w:b/>
          <w:bCs/>
          <w:sz w:val="22"/>
          <w:szCs w:val="22"/>
        </w:rPr>
        <w:t xml:space="preserve">PROYECTO DE INVERSIÓN PÚBLICA - SÉPTIMO CICLO</w:t>
      </w:r>
    </w:p>
    <w:p>
      <w:pPr>
        <w:spacing w:before="0" w:after="80" w:line="276" w:lineRule="auto"/>
        <w:jc w:val="center"/>
      </w:pPr>
      <w:r>
        <w:rPr>
          <w:rFonts w:ascii="Times New Roman" w:hAnsi="Times New Roman" w:cs="Times New Roman" w:eastAsia="Times New Roman"/>
          <w:b/>
          <w:bCs/>
          <w:sz w:val="22"/>
          <w:szCs w:val="22"/>
        </w:rPr>
        <w:t xml:space="preserve">AUTORES:</w:t>
      </w:r>
    </w:p>
    <w:p>
      <w:pPr>
        <w:spacing w:before="0" w:after="40" w:line="276" w:lineRule="auto"/>
        <w:jc w:val="center"/>
      </w:pPr>
      <w:r>
        <w:rPr>
          <w:rFonts w:ascii="Times New Roman" w:hAnsi="Times New Roman" w:cs="Times New Roman" w:eastAsia="Times New Roman"/>
          <w:sz w:val="22"/>
          <w:szCs w:val="22"/>
        </w:rPr>
        <w:t xml:space="preserve">David Andrés Pérez Castillo</w:t>
      </w:r>
    </w:p>
    <w:p>
      <w:pPr>
        <w:spacing w:before="0" w:after="40" w:line="276" w:lineRule="auto"/>
        <w:jc w:val="center"/>
      </w:pPr>
      <w:r>
        <w:rPr>
          <w:rFonts w:ascii="Times New Roman" w:hAnsi="Times New Roman" w:cs="Times New Roman" w:eastAsia="Times New Roman"/>
          <w:sz w:val="22"/>
          <w:szCs w:val="22"/>
        </w:rPr>
        <w:t xml:space="preserve">Luis Gustavo Hurtado Cuenca</w:t>
      </w:r>
    </w:p>
    <w:p>
      <w:pPr>
        <w:spacing w:before="0" w:after="40" w:line="276" w:lineRule="auto"/>
        <w:jc w:val="center"/>
      </w:pPr>
      <w:r>
        <w:rPr>
          <w:rFonts w:ascii="Times New Roman" w:hAnsi="Times New Roman" w:cs="Times New Roman" w:eastAsia="Times New Roman"/>
          <w:sz w:val="22"/>
          <w:szCs w:val="22"/>
        </w:rPr>
        <w:t xml:space="preserve">Erick Fabricio Condoy Seraquive</w:t>
      </w:r>
    </w:p>
    <w:p>
      <w:pPr>
        <w:spacing w:before="0" w:after="40" w:line="276" w:lineRule="auto"/>
        <w:jc w:val="center"/>
      </w:pPr>
      <w:r>
        <w:rPr>
          <w:rFonts w:ascii="Times New Roman" w:hAnsi="Times New Roman" w:cs="Times New Roman" w:eastAsia="Times New Roman"/>
          <w:sz w:val="22"/>
          <w:szCs w:val="22"/>
        </w:rPr>
        <w:t xml:space="preserve">Lizeth Camila Correa Sánchez</w:t>
      </w:r>
    </w:p>
    <w:p>
      <w:pPr>
        <w:spacing w:before="0" w:after="240" w:line="276" w:lineRule="auto"/>
        <w:jc w:val="center"/>
      </w:pPr>
    </w:p>
    <w:p>
      <w:pPr>
        <w:spacing w:before="0" w:after="40" w:line="276" w:lineRule="auto"/>
        <w:jc w:val="center"/>
      </w:pPr>
      <w:r>
        <w:rPr>
          <w:rFonts w:ascii="Times New Roman" w:hAnsi="Times New Roman" w:cs="Times New Roman" w:eastAsia="Times New Roman"/>
          <w:b/>
          <w:bCs/>
          <w:sz w:val="22"/>
          <w:szCs w:val="22"/>
        </w:rPr>
        <w:t xml:space="preserve">DOCENTE:</w:t>
      </w:r>
    </w:p>
    <w:p>
      <w:pPr>
        <w:spacing w:before="0" w:after="360" w:line="276" w:lineRule="auto"/>
        <w:jc w:val="center"/>
      </w:pPr>
      <w:r>
        <w:rPr>
          <w:rFonts w:ascii="Times New Roman" w:hAnsi="Times New Roman" w:cs="Times New Roman" w:eastAsia="Times New Roman"/>
          <w:sz w:val="22"/>
          <w:szCs w:val="22"/>
        </w:rPr>
        <w:t xml:space="preserve">Econ. Jose Job Chamba Tandazo</w:t>
      </w:r>
    </w:p>
    <w:p>
      <w:pPr>
        <w:spacing w:before="0" w:after="40" w:line="276" w:lineRule="auto"/>
        <w:jc w:val="center"/>
      </w:pPr>
      <w:r>
        <w:rPr>
          <w:rFonts w:ascii="Times New Roman" w:hAnsi="Times New Roman" w:cs="Times New Roman" w:eastAsia="Times New Roman"/>
          <w:b/>
          <w:bCs/>
          <w:sz w:val="22"/>
          <w:szCs w:val="22"/>
        </w:rPr>
        <w:t xml:space="preserve">LOJA - ECUADOR</w:t>
      </w:r>
    </w:p>
    <w:p>
      <w:pPr>
        <w:spacing w:before="0" w:after="240" w:line="276" w:lineRule="auto"/>
        <w:jc w:val="center"/>
      </w:pPr>
      <w:r>
        <w:rPr>
          <w:rFonts w:ascii="Times New Roman" w:hAnsi="Times New Roman" w:cs="Times New Roman" w:eastAsia="Times New Roman"/>
          <w:sz w:val="22"/>
          <w:szCs w:val="22"/>
        </w:rPr>
        <w:t xml:space="preserve">Octubre de 2026</w:t>
      </w:r>
    </w:p>
    <w:p>
      <w:pPr>
        <w:spacing w:before="0" w:after="120" w:line="276" w:lineRule="auto"/>
        <w:jc w:val="center"/>
      </w:pPr>
      <w:r>
        <w:br w:type="page"/>
      </w:r>
    </w:p>
    <w:sdt>
      <w:sdtPr>
        <w:docPartObj>
          <w:docPartGallery w:val="Table of Contents"/>
          <w:docPartUnique/>
        </w:docPartObj>
      </w:sdtPr>
      <w:sdtContent>
        <w:p>
          <w:pPr>
            <w:pStyle w:val="TOCHeading"/>
          </w:pPr>
          <w:r>
            <w:t xml:space="preserve">Tabla de contenidos</w:t>
          </w:r>
        </w:p>
        <w:p>
          <w:r>
            <w:fldChar w:fldCharType="begin" w:dirty="true"/>
            <w:instrText xml:space="preserve">TOC \o "1-3" \h \z \u</w:instrText>
            <w:fldChar w:fldCharType="separate"/>
            <w:fldChar w:fldCharType="end"/>
          </w:r>
        </w:p>
      </w:sdtContent>
    </w:sdt>
    <w:bookmarkStart w:id="28" w:name="datos-iniciales-del-proyecto"/>
    <w:p>
      <w:pPr>
        <w:pStyle w:val="Heading1"/>
      </w:pPr>
      <w:r>
        <w:rPr>
          <w:rFonts w:ascii="Times New Roman" w:hAnsi="Times New Roman" w:cs="Times New Roman" w:eastAsia="Times New Roman"/>
          <w:b/>
          <w:bCs/>
        </w:rPr>
        <w:t xml:space="preserve">1. Datos iniciales del proyecto</w:t>
      </w:r>
    </w:p>
    <w:bookmarkStart w:id="18" w:name="tipo-de-solicitud-de-dictamen"/>
    <w:p>
      <w:pPr>
        <w:pStyle w:val="Heading2"/>
      </w:pPr>
      <w:r>
        <w:rPr>
          <w:rFonts w:ascii="Times New Roman" w:hAnsi="Times New Roman" w:cs="Times New Roman" w:eastAsia="Times New Roman"/>
          <w:b/>
          <w:bCs/>
        </w:rPr>
        <w:t xml:space="preserve">1.1 Tipo de solicitud de dictamen</w:t>
      </w:r>
    </w:p>
    <w:p>
      <w:pPr>
        <w:pStyle w:val="FirstParagraph"/>
      </w:pPr>
      <w:r>
        <w:rPr>
          <w:rFonts w:ascii="Times New Roman" w:hAnsi="Times New Roman" w:cs="Times New Roman" w:eastAsia="Times New Roman"/>
        </w:rPr>
        <w:t xml:space="preserve">Prioridad. La solicitud asegura la incorporación y elegibilidad técnica del proyecto en la programación de inversión pública provincial y cantonal para el cierre de brechas de conectividad vial rural, reducción de costos de transporte agropecuario y mitigación del aislamiento estacional de los productores en la cuenca del río Santa Rosa, en concordancia con los lineamientos de la Guía General para la Presentación de Programas y Proyectos de Inversión Pública de Planifica Ecuador</w:t>
      </w:r>
      <w:r>
        <w:rPr>
          <w:rFonts w:ascii="Times New Roman" w:hAnsi="Times New Roman" w:cs="Times New Roman" w:eastAsia="Times New Roman"/>
        </w:rPr>
        <w:t xml:space="preserve"> </w:t>
      </w:r>
      <w:r>
        <w:rPr>
          <w:rFonts w:ascii="Times New Roman" w:hAnsi="Times New Roman" w:cs="Times New Roman" w:eastAsia="Times New Roman"/>
        </w:rPr>
        <w:t xml:space="preserve">Secretaría Técnica de Planificación Planifica Ecuador (</w:t>
      </w:r>
      <w:hyperlink w:anchor="ref-guia_planifica2021">
        <w:r>
          <w:rPr>
            <w:rStyle w:val="Hyperlink"/>
          </w:rPr>
          <w:t xml:space="preserve">2021</w:t>
        </w:r>
      </w:hyperlink>
      <w:r>
        <w:rPr>
          <w:rFonts w:ascii="Times New Roman" w:hAnsi="Times New Roman" w:cs="Times New Roman" w:eastAsia="Times New Roman"/>
        </w:rPr>
        <w:t xml:space="preserve">)</w:t>
      </w:r>
      <w:r>
        <w:rPr>
          <w:rFonts w:ascii="Times New Roman" w:hAnsi="Times New Roman" w:cs="Times New Roman" w:eastAsia="Times New Roman"/>
        </w:rPr>
        <w:t xml:space="preserve"> </w:t>
      </w:r>
      <w:r>
        <w:rPr>
          <w:rFonts w:ascii="Times New Roman" w:hAnsi="Times New Roman" w:cs="Times New Roman" w:eastAsia="Times New Roman"/>
        </w:rPr>
        <w:t xml:space="preserve">y el Código Orgánico de Planificación y Finanzas Públicas</w:t>
      </w:r>
      <w:r>
        <w:rPr>
          <w:rFonts w:ascii="Times New Roman" w:hAnsi="Times New Roman" w:cs="Times New Roman" w:eastAsia="Times New Roman"/>
        </w:rPr>
        <w:t xml:space="preserve"> </w:t>
      </w:r>
      <w:r>
        <w:rPr>
          <w:rFonts w:ascii="Times New Roman" w:hAnsi="Times New Roman" w:cs="Times New Roman" w:eastAsia="Times New Roman"/>
        </w:rPr>
        <w:t xml:space="preserve">Asamblea Nacional del Ecuador (</w:t>
      </w:r>
      <w:hyperlink w:anchor="ref-coopfip2010">
        <w:r>
          <w:rPr>
            <w:rStyle w:val="Hyperlink"/>
          </w:rPr>
          <w:t xml:space="preserve">2010b</w:t>
        </w:r>
      </w:hyperlink>
      <w:r>
        <w:rPr>
          <w:rFonts w:ascii="Times New Roman" w:hAnsi="Times New Roman" w:cs="Times New Roman" w:eastAsia="Times New Roman"/>
        </w:rPr>
        <w:t xml:space="preserve">)</w:t>
      </w:r>
      <w:r>
        <w:rPr>
          <w:rFonts w:ascii="Times New Roman" w:hAnsi="Times New Roman" w:cs="Times New Roman" w:eastAsia="Times New Roman"/>
        </w:rPr>
        <w:t xml:space="preserve">.</w:t>
      </w:r>
    </w:p>
    <w:bookmarkEnd w:id="18"/>
    <w:bookmarkStart w:id="19" w:name="nombre-del-proyecto"/>
    <w:p>
      <w:pPr>
        <w:pStyle w:val="Heading2"/>
      </w:pPr>
      <w:r>
        <w:rPr>
          <w:rFonts w:ascii="Times New Roman" w:hAnsi="Times New Roman" w:cs="Times New Roman" w:eastAsia="Times New Roman"/>
          <w:b/>
          <w:bCs/>
        </w:rPr>
        <w:t xml:space="preserve">1.2 Nombre del Proyecto</w:t>
      </w:r>
    </w:p>
    <w:p>
      <w:pPr>
        <w:pStyle w:val="FirstParagraph"/>
      </w:pPr>
      <w:r>
        <w:rPr>
          <w:rFonts w:ascii="Times New Roman" w:hAnsi="Times New Roman" w:cs="Times New Roman" w:eastAsia="Times New Roman"/>
        </w:rPr>
        <w:t xml:space="preserve">Construcción del puente vehicular sobre el río Santa Rosa y mejoramiento de los accesos viales en el sector El Guayabo - La Chilca, parroquia rural Torata, cantón Santa Rosa, provincia de El Oro.</w:t>
      </w:r>
    </w:p>
    <w:bookmarkEnd w:id="19"/>
    <w:bookmarkStart w:id="20" w:name="entidad-udaf"/>
    <w:p>
      <w:pPr>
        <w:pStyle w:val="Heading2"/>
      </w:pPr>
      <w:r>
        <w:rPr>
          <w:rFonts w:ascii="Times New Roman" w:hAnsi="Times New Roman" w:cs="Times New Roman" w:eastAsia="Times New Roman"/>
          <w:b/>
          <w:bCs/>
        </w:rPr>
        <w:t xml:space="preserve">1.3 Entidad (UDAF)</w:t>
      </w:r>
    </w:p>
    <w:p>
      <w:pPr>
        <w:pStyle w:val="FirstParagraph"/>
      </w:pPr>
      <w:r>
        <w:rPr>
          <w:rFonts w:ascii="Times New Roman" w:hAnsi="Times New Roman" w:cs="Times New Roman" w:eastAsia="Times New Roman"/>
        </w:rPr>
        <w:t xml:space="preserve">Gobierno Autónomo Descentralizado Provincial de El Oro (Prefectura de El Oro), entidad rectora de la competencia exclusiva de vialidad rural conforme al artículo 263 (literal b) de la Constitución de la República y el artículo 42 (literal b) del COOTAD</w:t>
      </w:r>
      <w:r>
        <w:rPr>
          <w:rFonts w:ascii="Times New Roman" w:hAnsi="Times New Roman" w:cs="Times New Roman" w:eastAsia="Times New Roman"/>
        </w:rPr>
        <w:t xml:space="preserve"> </w:t>
      </w:r>
      <w:r>
        <w:rPr>
          <w:rFonts w:ascii="Times New Roman" w:hAnsi="Times New Roman" w:cs="Times New Roman" w:eastAsia="Times New Roman"/>
        </w:rPr>
        <w:t xml:space="preserve">Asamblea Nacional del Ecuador (</w:t>
      </w:r>
      <w:hyperlink w:anchor="ref-cootad2010">
        <w:r>
          <w:rPr>
            <w:rStyle w:val="Hyperlink"/>
          </w:rPr>
          <w:t xml:space="preserve">2010a</w:t>
        </w:r>
      </w:hyperlink>
      <w:r>
        <w:rPr>
          <w:rFonts w:ascii="Times New Roman" w:hAnsi="Times New Roman" w:cs="Times New Roman" w:eastAsia="Times New Roman"/>
        </w:rPr>
        <w:t xml:space="preserve">)</w:t>
      </w:r>
      <w:r>
        <w:rPr>
          <w:rFonts w:ascii="Times New Roman" w:hAnsi="Times New Roman" w:cs="Times New Roman" w:eastAsia="Times New Roman"/>
        </w:rPr>
        <w:t xml:space="preserve">, en concurrencia y convenio de cooperación con el Gobierno Autónomo Descentralizado Municipal de Santa Rosa y el Gobierno Autónomo Descentralizado Parroquial Rural de Torata.</w:t>
      </w:r>
    </w:p>
    <w:bookmarkEnd w:id="20"/>
    <w:bookmarkStart w:id="21" w:name="entidad-operativa-desconcentrada-eod"/>
    <w:p>
      <w:pPr>
        <w:pStyle w:val="Heading2"/>
      </w:pPr>
      <w:r>
        <w:rPr>
          <w:rFonts w:ascii="Times New Roman" w:hAnsi="Times New Roman" w:cs="Times New Roman" w:eastAsia="Times New Roman"/>
          <w:b/>
          <w:bCs/>
        </w:rPr>
        <w:t xml:space="preserve">1.4 Entidad Operativa Desconcentrada (EOD)</w:t>
      </w:r>
    </w:p>
    <w:p>
      <w:pPr>
        <w:pStyle w:val="FirstParagraph"/>
      </w:pPr>
      <w:r>
        <w:rPr>
          <w:rFonts w:ascii="Times New Roman" w:hAnsi="Times New Roman" w:cs="Times New Roman" w:eastAsia="Times New Roman"/>
        </w:rPr>
        <w:t xml:space="preserve">No aplica</w:t>
      </w:r>
    </w:p>
    <w:bookmarkEnd w:id="21"/>
    <w:bookmarkStart w:id="22" w:name="gabinete-sectorial"/>
    <w:p>
      <w:pPr>
        <w:pStyle w:val="Heading2"/>
      </w:pPr>
      <w:r>
        <w:rPr>
          <w:rFonts w:ascii="Times New Roman" w:hAnsi="Times New Roman" w:cs="Times New Roman" w:eastAsia="Times New Roman"/>
          <w:b/>
          <w:bCs/>
        </w:rPr>
        <w:t xml:space="preserve">1.5 Gabinete Sectorial</w:t>
      </w:r>
    </w:p>
    <w:p>
      <w:pPr>
        <w:pStyle w:val="FirstParagraph"/>
      </w:pPr>
      <w:r>
        <w:rPr>
          <w:rFonts w:ascii="Times New Roman" w:hAnsi="Times New Roman" w:cs="Times New Roman" w:eastAsia="Times New Roman"/>
        </w:rPr>
        <w:t xml:space="preserve">De conformidad con el Decreto Ejecutivo Nro. 491</w:t>
      </w:r>
      <w:r>
        <w:rPr>
          <w:rFonts w:ascii="Times New Roman" w:hAnsi="Times New Roman" w:cs="Times New Roman" w:eastAsia="Times New Roman"/>
        </w:rPr>
        <w:t xml:space="preserve"> </w:t>
      </w:r>
      <w:r>
        <w:rPr>
          <w:rFonts w:ascii="Times New Roman" w:hAnsi="Times New Roman" w:cs="Times New Roman" w:eastAsia="Times New Roman"/>
        </w:rPr>
        <w:t xml:space="preserve">Presidencia de la República del Ecuador (</w:t>
      </w:r>
      <w:hyperlink w:anchor="ref-decreto_ejecutivo_491">
        <w:r>
          <w:rPr>
            <w:rStyle w:val="Hyperlink"/>
          </w:rPr>
          <w:t xml:space="preserve">2024</w:t>
        </w:r>
      </w:hyperlink>
      <w:r>
        <w:rPr>
          <w:rFonts w:ascii="Times New Roman" w:hAnsi="Times New Roman" w:cs="Times New Roman" w:eastAsia="Times New Roman"/>
        </w:rPr>
        <w:t xml:space="preserve">)</w:t>
      </w:r>
      <w:r>
        <w:rPr>
          <w:rFonts w:ascii="Times New Roman" w:hAnsi="Times New Roman" w:cs="Times New Roman" w:eastAsia="Times New Roman"/>
        </w:rPr>
        <w:t xml:space="preserve"> </w:t>
      </w:r>
      <w:r>
        <w:rPr>
          <w:rFonts w:ascii="Times New Roman" w:hAnsi="Times New Roman" w:cs="Times New Roman" w:eastAsia="Times New Roman"/>
        </w:rPr>
        <w:t xml:space="preserve">y el Decreto Ejecutivo Nro. 91</w:t>
      </w:r>
      <w:r>
        <w:rPr>
          <w:rFonts w:ascii="Times New Roman" w:hAnsi="Times New Roman" w:cs="Times New Roman" w:eastAsia="Times New Roman"/>
        </w:rPr>
        <w:t xml:space="preserve"> </w:t>
      </w:r>
      <w:r>
        <w:rPr>
          <w:rFonts w:ascii="Times New Roman" w:hAnsi="Times New Roman" w:cs="Times New Roman" w:eastAsia="Times New Roman"/>
        </w:rPr>
        <w:t xml:space="preserve">Presidencia de la República del Ecuador (</w:t>
      </w:r>
      <w:hyperlink w:anchor="ref-decreto_ejecutivo_91">
        <w:r>
          <w:rPr>
            <w:rStyle w:val="Hyperlink"/>
          </w:rPr>
          <w:t xml:space="preserve">2023</w:t>
        </w:r>
      </w:hyperlink>
      <w:r>
        <w:rPr>
          <w:rFonts w:ascii="Times New Roman" w:hAnsi="Times New Roman" w:cs="Times New Roman" w:eastAsia="Times New Roman"/>
        </w:rPr>
        <w:t xml:space="preserve">)</w:t>
      </w:r>
      <w:r>
        <w:rPr>
          <w:rFonts w:ascii="Times New Roman" w:hAnsi="Times New Roman" w:cs="Times New Roman" w:eastAsia="Times New Roman"/>
        </w:rPr>
        <w:t xml:space="preserve"> </w:t>
      </w:r>
      <w:r>
        <w:rPr>
          <w:rFonts w:ascii="Times New Roman" w:hAnsi="Times New Roman" w:cs="Times New Roman" w:eastAsia="Times New Roman"/>
        </w:rPr>
        <w:t xml:space="preserve">que norman la organización y funcionamiento de las instancias de coordinación intersectorial de la Función Ejecutiva, el presente proyecto se articula al</w:t>
      </w:r>
      <w:r>
        <w:rPr>
          <w:rFonts w:ascii="Times New Roman" w:hAnsi="Times New Roman" w:cs="Times New Roman" w:eastAsia="Times New Roman"/>
        </w:rPr>
        <w:t xml:space="preserve"> </w:t>
      </w:r>
      <w:r>
        <w:rPr>
          <w:rFonts w:ascii="Times New Roman" w:hAnsi="Times New Roman" w:cs="Times New Roman" w:eastAsia="Times New Roman"/>
          <w:b/>
          <w:bCs/>
        </w:rPr>
        <w:t xml:space="preserve">Gabinete Sectorial de Desarrollo Productivo</w:t>
      </w:r>
      <w:r>
        <w:rPr>
          <w:rFonts w:ascii="Times New Roman" w:hAnsi="Times New Roman" w:cs="Times New Roman" w:eastAsia="Times New Roman"/>
        </w:rPr>
        <w:t xml:space="preserve">, instancia encargada de armonizar las políticas públicas, inversiones e infraestructura vial de soporte para el fomento de la producción y el transporte en el país.</w:t>
      </w:r>
    </w:p>
    <w:bookmarkEnd w:id="22"/>
    <w:bookmarkStart w:id="25" w:name="sector-subsector-y-tipo-de-inversión"/>
    <w:p>
      <w:pPr>
        <w:pStyle w:val="Heading2"/>
      </w:pPr>
      <w:r>
        <w:rPr>
          <w:rFonts w:ascii="Times New Roman" w:hAnsi="Times New Roman" w:cs="Times New Roman" w:eastAsia="Times New Roman"/>
          <w:b/>
          <w:bCs/>
        </w:rPr>
        <w:t xml:space="preserve">1.6 Sector, subsector y tipo de inversión</w:t>
      </w:r>
    </w:p>
    <w:p>
      <w:pPr>
        <w:pStyle w:val="FirstParagraph"/>
      </w:pPr>
      <w:r>
        <w:rPr>
          <w:rFonts w:ascii="Times New Roman" w:hAnsi="Times New Roman" w:cs="Times New Roman" w:eastAsia="Times New Roman"/>
        </w:rPr>
        <w:t xml:space="preserve">De acuerdo al Anexo 1 de la</w:t>
      </w:r>
      <w:r>
        <w:rPr>
          <w:rFonts w:ascii="Times New Roman" w:hAnsi="Times New Roman" w:cs="Times New Roman" w:eastAsia="Times New Roman"/>
        </w:rPr>
        <w:t xml:space="preserve"> </w:t>
      </w:r>
      <w:r>
        <w:rPr>
          <w:rFonts w:ascii="Times New Roman" w:hAnsi="Times New Roman" w:cs="Times New Roman" w:eastAsia="Times New Roman"/>
          <w:i/>
          <w:iCs/>
        </w:rPr>
        <w:t xml:space="preserve">Guía General para la Presentación de Programas y Proyectos de Inversión Pública</w:t>
      </w:r>
      <w:r>
        <w:rPr>
          <w:rFonts w:ascii="Times New Roman" w:hAnsi="Times New Roman" w:cs="Times New Roman" w:eastAsia="Times New Roman"/>
        </w:rPr>
        <w:t xml:space="preserve"> </w:t>
      </w:r>
      <w:r>
        <w:rPr>
          <w:rFonts w:ascii="Times New Roman" w:hAnsi="Times New Roman" w:cs="Times New Roman" w:eastAsia="Times New Roman"/>
        </w:rPr>
        <w:t xml:space="preserve">Secretaría Técnica de Planificación Planifica Ecuador (</w:t>
      </w:r>
      <w:hyperlink w:anchor="ref-guia_planifica2021">
        <w:r>
          <w:rPr>
            <w:rStyle w:val="Hyperlink"/>
          </w:rPr>
          <w:t xml:space="preserve">2021</w:t>
        </w:r>
      </w:hyperlink>
      <w:r>
        <w:rPr>
          <w:rFonts w:ascii="Times New Roman" w:hAnsi="Times New Roman" w:cs="Times New Roman" w:eastAsia="Times New Roman"/>
        </w:rPr>
        <w:t xml:space="preserve">)</w:t>
      </w:r>
      <w:r>
        <w:rPr>
          <w:rFonts w:ascii="Times New Roman" w:hAnsi="Times New Roman" w:cs="Times New Roman" w:eastAsia="Times New Roman"/>
        </w:rPr>
        <w:t xml:space="preserve"> </w:t>
      </w:r>
      <w:r>
        <w:rPr>
          <w:rFonts w:ascii="Times New Roman" w:hAnsi="Times New Roman" w:cs="Times New Roman" w:eastAsia="Times New Roman"/>
        </w:rPr>
        <w:t xml:space="preserve">y a las directrices de clasificación sectorial vigentes, el sector y subsector al que pertenece el proyecto es conforme</w:t>
      </w:r>
      <w:r>
        <w:rPr>
          <w:rFonts w:ascii="Times New Roman" w:hAnsi="Times New Roman" w:cs="Times New Roman" w:eastAsia="Times New Roman"/>
        </w:rPr>
        <w:t xml:space="preserve"> </w:t>
      </w:r>
      <w:hyperlink w:anchor="tbl-sectores">
        <w:r>
          <w:rPr>
            <w:rStyle w:val="Hyperlink"/>
          </w:rPr>
          <w:t xml:space="preserve">Tabla 1</w:t>
        </w:r>
      </w:hyperlink>
      <w:r>
        <w:rPr>
          <w:rFonts w:ascii="Times New Roman" w:hAnsi="Times New Roman" w:cs="Times New Roman" w:eastAsia="Times New Roman"/>
        </w:rPr>
        <w:t xml:space="preserve">.</w:t>
      </w:r>
    </w:p>
    <w:p>
      <w:pPr>
        <w:pStyle w:val="TableNumber"/>
        <w:keepNext/>
        <w:ind w:firstLine="0" w:left="0"/>
        <w:jc w:val="left"/>
      </w:pPr>
      <w:r>
        <w:rPr>
          <w:rFonts w:ascii="Times New Roman" w:hAnsi="Times New Roman" w:cs="Times New Roman" w:eastAsia="Times New Roman"/>
          <w:b/>
          <w:bCs/>
          <w:sz w:val="20"/>
          <w:szCs w:val="20"/>
        </w:rPr>
        <w:t xml:space="preserve">Tabla 1</w:t>
      </w:r>
    </w:p>
    <w:p>
      <w:pPr>
        <w:pStyle w:val="TableCaption"/>
        <w:keepNext/>
        <w:ind w:firstLine="0" w:left="0"/>
        <w:jc w:val="left"/>
      </w:pPr>
      <w:r>
        <w:rPr>
          <w:rFonts w:ascii="Times New Roman" w:hAnsi="Times New Roman" w:cs="Times New Roman" w:eastAsia="Times New Roman"/>
          <w:i/>
          <w:iCs/>
          <w:sz w:val="20"/>
          <w:szCs w:val="20"/>
        </w:rPr>
        <w:t xml:space="preserve">Sectores y subsectores de intervención definidos</w:t>
      </w:r>
    </w:p>
    <w:tbl>
      <w:tblPr>
        <w:tblStyle w:val="Table"/>
        <w:tblLayout w:type="fixed"/>
        <w:tblLook w:firstRow="1" w:lastRow="0" w:firstColumn="0" w:lastColumn="0" w:noHBand="0" w:noVBand="0" w:val="0020"/>
        <w:tblInd w:w="0" w:type="dxa"/>
        <w:tblW w:w="5000" w:type="pct"/>
        <w:tblBorders>
          <w:top w:val="single" w:sz="8" w:space="0" w:color="000000"/>
          <w:bottom w:val="single" w:sz="8" w:space="0" w:color="000000"/>
          <w:left w:val="none" w:sz="0" w:space="0" w:color="000000"/>
          <w:right w:val="none" w:sz="0" w:space="0" w:color="000000"/>
          <w:insideH w:val="none" w:sz="0" w:space="0" w:color="000000"/>
          <w:insideV w:val="none" w:sz="0" w:space="0" w:color="000000"/>
        </w:tblBorders>
      </w:tblPr>
      <w:tblGrid>
        <w:gridCol w:w="1863"/>
        <w:gridCol w:w="1863"/>
        <w:gridCol w:w="2329"/>
        <w:gridCol w:w="1863"/>
      </w:tblGrid>
      <w:tr>
        <w:trPr>
          <w:tblHeader w:val="on"/>
        </w:trPr>
        <w:tc>
          <w:tcPr>
            <w:tcBorders>
              <w:top w:val="single" w:sz="8" w:space="0" w:color="000000"/>
              <w:bottom w:val="single" w:sz="6" w:space="0" w:color="000000"/>
            </w:tcBorders>
          </w:tcPr>
          <w:p>
            <w:pPr>
              <w:pStyle w:val="TableHeader"/>
              <w:keepNext/>
              <w:ind w:firstLine="0" w:left="0"/>
              <w:jc w:val="left"/>
            </w:pPr>
            <w:r>
              <w:rPr>
                <w:rFonts w:ascii="Times New Roman" w:hAnsi="Times New Roman" w:cs="Times New Roman" w:eastAsia="Times New Roman"/>
                <w:sz w:val="20"/>
                <w:szCs w:val="20"/>
              </w:rPr>
              <w:t xml:space="preserve">Macro sector</w:t>
            </w:r>
          </w:p>
        </w:tc>
        <w:tc>
          <w:tcPr>
            <w:tcBorders>
              <w:top w:val="single" w:sz="8" w:space="0" w:color="000000"/>
              <w:bottom w:val="single" w:sz="6" w:space="0" w:color="000000"/>
            </w:tcBorders>
          </w:tcPr>
          <w:p>
            <w:pPr>
              <w:pStyle w:val="TableHeader"/>
              <w:keepNext/>
              <w:ind w:firstLine="0" w:left="0"/>
              <w:jc w:val="left"/>
            </w:pPr>
            <w:r>
              <w:rPr>
                <w:rFonts w:ascii="Times New Roman" w:hAnsi="Times New Roman" w:cs="Times New Roman" w:eastAsia="Times New Roman"/>
                <w:sz w:val="20"/>
                <w:szCs w:val="20"/>
              </w:rPr>
              <w:t xml:space="preserve">Sector</w:t>
            </w:r>
          </w:p>
        </w:tc>
        <w:tc>
          <w:tcPr>
            <w:tcBorders>
              <w:top w:val="single" w:sz="8" w:space="0" w:color="000000"/>
              <w:bottom w:val="single" w:sz="6" w:space="0" w:color="000000"/>
            </w:tcBorders>
          </w:tcPr>
          <w:p>
            <w:pPr>
              <w:pStyle w:val="TableHeader"/>
              <w:keepNext/>
              <w:ind w:firstLine="0" w:left="0"/>
              <w:jc w:val="center"/>
            </w:pPr>
            <w:r>
              <w:rPr>
                <w:rFonts w:ascii="Times New Roman" w:hAnsi="Times New Roman" w:cs="Times New Roman" w:eastAsia="Times New Roman"/>
                <w:sz w:val="20"/>
                <w:szCs w:val="20"/>
              </w:rPr>
              <w:t xml:space="preserve">Código</w:t>
            </w:r>
          </w:p>
        </w:tc>
        <w:tc>
          <w:tcPr>
            <w:tcBorders>
              <w:top w:val="single" w:sz="8" w:space="0" w:color="000000"/>
              <w:bottom w:val="single" w:sz="6" w:space="0" w:color="000000"/>
            </w:tcBorders>
          </w:tcPr>
          <w:p>
            <w:pPr>
              <w:pStyle w:val="TableHeader"/>
              <w:keepNext/>
              <w:ind w:firstLine="0" w:left="0"/>
              <w:jc w:val="left"/>
            </w:pPr>
            <w:r>
              <w:rPr>
                <w:rFonts w:ascii="Times New Roman" w:hAnsi="Times New Roman" w:cs="Times New Roman" w:eastAsia="Times New Roman"/>
                <w:sz w:val="20"/>
                <w:szCs w:val="20"/>
              </w:rPr>
              <w:t xml:space="preserve">Subsector</w:t>
            </w:r>
          </w:p>
        </w:tc>
      </w:tr>
      <w:tr>
        <w:tc>
          <w:tcPr/>
          <w:p>
            <w:pPr>
              <w:pStyle w:val="TableText"/>
              <w:ind w:firstLine="0" w:left="0"/>
              <w:jc w:val="left"/>
            </w:pPr>
            <w:r>
              <w:rPr>
                <w:rFonts w:ascii="Times New Roman" w:hAnsi="Times New Roman" w:cs="Times New Roman" w:eastAsia="Times New Roman"/>
                <w:sz w:val="20"/>
                <w:szCs w:val="20"/>
              </w:rPr>
              <w:t xml:space="preserve">Fomento a la Producción</w:t>
            </w:r>
          </w:p>
        </w:tc>
        <w:tc>
          <w:tcPr/>
          <w:p>
            <w:pPr>
              <w:pStyle w:val="TableText"/>
              <w:ind w:firstLine="0" w:left="0"/>
              <w:jc w:val="left"/>
            </w:pPr>
            <w:r>
              <w:rPr>
                <w:rFonts w:ascii="Times New Roman" w:hAnsi="Times New Roman" w:cs="Times New Roman" w:eastAsia="Times New Roman"/>
                <w:sz w:val="20"/>
                <w:szCs w:val="20"/>
              </w:rPr>
              <w:t xml:space="preserve">Vialidad y Transporte</w:t>
            </w:r>
          </w:p>
        </w:tc>
        <w:tc>
          <w:tcPr/>
          <w:p>
            <w:pPr>
              <w:pStyle w:val="TableText"/>
              <w:ind w:firstLine="0" w:left="0"/>
              <w:jc w:val="center"/>
            </w:pPr>
            <w:r>
              <w:rPr>
                <w:rFonts w:ascii="Times New Roman" w:hAnsi="Times New Roman" w:cs="Times New Roman" w:eastAsia="Times New Roman"/>
                <w:sz w:val="20"/>
                <w:szCs w:val="20"/>
              </w:rPr>
              <w:t xml:space="preserve">C1305</w:t>
            </w:r>
          </w:p>
        </w:tc>
        <w:tc>
          <w:tcPr/>
          <w:p>
            <w:pPr>
              <w:pStyle w:val="TableText"/>
              <w:ind w:firstLine="0" w:left="0"/>
              <w:jc w:val="left"/>
            </w:pPr>
            <w:r>
              <w:rPr>
                <w:rFonts w:ascii="Times New Roman" w:hAnsi="Times New Roman" w:cs="Times New Roman" w:eastAsia="Times New Roman"/>
                <w:sz w:val="20"/>
                <w:szCs w:val="20"/>
              </w:rPr>
              <w:t xml:space="preserve">Transporte Terrestre</w:t>
            </w:r>
          </w:p>
        </w:tc>
      </w:tr>
    </w:tbl>
    <w:p>
      <w:pPr>
        <w:pStyle w:val="TableNote"/>
        <w:ind w:firstLine="0" w:left="0"/>
        <w:jc w:val="both"/>
      </w:pPr>
      <w:r>
        <w:rPr>
          <w:rFonts w:ascii="Times New Roman" w:hAnsi="Times New Roman" w:cs="Times New Roman" w:eastAsia="Times New Roman"/>
          <w:i/>
          <w:iCs/>
          <w:sz w:val="20"/>
          <w:szCs w:val="20"/>
        </w:rPr>
        <w:t xml:space="preserve">Nota.</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Catálogo de Clasificación Sectorial de Inversión Pública (Anexo 1) de la Guía General para la Presentación de Programas y Proyectos de Inversión Pública (Planifica Ecuador, 2021).</w:t>
      </w:r>
    </w:p>
    <w:p>
      <w:pPr>
        <w:pStyle w:val="BodyText"/>
      </w:pPr>
      <w:r>
        <w:rPr>
          <w:rFonts w:ascii="Times New Roman" w:hAnsi="Times New Roman" w:cs="Times New Roman" w:eastAsia="Times New Roman"/>
        </w:rPr>
        <w:t xml:space="preserve">Conforme al Anexo 2 de la</w:t>
      </w:r>
      <w:r>
        <w:rPr>
          <w:rFonts w:ascii="Times New Roman" w:hAnsi="Times New Roman" w:cs="Times New Roman" w:eastAsia="Times New Roman"/>
        </w:rPr>
        <w:t xml:space="preserve"> </w:t>
      </w:r>
      <w:r>
        <w:rPr>
          <w:rFonts w:ascii="Times New Roman" w:hAnsi="Times New Roman" w:cs="Times New Roman" w:eastAsia="Times New Roman"/>
          <w:i/>
          <w:iCs/>
        </w:rPr>
        <w:t xml:space="preserve">Guía General para la Presentación de Programas y Proyectos de Inversión Pública</w:t>
      </w:r>
      <w:r>
        <w:rPr>
          <w:rFonts w:ascii="Times New Roman" w:hAnsi="Times New Roman" w:cs="Times New Roman" w:eastAsia="Times New Roman"/>
        </w:rPr>
        <w:t xml:space="preserve"> </w:t>
      </w:r>
      <w:r>
        <w:rPr>
          <w:rFonts w:ascii="Times New Roman" w:hAnsi="Times New Roman" w:cs="Times New Roman" w:eastAsia="Times New Roman"/>
        </w:rPr>
        <w:t xml:space="preserve">Secretaría Técnica de Planificación Planifica Ecuador (</w:t>
      </w:r>
      <w:hyperlink w:anchor="ref-guia_planifica2021">
        <w:r>
          <w:rPr>
            <w:rStyle w:val="Hyperlink"/>
          </w:rPr>
          <w:t xml:space="preserve">2021</w:t>
        </w:r>
      </w:hyperlink>
      <w:r>
        <w:rPr>
          <w:rFonts w:ascii="Times New Roman" w:hAnsi="Times New Roman" w:cs="Times New Roman" w:eastAsia="Times New Roman"/>
        </w:rPr>
        <w:t xml:space="preserve">)</w:t>
      </w:r>
      <w:r>
        <w:rPr>
          <w:rFonts w:ascii="Times New Roman" w:hAnsi="Times New Roman" w:cs="Times New Roman" w:eastAsia="Times New Roman"/>
        </w:rPr>
        <w:t xml:space="preserve">, la tipología de intervención del proyecto es conforme</w:t>
      </w:r>
      <w:r>
        <w:rPr>
          <w:rFonts w:ascii="Times New Roman" w:hAnsi="Times New Roman" w:cs="Times New Roman" w:eastAsia="Times New Roman"/>
        </w:rPr>
        <w:t xml:space="preserve"> </w:t>
      </w:r>
      <w:hyperlink w:anchor="tbl-tipologias">
        <w:r>
          <w:rPr>
            <w:rStyle w:val="Hyperlink"/>
          </w:rPr>
          <w:t xml:space="preserve">Tabla 2</w:t>
        </w:r>
      </w:hyperlink>
      <w:r>
        <w:rPr>
          <w:rFonts w:ascii="Times New Roman" w:hAnsi="Times New Roman" w:cs="Times New Roman" w:eastAsia="Times New Roman"/>
        </w:rPr>
        <w:t xml:space="preserve">.</w:t>
      </w:r>
    </w:p>
    <w:p>
      <w:pPr>
        <w:pStyle w:val="TableNumber"/>
        <w:keepNext/>
        <w:ind w:firstLine="0" w:left="0"/>
        <w:jc w:val="left"/>
      </w:pPr>
      <w:r>
        <w:rPr>
          <w:rFonts w:ascii="Times New Roman" w:hAnsi="Times New Roman" w:cs="Times New Roman" w:eastAsia="Times New Roman"/>
          <w:b/>
          <w:bCs/>
          <w:sz w:val="20"/>
          <w:szCs w:val="20"/>
        </w:rPr>
        <w:t xml:space="preserve">Tabla 2</w:t>
      </w:r>
    </w:p>
    <w:p>
      <w:pPr>
        <w:pStyle w:val="TableCaption"/>
        <w:keepNext/>
        <w:ind w:firstLine="0" w:left="0"/>
        <w:jc w:val="left"/>
      </w:pPr>
      <w:r>
        <w:rPr>
          <w:rFonts w:ascii="Times New Roman" w:hAnsi="Times New Roman" w:cs="Times New Roman" w:eastAsia="Times New Roman"/>
          <w:i/>
          <w:iCs/>
          <w:sz w:val="20"/>
          <w:szCs w:val="20"/>
        </w:rPr>
        <w:t xml:space="preserve">Tipologías de intervención definidas</w:t>
      </w:r>
    </w:p>
    <w:tbl>
      <w:tblPr>
        <w:tblStyle w:val="Table"/>
        <w:tblLayout w:type="fixed"/>
        <w:tblLook w:firstRow="1" w:lastRow="0" w:firstColumn="0" w:lastColumn="0" w:noHBand="0" w:noVBand="0" w:val="0020"/>
        <w:tblInd w:w="0" w:type="dxa"/>
        <w:tblW w:w="5000" w:type="pct"/>
        <w:tblBorders>
          <w:top w:val="single" w:sz="8" w:space="0" w:color="000000"/>
          <w:bottom w:val="single" w:sz="8" w:space="0" w:color="000000"/>
          <w:left w:val="none" w:sz="0" w:space="0" w:color="000000"/>
          <w:right w:val="none" w:sz="0" w:space="0" w:color="000000"/>
          <w:insideH w:val="none" w:sz="0" w:space="0" w:color="000000"/>
          <w:insideV w:val="none" w:sz="0" w:space="0" w:color="000000"/>
        </w:tblBorders>
      </w:tblPr>
      <w:tblGrid>
        <w:gridCol w:w="2329"/>
        <w:gridCol w:w="1863"/>
        <w:gridCol w:w="1863"/>
        <w:gridCol w:w="1863"/>
      </w:tblGrid>
      <w:tr>
        <w:trPr>
          <w:tblHeader w:val="on"/>
        </w:trPr>
        <w:tc>
          <w:tcPr>
            <w:tcBorders>
              <w:top w:val="single" w:sz="8" w:space="0" w:color="000000"/>
              <w:bottom w:val="single" w:sz="6" w:space="0" w:color="000000"/>
            </w:tcBorders>
          </w:tcPr>
          <w:p>
            <w:pPr>
              <w:pStyle w:val="TableHeader"/>
              <w:keepNext/>
              <w:ind w:firstLine="0" w:left="0"/>
              <w:jc w:val="center"/>
            </w:pPr>
            <w:r>
              <w:rPr>
                <w:rFonts w:ascii="Times New Roman" w:hAnsi="Times New Roman" w:cs="Times New Roman" w:eastAsia="Times New Roman"/>
                <w:sz w:val="20"/>
                <w:szCs w:val="20"/>
              </w:rPr>
              <w:t xml:space="preserve">Cód.</w:t>
            </w:r>
          </w:p>
        </w:tc>
        <w:tc>
          <w:tcPr>
            <w:tcBorders>
              <w:top w:val="single" w:sz="8" w:space="0" w:color="000000"/>
              <w:bottom w:val="single" w:sz="6" w:space="0" w:color="000000"/>
            </w:tcBorders>
          </w:tcPr>
          <w:p>
            <w:pPr>
              <w:pStyle w:val="TableHeader"/>
              <w:keepNext/>
              <w:ind w:firstLine="0" w:left="0"/>
              <w:jc w:val="left"/>
            </w:pPr>
            <w:r>
              <w:rPr>
                <w:rFonts w:ascii="Times New Roman" w:hAnsi="Times New Roman" w:cs="Times New Roman" w:eastAsia="Times New Roman"/>
                <w:sz w:val="20"/>
                <w:szCs w:val="20"/>
              </w:rPr>
              <w:t xml:space="preserve">Tipología</w:t>
            </w:r>
          </w:p>
        </w:tc>
        <w:tc>
          <w:tcPr>
            <w:tcBorders>
              <w:top w:val="single" w:sz="8" w:space="0" w:color="000000"/>
              <w:bottom w:val="single" w:sz="6" w:space="0" w:color="000000"/>
            </w:tcBorders>
          </w:tcPr>
          <w:p>
            <w:pPr>
              <w:pStyle w:val="TableHeader"/>
              <w:keepNext/>
              <w:ind w:firstLine="0" w:left="0"/>
              <w:jc w:val="left"/>
            </w:pPr>
            <w:r>
              <w:rPr>
                <w:rFonts w:ascii="Times New Roman" w:hAnsi="Times New Roman" w:cs="Times New Roman" w:eastAsia="Times New Roman"/>
                <w:sz w:val="20"/>
                <w:szCs w:val="20"/>
              </w:rPr>
              <w:t xml:space="preserve">Conceptualización</w:t>
            </w:r>
          </w:p>
        </w:tc>
        <w:tc>
          <w:tcPr>
            <w:tcBorders>
              <w:top w:val="single" w:sz="8" w:space="0" w:color="000000"/>
              <w:bottom w:val="single" w:sz="6" w:space="0" w:color="000000"/>
            </w:tcBorders>
          </w:tcPr>
          <w:p>
            <w:pPr>
              <w:pStyle w:val="TableHeader"/>
              <w:keepNext/>
              <w:ind w:firstLine="0" w:left="0"/>
              <w:jc w:val="left"/>
            </w:pPr>
            <w:r>
              <w:rPr>
                <w:rFonts w:ascii="Times New Roman" w:hAnsi="Times New Roman" w:cs="Times New Roman" w:eastAsia="Times New Roman"/>
                <w:sz w:val="20"/>
                <w:szCs w:val="20"/>
              </w:rPr>
              <w:t xml:space="preserve">Actividades relacionadas</w:t>
            </w:r>
          </w:p>
        </w:tc>
      </w:tr>
      <w:tr>
        <w:tc>
          <w:tcPr/>
          <w:p>
            <w:pPr>
              <w:pStyle w:val="TableText"/>
              <w:ind w:firstLine="0" w:left="0"/>
              <w:jc w:val="center"/>
            </w:pPr>
            <w:r>
              <w:rPr>
                <w:rFonts w:ascii="Times New Roman" w:hAnsi="Times New Roman" w:cs="Times New Roman" w:eastAsia="Times New Roman"/>
                <w:sz w:val="20"/>
                <w:szCs w:val="20"/>
              </w:rPr>
              <w:t xml:space="preserve">T01</w:t>
            </w:r>
          </w:p>
        </w:tc>
        <w:tc>
          <w:tcPr/>
          <w:p>
            <w:pPr>
              <w:pStyle w:val="TableText"/>
              <w:ind w:firstLine="0" w:left="0"/>
              <w:jc w:val="left"/>
            </w:pPr>
            <w:r>
              <w:rPr>
                <w:rFonts w:ascii="Times New Roman" w:hAnsi="Times New Roman" w:cs="Times New Roman" w:eastAsia="Times New Roman"/>
                <w:sz w:val="20"/>
                <w:szCs w:val="20"/>
              </w:rPr>
              <w:t xml:space="preserve">Infraestructura</w:t>
            </w:r>
          </w:p>
        </w:tc>
        <w:tc>
          <w:tcPr/>
          <w:p>
            <w:pPr>
              <w:pStyle w:val="TableText"/>
              <w:ind w:firstLine="0" w:left="0"/>
              <w:jc w:val="left"/>
            </w:pPr>
            <w:r>
              <w:rPr>
                <w:rFonts w:ascii="Times New Roman" w:hAnsi="Times New Roman" w:cs="Times New Roman" w:eastAsia="Times New Roman"/>
                <w:sz w:val="20"/>
                <w:szCs w:val="20"/>
              </w:rPr>
              <w:t xml:space="preserve">Son todos aquellos procesos encaminados a la adquisición, construcción, ampliación, mantenimiento, reparación, reposición, restauración de acervo físico que permitirá la prestación de servicios. Generalmente relacionadas con: carreteras, ferrocarriles, puentes, represas, alcantarillado, vivienda, hospitales, centros educativos, suministro de energía y agua potable, etc.</w:t>
            </w:r>
          </w:p>
        </w:tc>
        <w:tc>
          <w:tcPr/>
          <w:p>
            <w:pPr>
              <w:pStyle w:val="TableText"/>
              <w:ind w:firstLine="0" w:left="0"/>
              <w:jc w:val="left"/>
            </w:pPr>
            <w:r>
              <w:rPr>
                <w:rFonts w:ascii="Times New Roman" w:hAnsi="Times New Roman" w:cs="Times New Roman" w:eastAsia="Times New Roman"/>
                <w:sz w:val="20"/>
                <w:szCs w:val="20"/>
              </w:rPr>
              <w:t xml:space="preserve">Construcción de estribos de hormigón armado, montaje de superestructura metálica modular y obras de drenaje vial y accesos.</w:t>
            </w:r>
          </w:p>
        </w:tc>
      </w:tr>
    </w:tbl>
    <w:p>
      <w:pPr>
        <w:pStyle w:val="TableNote"/>
        <w:ind w:firstLine="0" w:left="0"/>
        <w:jc w:val="both"/>
      </w:pPr>
      <w:r>
        <w:rPr>
          <w:rFonts w:ascii="Times New Roman" w:hAnsi="Times New Roman" w:cs="Times New Roman" w:eastAsia="Times New Roman"/>
          <w:i/>
          <w:iCs/>
          <w:sz w:val="20"/>
          <w:szCs w:val="20"/>
        </w:rPr>
        <w:t xml:space="preserve">Nota.</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Catálogo de Tipologías de Intervención (Anexo 2) de la Guía General para la Presentación de Programas y Proyectos de Inversión Pública.</w:t>
      </w:r>
    </w:p>
    <w:bookmarkEnd w:id="25"/>
    <w:bookmarkStart w:id="26" w:name="plazo-de-ejecución"/>
    <w:p>
      <w:pPr>
        <w:pStyle w:val="Heading2"/>
      </w:pPr>
      <w:r>
        <w:rPr>
          <w:rFonts w:ascii="Times New Roman" w:hAnsi="Times New Roman" w:cs="Times New Roman" w:eastAsia="Times New Roman"/>
          <w:b/>
          <w:bCs/>
        </w:rPr>
        <w:t xml:space="preserve">1.7 Plazo de ejecución</w:t>
      </w:r>
    </w:p>
    <w:p>
      <w:pPr>
        <w:pStyle w:val="FirstParagraph"/>
      </w:pPr>
      <w:r>
        <w:rPr>
          <w:rFonts w:ascii="Times New Roman" w:hAnsi="Times New Roman" w:cs="Times New Roman" w:eastAsia="Times New Roman"/>
        </w:rPr>
        <w:t xml:space="preserve">120 días calendario (4 meses, distribuidos en 30 días para obras preliminares, excavaciones iniciales y señalización; 30 días para cimentaciones de hormigón armado y acopio de acero; 30 días para fabricación y premontaje de la estructura metálica; y 30 días para montaje definitivo de vigas, tablero, pintura protectora y mitigación ambiental).</w:t>
      </w:r>
    </w:p>
    <w:bookmarkEnd w:id="26"/>
    <w:bookmarkStart w:id="27" w:name="monto-total"/>
    <w:p>
      <w:pPr>
        <w:pStyle w:val="Heading2"/>
      </w:pPr>
      <w:r>
        <w:rPr>
          <w:rFonts w:ascii="Times New Roman" w:hAnsi="Times New Roman" w:cs="Times New Roman" w:eastAsia="Times New Roman"/>
          <w:b/>
          <w:bCs/>
        </w:rPr>
        <w:t xml:space="preserve">1.8 Monto total</w:t>
      </w:r>
    </w:p>
    <w:p>
      <w:pPr>
        <w:pStyle w:val="FirstParagraph"/>
      </w:pPr>
      <w:r>
        <w:rPr>
          <w:rFonts w:ascii="Times New Roman" w:hAnsi="Times New Roman" w:cs="Times New Roman" w:eastAsia="Times New Roman"/>
        </w:rPr>
        <w:t xml:space="preserve">$380.274,58 USD (Trescientos ochenta mil doscientos setenta y cuatro dólares con 58/100 de los Estados Unidos de América). Este monto integra el subtotal de costo directo e indirecto de obra civil por $330.673,55 USD y el 15% del Impuesto al Valor Agregado (IVA) correspondiente a $49.601,03 USD, desglosado en obras preliminares ($3.827,74 USD), infraestructura y superestructura de acero estructural ASTM A-588 ($324.069,22 USD) y medidas de mitigación de impactos ambientales ($2.776,59 USD).</w:t>
      </w:r>
    </w:p>
    <w:bookmarkEnd w:id="27"/>
    <w:bookmarkEnd w:id="28"/>
    <w:bookmarkStart w:id="64" w:name="diagnóstico-y-problema"/>
    <w:p>
      <w:pPr>
        <w:pStyle w:val="Heading1"/>
      </w:pPr>
      <w:r>
        <w:rPr>
          <w:rFonts w:ascii="Times New Roman" w:hAnsi="Times New Roman" w:cs="Times New Roman" w:eastAsia="Times New Roman"/>
          <w:b/>
          <w:bCs/>
        </w:rPr>
        <w:t xml:space="preserve">2. Diagnóstico y problema</w:t>
      </w:r>
    </w:p>
    <w:bookmarkStart w:id="41" w:name="X71929169d79922c9ad5447adbb2c9ee567e03bf"/>
    <w:p>
      <w:pPr>
        <w:pStyle w:val="Heading2"/>
      </w:pPr>
      <w:r>
        <w:rPr>
          <w:rFonts w:ascii="Times New Roman" w:hAnsi="Times New Roman" w:cs="Times New Roman" w:eastAsia="Times New Roman"/>
          <w:b/>
          <w:bCs/>
        </w:rPr>
        <w:t xml:space="preserve">2.1 Descripción de la situación actual del sector, área o zona de intervención y de influencia por el desarrollo del proyecto</w:t>
      </w:r>
    </w:p>
    <w:p>
      <w:pPr>
        <w:pStyle w:val="FirstParagraph"/>
      </w:pPr>
      <w:r>
        <w:rPr>
          <w:rFonts w:ascii="Times New Roman" w:hAnsi="Times New Roman" w:cs="Times New Roman" w:eastAsia="Times New Roman"/>
        </w:rPr>
        <w:t xml:space="preserve">La caracterización y diagnóstico territorial de la parroquia rural Torata (cantón Santa Rosa, provincia de El Oro) se estructura formalmente en cuatro dimensiones fundamentales: social, económica, ambiental e institucional, articulando los datos oficiales levantados en campo a partir del Censo INEC 2022</w:t>
      </w:r>
      <w:r>
        <w:rPr>
          <w:rFonts w:ascii="Times New Roman" w:hAnsi="Times New Roman" w:cs="Times New Roman" w:eastAsia="Times New Roman"/>
        </w:rPr>
        <w:t xml:space="preserve"> </w:t>
      </w:r>
      <w:r>
        <w:rPr>
          <w:rFonts w:ascii="Times New Roman" w:hAnsi="Times New Roman" w:cs="Times New Roman" w:eastAsia="Times New Roman"/>
        </w:rPr>
        <w:t xml:space="preserve">Instituto Nacional de Estadística y Censos (</w:t>
      </w:r>
      <w:hyperlink w:anchor="ref-inec_censo_2022">
        <w:r>
          <w:rPr>
            <w:rStyle w:val="Hyperlink"/>
          </w:rPr>
          <w:t xml:space="preserve">2023</w:t>
        </w:r>
      </w:hyperlink>
      <w:r>
        <w:rPr>
          <w:rFonts w:ascii="Times New Roman" w:hAnsi="Times New Roman" w:cs="Times New Roman" w:eastAsia="Times New Roman"/>
        </w:rPr>
        <w:t xml:space="preserve">)</w:t>
      </w:r>
      <w:r>
        <w:rPr>
          <w:rFonts w:ascii="Times New Roman" w:hAnsi="Times New Roman" w:cs="Times New Roman" w:eastAsia="Times New Roman"/>
        </w:rPr>
        <w:t xml:space="preserve">, el Plan de Desarrollo y Ordenamiento Territorial Parroquial</w:t>
      </w:r>
      <w:r>
        <w:rPr>
          <w:rFonts w:ascii="Times New Roman" w:hAnsi="Times New Roman" w:cs="Times New Roman" w:eastAsia="Times New Roman"/>
        </w:rPr>
        <w:t xml:space="preserve"> </w:t>
      </w:r>
      <w:r>
        <w:rPr>
          <w:rFonts w:ascii="Times New Roman" w:hAnsi="Times New Roman" w:cs="Times New Roman" w:eastAsia="Times New Roman"/>
        </w:rPr>
        <w:t xml:space="preserve">GAD Parroquial Rural de Torata (</w:t>
      </w:r>
      <w:hyperlink w:anchor="ref-pdot_torata_2024">
        <w:r>
          <w:rPr>
            <w:rStyle w:val="Hyperlink"/>
          </w:rPr>
          <w:t xml:space="preserve">2024</w:t>
        </w:r>
      </w:hyperlink>
      <w:r>
        <w:rPr>
          <w:rFonts w:ascii="Times New Roman" w:hAnsi="Times New Roman" w:cs="Times New Roman" w:eastAsia="Times New Roman"/>
        </w:rPr>
        <w:t xml:space="preserve">)</w:t>
      </w:r>
      <w:r>
        <w:rPr>
          <w:rFonts w:ascii="Times New Roman" w:hAnsi="Times New Roman" w:cs="Times New Roman" w:eastAsia="Times New Roman"/>
        </w:rPr>
        <w:t xml:space="preserve"> </w:t>
      </w:r>
      <w:r>
        <w:rPr>
          <w:rFonts w:ascii="Times New Roman" w:hAnsi="Times New Roman" w:cs="Times New Roman" w:eastAsia="Times New Roman"/>
        </w:rPr>
        <w:t xml:space="preserve">y los aforos locales:</w:t>
      </w:r>
    </w:p>
    <w:bookmarkStart w:id="29" w:name="dimensión-social-y-asentamientos-humanos"/>
    <w:p>
      <w:pPr>
        <w:pStyle w:val="Heading3"/>
      </w:pPr>
      <w:r>
        <w:rPr>
          <w:rFonts w:ascii="Times New Roman" w:hAnsi="Times New Roman" w:cs="Times New Roman" w:eastAsia="Times New Roman"/>
          <w:b/>
          <w:bCs/>
        </w:rPr>
        <w:t xml:space="preserve">2.1.1 Dimensión Social y Asentamientos Humanos</w:t>
      </w:r>
    </w:p>
    <w:p>
      <w:pPr>
        <w:pStyle w:val="FirstParagraph"/>
      </w:pPr>
      <w:r>
        <w:rPr>
          <w:rFonts w:ascii="Times New Roman" w:hAnsi="Times New Roman" w:cs="Times New Roman" w:eastAsia="Times New Roman"/>
        </w:rPr>
        <w:t xml:space="preserve">Torata cuenta con una población censada de 2.174 habitantes (1.109 hombres que representan el 51,01 % y 1.065 mujeres equivalentes al 48,99 %), distribuida en una superficie total de 8.538,00 ha (85,38 km² de demarcación general y 22 km² de consolidación territorial desconcentrada), lo que arroja una densidad poblacional rural de 25,46 hab/km². La tasa de crecimiento intercensal se sitúa en el 0,94 % anual. La estructura etaria revela una predominancia de población en edad productiva (67,71 % entre 15 y 64 años, 21,80 % de 0 a 14 años y 10,49 % de adultos mayores de 65 años).</w:t>
      </w:r>
    </w:p>
    <w:p>
      <w:pPr>
        <w:pStyle w:val="BodyText"/>
      </w:pPr>
      <w:r>
        <w:rPr>
          <w:rFonts w:ascii="Times New Roman" w:hAnsi="Times New Roman" w:cs="Times New Roman" w:eastAsia="Times New Roman"/>
        </w:rPr>
        <w:t xml:space="preserve">En el ámbito de las condiciones de vida, el 67,40 % de la población vive en condiciones de pobreza por Necesidades Básicas Insatisfechas (NBI). El acceso al agua por red pública o entubada cubre al 64,20 % de las viviendas, mientras que la red formal de alcantarillado sanitario solo alcanza al 28,50 %, persistiendo un déficit sanitario del 71,50 % donde las familias recurren a pozos ciegos o letrinas. La electrificación cubre el 95,80 % y el servicio de internet fijo al 38,70 % de los hogares. La red vial parroquial suma 46,20 km de longitud, de los cuales apenas el 34,20 % (15,8 km de la carretera intercantonal E585) está asfaltada; el 65,80 % restante son caminos lastrados y de verano vulnerables a las lluvias. El equipamiento social comprende 4 unidades educativas fiscales y 1 Centro de Salud Tipo A en la cabecera parroquial; sin embargo, en época de lluvias, la incomunicación por crecidas fluviales origina hasta un 45 % de ausentismo escolar en los sectores de La Chilca, El Guayabo y El Playón y dificulta el traslado urgente de pacientes hacia el centro de salud y hospitales de Santa Rosa (distante a 40 minutos en condiciones normales).</w:t>
      </w:r>
    </w:p>
    <w:bookmarkEnd w:id="29"/>
    <w:bookmarkStart w:id="30" w:name="dimensión-económica-y-productiva"/>
    <w:p>
      <w:pPr>
        <w:pStyle w:val="Heading3"/>
      </w:pPr>
      <w:r>
        <w:rPr>
          <w:rFonts w:ascii="Times New Roman" w:hAnsi="Times New Roman" w:cs="Times New Roman" w:eastAsia="Times New Roman"/>
          <w:b/>
          <w:bCs/>
        </w:rPr>
        <w:t xml:space="preserve">2.1.2 Dimensión Económica y Productiva</w:t>
      </w:r>
    </w:p>
    <w:p>
      <w:pPr>
        <w:pStyle w:val="FirstParagraph"/>
      </w:pPr>
      <w:r>
        <w:rPr>
          <w:rFonts w:ascii="Times New Roman" w:hAnsi="Times New Roman" w:cs="Times New Roman" w:eastAsia="Times New Roman"/>
        </w:rPr>
        <w:t xml:space="preserve">La matriz económica parroquial depende decisivamente de la actividad agropecuaria y del aprovechamiento de los recursos naturales. La Población Económicamente Activa (PEA) asciende a 1.241 personas (57,08 % de la población total), con una tasa de empleo adecuado de únicamente el 18,10 % (220 personas) y una tasa acumulada de subempleo y empleo no remunerado del 57,70 % (subempleo 22,3 % y trabajo no remunerado 35,4 %), con un desempleo abierto del 1,90 %. Por ramas de actividad, el sector primario concentra el 55,00 % de los ocupados (39,44 % en agricultura y ganadería con 489 empleos directos, y 15,56 % en minería artesanal), seguido por el sector terciario de comercio y servicios con 37,50 % (465 empleos) y el sector secundario con 7,50 %. El ingreso promedio mensual por hogar en las zonas rurales es de apenas $415,00 USD.</w:t>
      </w:r>
    </w:p>
    <w:p>
      <w:pPr>
        <w:pStyle w:val="BodyText"/>
      </w:pPr>
      <w:r>
        <w:rPr>
          <w:rFonts w:ascii="Times New Roman" w:hAnsi="Times New Roman" w:cs="Times New Roman" w:eastAsia="Times New Roman"/>
        </w:rPr>
        <w:t xml:space="preserve">La producción pecuaria sostiene un inventario bovino censado de 3.898 cabezas (1.386 vacas de ordeño, 933 toretes, 798 vaconas, 376 terneras, 313 terneros y 92 toros), que pastan en 2.478,45 hectáreas (37,29 % del territorio parroquial), complementado con 528 hectáreas de cultivos permanentes (café arábigo, cacao fino de aroma, caña de azúcar y cítricos con una producción comercial aproximada de 1.650 toneladas anuales) y granjas avícolas tecnificadas con capacidad de 109.000 aves. El sector lácteo genera más de 3.650 litros diarios de leche cruda destinados a la venta en pie y queserías locales. No obstante, la inexistencia de un puente seguro genera pérdidas críticas: durante los picos invernales se derraman o descomponen hasta 3.500 litros de leche al día por la imposibilidad de ingreso del transporte de acopio, forzando a los productores a realizar costosos trasbordos manuales o vender el queso a pérdida.</w:t>
      </w:r>
    </w:p>
    <w:bookmarkEnd w:id="30"/>
    <w:bookmarkStart w:id="31" w:name="dimensión-ambiental-y-físico-natural"/>
    <w:p>
      <w:pPr>
        <w:pStyle w:val="Heading3"/>
      </w:pPr>
      <w:r>
        <w:rPr>
          <w:rFonts w:ascii="Times New Roman" w:hAnsi="Times New Roman" w:cs="Times New Roman" w:eastAsia="Times New Roman"/>
          <w:b/>
          <w:bCs/>
        </w:rPr>
        <w:t xml:space="preserve">2.1.3 Dimensión Ambiental y Físico-Natural</w:t>
      </w:r>
    </w:p>
    <w:p>
      <w:pPr>
        <w:pStyle w:val="FirstParagraph"/>
      </w:pPr>
      <w:r>
        <w:rPr>
          <w:rFonts w:ascii="Times New Roman" w:hAnsi="Times New Roman" w:cs="Times New Roman" w:eastAsia="Times New Roman"/>
        </w:rPr>
        <w:t xml:space="preserve">El territorio parroquial se emplaza sobre la vertiente occidental de la cordillera de los Andes, en un relieve colinado-escarpado de estribación montañosa con pendiente media del 28 % y altitudes que van desde los 307 msnm en las riberas bajas hasta los 480 msnm en la cabecera parroquial. El régimen bioclimático se caracteriza por una temperatura media anual de 23,6 °C y una precipitación media anual de 1.280 mm, concentrada en el régimen lluvioso de diciembre a mayo. El 27,20 % del territorio (2.322 ha) corresponde a bosque natural y vegetación protectora, mientras que los pastizales pecuarios abarcan 4.986 ha (58,40 %).</w:t>
      </w:r>
    </w:p>
    <w:p>
      <w:pPr>
        <w:pStyle w:val="BodyText"/>
      </w:pPr>
      <w:r>
        <w:rPr>
          <w:rFonts w:ascii="Times New Roman" w:hAnsi="Times New Roman" w:cs="Times New Roman" w:eastAsia="Times New Roman"/>
        </w:rPr>
        <w:t xml:space="preserve">El drenaje hidrográfico principal lo constituye la cuenca alta del río Santa Rosa (denominado localmente río Carne Amarga), cuyas nacientes se originan entre los cerros Fénix y del Oso, abarcando una zona de recarga hídrica de 1.450 hectáreas de alta importancia ecológica. El río registra un caudal medio de estiaje de 32,5 L/s, pero en invierno experimenta crecidas torrenciales extraordinarias con arrastre masivo de bolones de piedra y palizadas. El Servicio Nacional de Gestión de Riesgos y Emergencias (SNGRE) clasifica a 1.840 ha (21,55 % de la parroquia) como zonas de amenaza moderada a alta frente a deslizamientos en taludes y socavación activa de márgenes fluviales, afectando directamente al paso El Guayabo - La Chilca.</w:t>
      </w:r>
    </w:p>
    <w:bookmarkEnd w:id="31"/>
    <w:bookmarkStart w:id="40" w:name="dimensión-institucional-y-de-gobernanza"/>
    <w:p>
      <w:pPr>
        <w:pStyle w:val="Heading3"/>
      </w:pPr>
      <w:r>
        <w:rPr>
          <w:rFonts w:ascii="Times New Roman" w:hAnsi="Times New Roman" w:cs="Times New Roman" w:eastAsia="Times New Roman"/>
          <w:b/>
          <w:bCs/>
        </w:rPr>
        <w:t xml:space="preserve">2.1.4 Dimensión Institucional y de Gobernanza</w:t>
      </w:r>
    </w:p>
    <w:p>
      <w:pPr>
        <w:pStyle w:val="FirstParagraph"/>
      </w:pPr>
      <w:r>
        <w:rPr>
          <w:rFonts w:ascii="Times New Roman" w:hAnsi="Times New Roman" w:cs="Times New Roman" w:eastAsia="Times New Roman"/>
        </w:rPr>
        <w:t xml:space="preserve">El entramado institucional local se conforma por el GAD Parroquial Rural de Torata, la Tenencia Política, el GAD Municipal del Cantón Santa Rosa, el GAD Provincial de El Oro, la Empresa Pública EMAPASR-EP, y los ministerios sectoriales de Educación y Salud Pública. A nivel de sociedad civil y base comunitaria, existen 11 organizaciones activas, entre comités pro-mejoras barriales, juntas administradoras de agua potable y la Asociación de Ganaderos y Productores Agropecuarios de Torata.</w:t>
      </w:r>
    </w:p>
    <w:p>
      <w:pPr>
        <w:pStyle w:val="BodyText"/>
      </w:pPr>
      <w:r>
        <w:rPr>
          <w:rFonts w:ascii="Times New Roman" w:hAnsi="Times New Roman" w:cs="Times New Roman" w:eastAsia="Times New Roman"/>
        </w:rPr>
        <w:t xml:space="preserve">A pesar de esta densidad organizativa, el GADPR Torata cuenta con un presupuesto anual de inversión muy restringido, que oscila entre $245.000,00 y $280.000,00 USD al año, asignado mayoritariamente a competencias de saneamiento, mantenimiento menor y espacios públicos (6 proyectos ejecutados en el último trienio). Este techo presupuestario torna financieramente inviable que el gobierno parroquial afronte de forma solitaria obras de infraestructura vial mayor como el puente sobre el río Santa Rosa. De allí surge la necesidad indispensable de activar la gobernanza intergubernamental mediante convenios de concurrencia y cooperación técnica y financiera con la Prefectura de El Oro (titular de la competencia de vialidad rural) y el GAD Municipal de Santa Rosa.</w:t>
      </w:r>
    </w:p>
    <w:p>
      <w:pPr>
        <w:pStyle w:val="TableNumber"/>
        <w:keepNext/>
        <w:ind w:firstLine="0" w:left="0"/>
        <w:jc w:val="left"/>
      </w:pPr>
      <w:r>
        <w:rPr>
          <w:rFonts w:ascii="Times New Roman" w:hAnsi="Times New Roman" w:cs="Times New Roman" w:eastAsia="Times New Roman"/>
          <w:b/>
          <w:bCs/>
          <w:sz w:val="20"/>
          <w:szCs w:val="20"/>
        </w:rPr>
        <w:t xml:space="preserve">Figura 1</w:t>
      </w:r>
    </w:p>
    <w:p>
      <w:pPr>
        <w:pStyle w:val="ImageCaption"/>
        <w:keepNext/>
        <w:ind w:firstLine="0" w:left="0"/>
        <w:jc w:val="left"/>
      </w:pPr>
      <w:r>
        <w:rPr>
          <w:rFonts w:ascii="Times New Roman" w:hAnsi="Times New Roman" w:cs="Times New Roman" w:eastAsia="Times New Roman"/>
          <w:i/>
          <w:iCs/>
          <w:sz w:val="20"/>
          <w:szCs w:val="20"/>
        </w:rPr>
        <w:t xml:space="preserve">Macro-localización Satelital: Parroquia Torata en el Cantón Santa Rosa</w:t>
      </w:r>
    </w:p>
    <w:p>
      <w:pPr>
        <w:pStyle w:val="CaptionedFigure"/>
        <w:ind w:firstLine="0" w:left="0"/>
        <w:jc w:val="center"/>
      </w:pPr>
      <w:r>
        <w:rPr>
          <w:rFonts w:ascii="Times New Roman" w:hAnsi="Times New Roman" w:cs="Times New Roman" w:eastAsia="Times New Roman"/>
        </w:rPr>
        <w:drawing>
          <wp:inline>
            <wp:extent cx="3467100" cy="3033712"/>
            <wp:effectExtent b="0" l="0" r="0" t="0"/>
            <wp:docPr descr="" title="" id="33" name="Picture"/>
            <a:graphic>
              <a:graphicData uri="http://schemas.openxmlformats.org/drawingml/2006/picture">
                <pic:pic>
                  <pic:nvPicPr>
                    <pic:cNvPr descr="asset/mapa_macro_torata.png" id="34" name="Picture"/>
                    <pic:cNvPicPr>
                      <a:picLocks noChangeArrowheads="1" noChangeAspect="1"/>
                    </pic:cNvPicPr>
                  </pic:nvPicPr>
                  <pic:blipFill>
                    <a:blip r:embed="rId32"/>
                    <a:stretch>
                      <a:fillRect/>
                    </a:stretch>
                  </pic:blipFill>
                  <pic:spPr bwMode="auto">
                    <a:xfrm>
                      <a:off x="0" y="0"/>
                      <a:ext cx="3467100" cy="3033712"/>
                    </a:xfrm>
                    <a:prstGeom prst="rect">
                      <a:avLst/>
                    </a:prstGeom>
                    <a:noFill/>
                    <a:ln w="9525">
                      <a:noFill/>
                      <a:headEnd/>
                      <a:tailEnd/>
                    </a:ln>
                  </pic:spPr>
                </pic:pic>
              </a:graphicData>
            </a:graphic>
          </wp:inline>
        </w:drawing>
      </w:r>
    </w:p>
    <w:p/>
    <w:p>
      <w:pPr>
        <w:pStyle w:val="TableNumber"/>
        <w:keepNext/>
        <w:ind w:firstLine="0" w:left="0"/>
        <w:jc w:val="left"/>
      </w:pPr>
      <w:r>
        <w:rPr>
          <w:rFonts w:ascii="Times New Roman" w:hAnsi="Times New Roman" w:cs="Times New Roman" w:eastAsia="Times New Roman"/>
          <w:b/>
          <w:bCs/>
          <w:sz w:val="20"/>
          <w:szCs w:val="20"/>
        </w:rPr>
        <w:t xml:space="preserve">Figura 2</w:t>
      </w:r>
    </w:p>
    <w:p>
      <w:pPr>
        <w:pStyle w:val="ImageCaption"/>
        <w:keepNext/>
        <w:ind w:firstLine="0" w:left="0"/>
        <w:jc w:val="left"/>
      </w:pPr>
      <w:r>
        <w:rPr>
          <w:rFonts w:ascii="Times New Roman" w:hAnsi="Times New Roman" w:cs="Times New Roman" w:eastAsia="Times New Roman"/>
          <w:i/>
          <w:iCs/>
          <w:sz w:val="20"/>
          <w:szCs w:val="20"/>
        </w:rPr>
        <w:t xml:space="preserve">Micro-localización Satelital: Emplazamiento del Puente Bailey sobre el Río Santa Rosa</w:t>
      </w:r>
    </w:p>
    <w:p>
      <w:pPr>
        <w:pStyle w:val="CaptionedFigure"/>
        <w:ind w:firstLine="0" w:left="0"/>
        <w:jc w:val="center"/>
      </w:pPr>
      <w:r>
        <w:rPr>
          <w:rFonts w:ascii="Times New Roman" w:hAnsi="Times New Roman" w:cs="Times New Roman" w:eastAsia="Times New Roman"/>
        </w:rPr>
        <w:drawing>
          <wp:inline>
            <wp:extent cx="3200400" cy="1679554"/>
            <wp:effectExtent b="0" l="0" r="0" t="0"/>
            <wp:docPr descr="" title="" id="37" name="Picture"/>
            <a:graphic>
              <a:graphicData uri="http://schemas.openxmlformats.org/drawingml/2006/picture">
                <pic:pic>
                  <pic:nvPicPr>
                    <pic:cNvPr descr="asset/mapa_micro_torata.png" id="38" name="Picture"/>
                    <pic:cNvPicPr>
                      <a:picLocks noChangeArrowheads="1" noChangeAspect="1"/>
                    </pic:cNvPicPr>
                  </pic:nvPicPr>
                  <pic:blipFill>
                    <a:blip r:embed="rId36"/>
                    <a:stretch>
                      <a:fillRect/>
                    </a:stretch>
                  </pic:blipFill>
                  <pic:spPr bwMode="auto">
                    <a:xfrm>
                      <a:off x="0" y="0"/>
                      <a:ext cx="3200400" cy="1679554"/>
                    </a:xfrm>
                    <a:prstGeom prst="rect">
                      <a:avLst/>
                    </a:prstGeom>
                    <a:noFill/>
                    <a:ln w="9525">
                      <a:noFill/>
                      <a:headEnd/>
                      <a:tailEnd/>
                    </a:ln>
                  </pic:spPr>
                </pic:pic>
              </a:graphicData>
            </a:graphic>
          </wp:inline>
        </w:drawing>
      </w:r>
    </w:p>
    <w:bookmarkEnd w:id="40"/>
    <w:bookmarkEnd w:id="41"/>
    <w:bookmarkStart w:id="42" w:name="Xae68a647e3e75454256537ab6841fe64af7b6e0"/>
    <w:p>
      <w:pPr>
        <w:pStyle w:val="Heading2"/>
      </w:pPr>
      <w:r>
        <w:rPr>
          <w:rFonts w:ascii="Times New Roman" w:hAnsi="Times New Roman" w:cs="Times New Roman" w:eastAsia="Times New Roman"/>
          <w:b/>
          <w:bCs/>
        </w:rPr>
        <w:t xml:space="preserve">2.2 Identificación, descripción y diagnóstico del problema</w:t>
      </w:r>
    </w:p>
    <w:p>
      <w:pPr>
        <w:pStyle w:val="FirstParagraph"/>
      </w:pPr>
      <w:r>
        <w:rPr>
          <w:rFonts w:ascii="Times New Roman" w:hAnsi="Times New Roman" w:cs="Times New Roman" w:eastAsia="Times New Roman"/>
        </w:rPr>
        <w:t xml:space="preserve">El problema central identificado en el diagnóstico participativo y convalidado con la dirigencia comunitaria y el PDOT cantonal</w:t>
      </w:r>
      <w:r>
        <w:rPr>
          <w:rFonts w:ascii="Times New Roman" w:hAnsi="Times New Roman" w:cs="Times New Roman" w:eastAsia="Times New Roman"/>
        </w:rPr>
        <w:t xml:space="preserve"> </w:t>
      </w:r>
      <w:r>
        <w:rPr>
          <w:rFonts w:ascii="Times New Roman" w:hAnsi="Times New Roman" w:cs="Times New Roman" w:eastAsia="Times New Roman"/>
        </w:rPr>
        <w:t xml:space="preserve">GAD Municipal del Cantón Santa Rosa (</w:t>
      </w:r>
      <w:hyperlink w:anchor="ref-pdot_santarosa_2024">
        <w:r>
          <w:rPr>
            <w:rStyle w:val="Hyperlink"/>
          </w:rPr>
          <w:t xml:space="preserve">2024</w:t>
        </w:r>
      </w:hyperlink>
      <w:r>
        <w:rPr>
          <w:rFonts w:ascii="Times New Roman" w:hAnsi="Times New Roman" w:cs="Times New Roman" w:eastAsia="Times New Roman"/>
        </w:rPr>
        <w:t xml:space="preserve">)</w:t>
      </w:r>
      <w:r>
        <w:rPr>
          <w:rFonts w:ascii="Times New Roman" w:hAnsi="Times New Roman" w:cs="Times New Roman" w:eastAsia="Times New Roman"/>
        </w:rPr>
        <w:t xml:space="preserve"> </w:t>
      </w:r>
      <w:r>
        <w:rPr>
          <w:rFonts w:ascii="Times New Roman" w:hAnsi="Times New Roman" w:cs="Times New Roman" w:eastAsia="Times New Roman"/>
        </w:rPr>
        <w:t xml:space="preserve">consiste en:</w:t>
      </w:r>
      <w:r>
        <w:rPr>
          <w:rFonts w:ascii="Times New Roman" w:hAnsi="Times New Roman" w:cs="Times New Roman" w:eastAsia="Times New Roman"/>
        </w:rPr>
        <w:t xml:space="preserve"> </w:t>
      </w:r>
      <w:r>
        <w:rPr>
          <w:rFonts w:ascii="Times New Roman" w:hAnsi="Times New Roman" w:cs="Times New Roman" w:eastAsia="Times New Roman"/>
          <w:b/>
          <w:bCs/>
        </w:rPr>
        <w:t xml:space="preserve">Aislamiento físico y nulo acceso vehicular y peatonal seguro en el sitio El Playón de la parroquia Torata</w:t>
      </w:r>
      <w:r>
        <w:rPr>
          <w:rFonts w:ascii="Times New Roman" w:hAnsi="Times New Roman" w:cs="Times New Roman" w:eastAsia="Times New Roman"/>
        </w:rPr>
        <w:t xml:space="preserve">.</w:t>
      </w:r>
    </w:p>
    <w:p>
      <w:pPr>
        <w:pStyle w:val="BodyText"/>
      </w:pPr>
      <w:r>
        <w:rPr>
          <w:rFonts w:ascii="Times New Roman" w:hAnsi="Times New Roman" w:cs="Times New Roman" w:eastAsia="Times New Roman"/>
        </w:rPr>
        <w:t xml:space="preserve">Las causas principales que determinan esta problemática se estructuran en dos ramas causales directas:</w:t>
      </w:r>
    </w:p>
    <w:p>
      <w:pPr>
        <w:pStyle w:val="Compact"/>
        <w:numPr>
          <w:ilvl w:val="0"/>
          <w:numId w:val="1001"/>
        </w:numPr>
      </w:pPr>
      <w:r>
        <w:rPr>
          <w:rFonts w:ascii="Times New Roman" w:hAnsi="Times New Roman" w:cs="Times New Roman" w:eastAsia="Times New Roman"/>
        </w:rPr>
        <w:t xml:space="preserve">Causa Directa 1: Carencia absoluta de infraestructura de puente definitiva y segura sobre el río.</w:t>
      </w:r>
    </w:p>
    <w:p>
      <w:pPr>
        <w:pStyle w:val="Compact"/>
        <w:numPr>
          <w:ilvl w:val="1"/>
          <w:numId w:val="1002"/>
        </w:numPr>
      </w:pPr>
      <w:r>
        <w:rPr>
          <w:rFonts w:ascii="Times New Roman" w:hAnsi="Times New Roman" w:cs="Times New Roman" w:eastAsia="Times New Roman"/>
        </w:rPr>
        <w:t xml:space="preserve">Causa Indirecta 1.1: Histórico rezago en la priorización de inversión pública vial para este sector.</w:t>
      </w:r>
    </w:p>
    <w:p>
      <w:pPr>
        <w:pStyle w:val="Compact"/>
        <w:numPr>
          <w:ilvl w:val="0"/>
          <w:numId w:val="1001"/>
        </w:numPr>
      </w:pPr>
      <w:r>
        <w:rPr>
          <w:rFonts w:ascii="Times New Roman" w:hAnsi="Times New Roman" w:cs="Times New Roman" w:eastAsia="Times New Roman"/>
        </w:rPr>
        <w:t xml:space="preserve">Causa Directa 2: Imposibilidad física y vial de cruzar el cauce natural del río la mayor parte del año.</w:t>
      </w:r>
    </w:p>
    <w:p>
      <w:pPr>
        <w:pStyle w:val="Compact"/>
        <w:numPr>
          <w:ilvl w:val="1"/>
          <w:numId w:val="1003"/>
        </w:numPr>
      </w:pPr>
      <w:r>
        <w:rPr>
          <w:rFonts w:ascii="Times New Roman" w:hAnsi="Times New Roman" w:cs="Times New Roman" w:eastAsia="Times New Roman"/>
        </w:rPr>
        <w:t xml:space="preserve">Causa Indirecta 2.1: Ausencia de vías alternativas o rutas de conexión en el entorno geográfico.</w:t>
      </w:r>
    </w:p>
    <w:p>
      <w:pPr>
        <w:pStyle w:val="FirstParagraph"/>
      </w:pPr>
      <w:r>
        <w:rPr>
          <w:rFonts w:ascii="Times New Roman" w:hAnsi="Times New Roman" w:cs="Times New Roman" w:eastAsia="Times New Roman"/>
        </w:rPr>
        <w:t xml:space="preserve">Los efectos derivados de esta condición de incomunicación impactan críticamente el tejido social y productivo:</w:t>
      </w:r>
    </w:p>
    <w:p>
      <w:pPr>
        <w:pStyle w:val="Compact"/>
        <w:numPr>
          <w:ilvl w:val="0"/>
          <w:numId w:val="1004"/>
        </w:numPr>
      </w:pPr>
      <w:r>
        <w:rPr>
          <w:rFonts w:ascii="Times New Roman" w:hAnsi="Times New Roman" w:cs="Times New Roman" w:eastAsia="Times New Roman"/>
        </w:rPr>
        <w:t xml:space="preserve">Efecto Directo 1: Paralización del transporte agropecuario y pérdida de ingresos familiares (merma de hasta 3.500 litros de leche diarios y cosechas de cacao/café perecibles).</w:t>
      </w:r>
    </w:p>
    <w:p>
      <w:pPr>
        <w:pStyle w:val="Compact"/>
        <w:numPr>
          <w:ilvl w:val="0"/>
          <w:numId w:val="1004"/>
        </w:numPr>
      </w:pPr>
      <w:r>
        <w:rPr>
          <w:rFonts w:ascii="Times New Roman" w:hAnsi="Times New Roman" w:cs="Times New Roman" w:eastAsia="Times New Roman"/>
        </w:rPr>
        <w:t xml:space="preserve">Efecto Directo 2: Inaccesibilidad a servicios de salud y educación para grupos vulnerables (ausentismo escolar del 45 % e imposibilidad de auxilio médico de emergencia).</w:t>
      </w:r>
    </w:p>
    <w:p>
      <w:pPr>
        <w:pStyle w:val="Compact"/>
        <w:numPr>
          <w:ilvl w:val="0"/>
          <w:numId w:val="1004"/>
        </w:numPr>
      </w:pPr>
      <w:r>
        <w:rPr>
          <w:rFonts w:ascii="Times New Roman" w:hAnsi="Times New Roman" w:cs="Times New Roman" w:eastAsia="Times New Roman"/>
        </w:rPr>
        <w:t xml:space="preserve">Efecto Directo 3: Alto riesgo para la integridad física al intentar vadear el río desbordado durante la temporada invernal.</w:t>
      </w:r>
    </w:p>
    <w:p>
      <w:pPr>
        <w:pStyle w:val="Compact"/>
        <w:numPr>
          <w:ilvl w:val="0"/>
          <w:numId w:val="1004"/>
        </w:numPr>
      </w:pPr>
      <w:r>
        <w:rPr>
          <w:rFonts w:ascii="Times New Roman" w:hAnsi="Times New Roman" w:cs="Times New Roman" w:eastAsia="Times New Roman"/>
        </w:rPr>
        <w:t xml:space="preserve">Efecto Final: Estancamiento del desarrollo socioeconómico local y profundización de la vulnerabilidad de las familias en el sitio El Playón.</w:t>
      </w:r>
    </w:p>
    <w:bookmarkEnd w:id="42"/>
    <w:bookmarkStart w:id="53" w:name="línea-base-del-proyecto"/>
    <w:p>
      <w:pPr>
        <w:pStyle w:val="Heading2"/>
      </w:pPr>
      <w:r>
        <w:rPr>
          <w:rFonts w:ascii="Times New Roman" w:hAnsi="Times New Roman" w:cs="Times New Roman" w:eastAsia="Times New Roman"/>
          <w:b/>
          <w:bCs/>
        </w:rPr>
        <w:t xml:space="preserve">2.3 Línea base del proyecto</w:t>
      </w:r>
    </w:p>
    <w:bookmarkStart w:id="52" w:name="construcción-de-la-narrativa"/>
    <w:p>
      <w:pPr>
        <w:pStyle w:val="Heading3"/>
      </w:pPr>
      <w:r>
        <w:rPr>
          <w:rFonts w:ascii="Times New Roman" w:hAnsi="Times New Roman" w:cs="Times New Roman" w:eastAsia="Times New Roman"/>
          <w:b/>
          <w:bCs/>
        </w:rPr>
        <w:t xml:space="preserve">2.3.1 Construcción de la narrativa</w:t>
      </w:r>
    </w:p>
    <w:p>
      <w:pPr>
        <w:pStyle w:val="FirstParagraph"/>
      </w:pPr>
      <w:r>
        <w:rPr>
          <w:rFonts w:ascii="Times New Roman" w:hAnsi="Times New Roman" w:cs="Times New Roman" w:eastAsia="Times New Roman"/>
        </w:rPr>
        <w:t xml:space="preserve">La red vial de la parroquia comprende 46,20 km de longitud, de los cuales únicamente el 34,20 % (15,8 km de la carretera intercantonal E585) cuenta con carpeta asfáltica. El 65,80 % restante corresponde a vías lastradas secundarias y caminos vecinales que quedan anegados y socavados durante la estación invernal.</w:t>
      </w:r>
    </w:p>
    <w:p>
      <w:pPr>
        <w:pStyle w:val="BodyText"/>
      </w:pPr>
      <w:r>
        <w:rPr>
          <w:rFonts w:ascii="Times New Roman" w:hAnsi="Times New Roman" w:cs="Times New Roman" w:eastAsia="Times New Roman"/>
        </w:rPr>
        <w:t xml:space="preserve">La carencia de un paso vehicular permanente provoca cuantiosas pérdidas en el sector agroproductivo. Durante los meses de mayor pluviosidad (diciembre a mayo), la imposibilidad de que ingresen los camiones lecheros y camionetas de carga ocasiona el derrame o fermentación de aproximadamente 3.500 litros de leche diarios, además de daños en cosechas de café y cacao. Los productores se ven obligados a realizar trasbordos manuales a pie por orillas inestables o rodear por senderos escarpados, elevando el costo del flete por quintal de $2,20 a $3,50 USD. En el ámbito social, la incomunicación aísla a los recintos El Guayabo, La Chilca y El Playón respecto al Centro de Salud Tipo A y ocasiona un ausentismo escolar del 45 %.</w:t>
      </w:r>
    </w:p>
    <w:p>
      <w:pPr>
        <w:pStyle w:val="BodyText"/>
      </w:pPr>
      <w:r>
        <w:rPr>
          <w:rFonts w:ascii="Times New Roman" w:hAnsi="Times New Roman" w:cs="Times New Roman" w:eastAsia="Times New Roman"/>
        </w:rPr>
        <w:t xml:space="preserve">La línea base del proyecto establece el diagnóstico paramétrico de referencia para el seguimiento, monitoreo y evaluación de la intervención pública. En la</w:t>
      </w:r>
      <w:r>
        <w:rPr>
          <w:rFonts w:ascii="Times New Roman" w:hAnsi="Times New Roman" w:cs="Times New Roman" w:eastAsia="Times New Roman"/>
        </w:rPr>
        <w:t xml:space="preserve"> </w:t>
      </w:r>
      <w:hyperlink w:anchor="tbl-linea-base-puente">
        <w:r>
          <w:rPr>
            <w:rStyle w:val="Hyperlink"/>
          </w:rPr>
          <w:t xml:space="preserve">Tabla 3</w:t>
        </w:r>
      </w:hyperlink>
      <w:r>
        <w:rPr>
          <w:rFonts w:ascii="Times New Roman" w:hAnsi="Times New Roman" w:cs="Times New Roman" w:eastAsia="Times New Roman"/>
        </w:rPr>
        <w:t xml:space="preserve"> </w:t>
      </w:r>
      <w:r>
        <w:rPr>
          <w:rFonts w:ascii="Times New Roman" w:hAnsi="Times New Roman" w:cs="Times New Roman" w:eastAsia="Times New Roman"/>
        </w:rPr>
        <w:t xml:space="preserve">se sistematizan los problemas centrales y causales identificados con sus respectivos indicadores cuantitativos observados en el territorio.</w:t>
      </w:r>
    </w:p>
    <w:p>
      <w:pPr>
        <w:pStyle w:val="TableNumber"/>
        <w:keepNext/>
        <w:ind w:firstLine="0" w:left="0"/>
        <w:jc w:val="left"/>
      </w:pPr>
      <w:r>
        <w:rPr>
          <w:rFonts w:ascii="Times New Roman" w:hAnsi="Times New Roman" w:cs="Times New Roman" w:eastAsia="Times New Roman"/>
          <w:b/>
          <w:bCs/>
          <w:sz w:val="20"/>
          <w:szCs w:val="20"/>
        </w:rPr>
        <w:t xml:space="preserve">Tabla 3</w:t>
      </w:r>
    </w:p>
    <w:p>
      <w:pPr>
        <w:pStyle w:val="TableCaption"/>
        <w:keepNext/>
        <w:ind w:firstLine="0" w:left="0"/>
        <w:jc w:val="left"/>
      </w:pPr>
      <w:r>
        <w:rPr>
          <w:rFonts w:ascii="Times New Roman" w:hAnsi="Times New Roman" w:cs="Times New Roman" w:eastAsia="Times New Roman"/>
          <w:i/>
          <w:iCs/>
          <w:sz w:val="20"/>
          <w:szCs w:val="20"/>
        </w:rPr>
        <w:t xml:space="preserve">Matriz de línea base del proyecto: problemas e indicadores cuantitativos</w:t>
      </w:r>
    </w:p>
    <w:tbl>
      <w:tblPr>
        <w:tblStyle w:val="Table"/>
        <w:tblLayout w:type="fixed"/>
        <w:tblLook w:firstRow="1" w:lastRow="0" w:firstColumn="0" w:lastColumn="0" w:noHBand="0" w:noVBand="0" w:val="0020"/>
        <w:tblInd w:w="0" w:type="dxa"/>
        <w:tblW w:w="5000" w:type="pct"/>
        <w:tblBorders>
          <w:top w:val="single" w:sz="8" w:space="0" w:color="000000"/>
          <w:bottom w:val="single" w:sz="8" w:space="0" w:color="000000"/>
          <w:left w:val="none" w:sz="0" w:space="0" w:color="000000"/>
          <w:right w:val="none" w:sz="0" w:space="0" w:color="000000"/>
          <w:insideH w:val="none" w:sz="0" w:space="0" w:color="000000"/>
          <w:insideV w:val="none" w:sz="0" w:space="0" w:color="000000"/>
        </w:tblBorders>
      </w:tblPr>
      <w:tblGrid>
        <w:gridCol w:w="2640"/>
        <w:gridCol w:w="2640"/>
        <w:gridCol w:w="2640"/>
      </w:tblGrid>
      <w:tr>
        <w:trPr>
          <w:tblHeader w:val="on"/>
        </w:trPr>
        <w:tc>
          <w:tcPr>
            <w:tcBorders>
              <w:top w:val="single" w:sz="8" w:space="0" w:color="000000"/>
              <w:bottom w:val="single" w:sz="6" w:space="0" w:color="000000"/>
            </w:tcBorders>
          </w:tcPr>
          <w:p>
            <w:pPr>
              <w:pStyle w:val="TableHeader"/>
              <w:keepNext/>
              <w:ind w:firstLine="0" w:left="0"/>
              <w:jc w:val="left"/>
            </w:pPr>
            <w:r>
              <w:rPr>
                <w:rFonts w:ascii="Times New Roman" w:hAnsi="Times New Roman" w:cs="Times New Roman" w:eastAsia="Times New Roman"/>
                <w:sz w:val="20"/>
                <w:szCs w:val="20"/>
              </w:rPr>
              <w:t xml:space="preserve">Problema</w:t>
            </w:r>
          </w:p>
        </w:tc>
        <w:tc>
          <w:tcPr>
            <w:tcBorders>
              <w:top w:val="single" w:sz="8" w:space="0" w:color="000000"/>
              <w:bottom w:val="single" w:sz="6" w:space="0" w:color="000000"/>
            </w:tcBorders>
          </w:tcPr>
          <w:p>
            <w:pPr>
              <w:pStyle w:val="TableHeader"/>
              <w:keepNext/>
              <w:ind w:firstLine="0" w:left="0"/>
              <w:jc w:val="left"/>
            </w:pPr>
            <w:r>
              <w:rPr>
                <w:rFonts w:ascii="Times New Roman" w:hAnsi="Times New Roman" w:cs="Times New Roman" w:eastAsia="Times New Roman"/>
                <w:sz w:val="20"/>
                <w:szCs w:val="20"/>
              </w:rPr>
              <w:t xml:space="preserve">Indicadores propuestos</w:t>
            </w:r>
          </w:p>
        </w:tc>
        <w:tc>
          <w:tcPr>
            <w:tcBorders>
              <w:top w:val="single" w:sz="8" w:space="0" w:color="000000"/>
              <w:bottom w:val="single" w:sz="6" w:space="0" w:color="000000"/>
            </w:tcBorders>
          </w:tcPr>
          <w:p>
            <w:pPr>
              <w:pStyle w:val="TableHeader"/>
              <w:keepNext/>
              <w:ind w:firstLine="0" w:left="0"/>
              <w:jc w:val="left"/>
            </w:pPr>
            <w:r>
              <w:rPr>
                <w:rFonts w:ascii="Times New Roman" w:hAnsi="Times New Roman" w:cs="Times New Roman" w:eastAsia="Times New Roman"/>
                <w:sz w:val="20"/>
                <w:szCs w:val="20"/>
              </w:rPr>
              <w:t xml:space="preserve">Descripción (Situación actual / Línea base)</w:t>
            </w:r>
          </w:p>
        </w:tc>
      </w:tr>
      <w:tr>
        <w:tc>
          <w:tcPr/>
          <w:p>
            <w:pPr>
              <w:pStyle w:val="TableText"/>
              <w:ind w:firstLine="0" w:left="0"/>
              <w:jc w:val="left"/>
            </w:pPr>
            <w:r>
              <w:rPr>
                <w:rFonts w:ascii="Times New Roman" w:hAnsi="Times New Roman" w:cs="Times New Roman" w:eastAsia="Times New Roman"/>
                <w:sz w:val="20"/>
                <w:szCs w:val="20"/>
              </w:rPr>
              <w:t xml:space="preserve">Limitado, deficiente e inseguro acceso vehicular y peatonal en el río Santa Rosa</w:t>
            </w:r>
          </w:p>
        </w:tc>
        <w:tc>
          <w:tcPr/>
          <w:p>
            <w:pPr>
              <w:pStyle w:val="TableText"/>
              <w:ind w:firstLine="0" w:left="0"/>
              <w:jc w:val="left"/>
            </w:pPr>
            <w:r>
              <w:rPr>
                <w:rFonts w:ascii="Times New Roman" w:hAnsi="Times New Roman" w:cs="Times New Roman" w:eastAsia="Times New Roman"/>
                <w:sz w:val="20"/>
                <w:szCs w:val="20"/>
              </w:rPr>
              <w:t xml:space="preserve">Días al año con tránsito vehicular y peatonal seguro y continuo</w:t>
            </w:r>
          </w:p>
        </w:tc>
        <w:tc>
          <w:tcPr/>
          <w:p>
            <w:pPr>
              <w:pStyle w:val="TableText"/>
              <w:ind w:firstLine="0" w:left="0"/>
              <w:jc w:val="left"/>
            </w:pPr>
            <w:r>
              <w:rPr>
                <w:rFonts w:ascii="Times New Roman" w:hAnsi="Times New Roman" w:cs="Times New Roman" w:eastAsia="Times New Roman"/>
                <w:sz w:val="20"/>
                <w:szCs w:val="20"/>
              </w:rPr>
              <w:t xml:space="preserve">260 días/año habilitados precariamente en estiaje; 105 días/año con paso cerrado por crecidas fluviales (oferta invernal = 0).</w:t>
            </w:r>
          </w:p>
        </w:tc>
      </w:tr>
      <w:tr>
        <w:tc>
          <w:tcPr/>
          <w:p>
            <w:pPr>
              <w:pStyle w:val="TableText"/>
              <w:ind w:firstLine="0" w:left="0"/>
              <w:jc w:val="left"/>
            </w:pPr>
            <w:r>
              <w:rPr>
                <w:rFonts w:ascii="Times New Roman" w:hAnsi="Times New Roman" w:cs="Times New Roman" w:eastAsia="Times New Roman"/>
                <w:sz w:val="20"/>
                <w:szCs w:val="20"/>
              </w:rPr>
              <w:t xml:space="preserve">Inexistencia de puente vehicular formal definitivo sobre el río Santa Rosa</w:t>
            </w:r>
          </w:p>
        </w:tc>
        <w:tc>
          <w:tcPr/>
          <w:p>
            <w:pPr>
              <w:pStyle w:val="TableText"/>
              <w:ind w:firstLine="0" w:left="0"/>
              <w:jc w:val="left"/>
            </w:pPr>
            <w:r>
              <w:rPr>
                <w:rFonts w:ascii="Times New Roman" w:hAnsi="Times New Roman" w:cs="Times New Roman" w:eastAsia="Times New Roman"/>
                <w:sz w:val="20"/>
                <w:szCs w:val="20"/>
              </w:rPr>
              <w:t xml:space="preserve">Puentes vehiculares definitivos con diseño hidráulico y gálibo normativo</w:t>
            </w:r>
          </w:p>
        </w:tc>
        <w:tc>
          <w:tcPr/>
          <w:p>
            <w:pPr>
              <w:pStyle w:val="TableText"/>
              <w:ind w:firstLine="0" w:left="0"/>
              <w:jc w:val="left"/>
            </w:pPr>
            <w:r>
              <w:rPr>
                <w:rFonts w:ascii="Times New Roman" w:hAnsi="Times New Roman" w:cs="Times New Roman" w:eastAsia="Times New Roman"/>
                <w:sz w:val="20"/>
                <w:szCs w:val="20"/>
              </w:rPr>
              <w:t xml:space="preserve">0 puentes definitivos instalados (100% de dependencia de cruce directo a pie por el lecho del río).</w:t>
            </w:r>
          </w:p>
        </w:tc>
      </w:tr>
      <w:tr>
        <w:tc>
          <w:tcPr/>
          <w:p>
            <w:pPr>
              <w:pStyle w:val="TableText"/>
              <w:ind w:firstLine="0" w:left="0"/>
              <w:jc w:val="left"/>
            </w:pPr>
            <w:r>
              <w:rPr>
                <w:rFonts w:ascii="Times New Roman" w:hAnsi="Times New Roman" w:cs="Times New Roman" w:eastAsia="Times New Roman"/>
                <w:sz w:val="20"/>
                <w:szCs w:val="20"/>
              </w:rPr>
              <w:t xml:space="preserve">Incomunicación y aislamiento físico recurrente en comunidades productivas</w:t>
            </w:r>
          </w:p>
        </w:tc>
        <w:tc>
          <w:tcPr/>
          <w:p>
            <w:pPr>
              <w:pStyle w:val="TableText"/>
              <w:ind w:firstLine="0" w:left="0"/>
              <w:jc w:val="left"/>
            </w:pPr>
            <w:r>
              <w:rPr>
                <w:rFonts w:ascii="Times New Roman" w:hAnsi="Times New Roman" w:cs="Times New Roman" w:eastAsia="Times New Roman"/>
                <w:sz w:val="20"/>
                <w:szCs w:val="20"/>
              </w:rPr>
              <w:t xml:space="preserve">Población rural en condición de aislamiento temporal invernal</w:t>
            </w:r>
          </w:p>
        </w:tc>
        <w:tc>
          <w:tcPr/>
          <w:p>
            <w:pPr>
              <w:pStyle w:val="TableText"/>
              <w:ind w:firstLine="0" w:left="0"/>
              <w:jc w:val="left"/>
            </w:pPr>
            <w:r>
              <w:rPr>
                <w:rFonts w:ascii="Times New Roman" w:hAnsi="Times New Roman" w:cs="Times New Roman" w:eastAsia="Times New Roman"/>
                <w:sz w:val="20"/>
                <w:szCs w:val="20"/>
              </w:rPr>
              <w:t xml:space="preserve">1.280 habitantes (más de 340 familias campesinas de El Guayabo, La Chilca, Sabayán y El Playón) incomunicados.</w:t>
            </w:r>
          </w:p>
        </w:tc>
      </w:tr>
      <w:tr>
        <w:tc>
          <w:tcPr/>
          <w:p>
            <w:pPr>
              <w:pStyle w:val="TableText"/>
              <w:ind w:firstLine="0" w:left="0"/>
              <w:jc w:val="left"/>
            </w:pPr>
            <w:r>
              <w:rPr>
                <w:rFonts w:ascii="Times New Roman" w:hAnsi="Times New Roman" w:cs="Times New Roman" w:eastAsia="Times New Roman"/>
                <w:sz w:val="20"/>
                <w:szCs w:val="20"/>
              </w:rPr>
              <w:t xml:space="preserve">Elevados tiempos de traslado y dificultades de desplazamiento hacia centros cantonales</w:t>
            </w:r>
          </w:p>
        </w:tc>
        <w:tc>
          <w:tcPr/>
          <w:p>
            <w:pPr>
              <w:pStyle w:val="TableText"/>
              <w:ind w:firstLine="0" w:left="0"/>
              <w:jc w:val="left"/>
            </w:pPr>
            <w:r>
              <w:rPr>
                <w:rFonts w:ascii="Times New Roman" w:hAnsi="Times New Roman" w:cs="Times New Roman" w:eastAsia="Times New Roman"/>
                <w:sz w:val="20"/>
                <w:szCs w:val="20"/>
              </w:rPr>
              <w:t xml:space="preserve">Tiempo promedio de cruce del río Santa Rosa</w:t>
            </w:r>
          </w:p>
        </w:tc>
        <w:tc>
          <w:tcPr/>
          <w:p>
            <w:pPr>
              <w:pStyle w:val="TableText"/>
              <w:ind w:firstLine="0" w:left="0"/>
              <w:jc w:val="left"/>
            </w:pPr>
            <w:r>
              <w:rPr>
                <w:rFonts w:ascii="Times New Roman" w:hAnsi="Times New Roman" w:cs="Times New Roman" w:eastAsia="Times New Roman"/>
                <w:sz w:val="20"/>
                <w:szCs w:val="20"/>
              </w:rPr>
              <w:t xml:space="preserve">45 minutos requeridos en temporada invernal (rodeos a pie, a lomo de mula y trasbordos por senderos escarpados).</w:t>
            </w:r>
          </w:p>
        </w:tc>
      </w:tr>
      <w:tr>
        <w:tc>
          <w:tcPr/>
          <w:p>
            <w:pPr>
              <w:pStyle w:val="TableText"/>
              <w:ind w:firstLine="0" w:left="0"/>
              <w:jc w:val="left"/>
            </w:pPr>
            <w:r>
              <w:rPr>
                <w:rFonts w:ascii="Times New Roman" w:hAnsi="Times New Roman" w:cs="Times New Roman" w:eastAsia="Times New Roman"/>
                <w:sz w:val="20"/>
                <w:szCs w:val="20"/>
              </w:rPr>
              <w:t xml:space="preserve">Encarecimiento excesivo del flete de carga agropecuaria y productos de consumo</w:t>
            </w:r>
          </w:p>
        </w:tc>
        <w:tc>
          <w:tcPr/>
          <w:p>
            <w:pPr>
              <w:pStyle w:val="TableText"/>
              <w:ind w:firstLine="0" w:left="0"/>
              <w:jc w:val="left"/>
            </w:pPr>
            <w:r>
              <w:rPr>
                <w:rFonts w:ascii="Times New Roman" w:hAnsi="Times New Roman" w:cs="Times New Roman" w:eastAsia="Times New Roman"/>
                <w:sz w:val="20"/>
                <w:szCs w:val="20"/>
              </w:rPr>
              <w:t xml:space="preserve">Tarifa de transporte y flete rural por quintal agrícola</w:t>
            </w:r>
          </w:p>
        </w:tc>
        <w:tc>
          <w:tcPr/>
          <w:p>
            <w:pPr>
              <w:pStyle w:val="TableText"/>
              <w:ind w:firstLine="0" w:left="0"/>
              <w:jc w:val="left"/>
            </w:pPr>
            <w:r>
              <w:rPr>
                <w:rFonts w:ascii="Times New Roman" w:hAnsi="Times New Roman" w:cs="Times New Roman" w:eastAsia="Times New Roman"/>
                <w:sz w:val="20"/>
                <w:szCs w:val="20"/>
              </w:rPr>
              <w:t xml:space="preserve">$3,50 USD por quintal en época invernal ($1,30 USD de sobrecosto respecto a la tarifa normal de $2,20 USD, +59,1%).</w:t>
            </w:r>
          </w:p>
        </w:tc>
      </w:tr>
      <w:tr>
        <w:tc>
          <w:tcPr/>
          <w:p>
            <w:pPr>
              <w:pStyle w:val="TableText"/>
              <w:ind w:firstLine="0" w:left="0"/>
              <w:jc w:val="left"/>
            </w:pPr>
            <w:r>
              <w:rPr>
                <w:rFonts w:ascii="Times New Roman" w:hAnsi="Times New Roman" w:cs="Times New Roman" w:eastAsia="Times New Roman"/>
                <w:sz w:val="20"/>
                <w:szCs w:val="20"/>
              </w:rPr>
              <w:t xml:space="preserve">Deterioro y pérdidas económicas en la producción láctea campesina</w:t>
            </w:r>
          </w:p>
        </w:tc>
        <w:tc>
          <w:tcPr/>
          <w:p>
            <w:pPr>
              <w:pStyle w:val="TableText"/>
              <w:ind w:firstLine="0" w:left="0"/>
              <w:jc w:val="left"/>
            </w:pPr>
            <w:r>
              <w:rPr>
                <w:rFonts w:ascii="Times New Roman" w:hAnsi="Times New Roman" w:cs="Times New Roman" w:eastAsia="Times New Roman"/>
                <w:sz w:val="20"/>
                <w:szCs w:val="20"/>
              </w:rPr>
              <w:t xml:space="preserve">Volumen de leche derramada o malvendida por falta de paso de acopio</w:t>
            </w:r>
          </w:p>
        </w:tc>
        <w:tc>
          <w:tcPr/>
          <w:p>
            <w:pPr>
              <w:pStyle w:val="TableText"/>
              <w:ind w:firstLine="0" w:left="0"/>
              <w:jc w:val="left"/>
            </w:pPr>
            <w:r>
              <w:rPr>
                <w:rFonts w:ascii="Times New Roman" w:hAnsi="Times New Roman" w:cs="Times New Roman" w:eastAsia="Times New Roman"/>
                <w:sz w:val="20"/>
                <w:szCs w:val="20"/>
              </w:rPr>
              <w:t xml:space="preserve">3.500 litros/día de leche retenidos en picos de lluvia, generando pérdidas superiores a $18.500,00 USD por ciclo invernal.</w:t>
            </w:r>
          </w:p>
        </w:tc>
      </w:tr>
      <w:tr>
        <w:tc>
          <w:tcPr/>
          <w:p>
            <w:pPr>
              <w:pStyle w:val="TableText"/>
              <w:ind w:firstLine="0" w:left="0"/>
              <w:jc w:val="left"/>
            </w:pPr>
            <w:r>
              <w:rPr>
                <w:rFonts w:ascii="Times New Roman" w:hAnsi="Times New Roman" w:cs="Times New Roman" w:eastAsia="Times New Roman"/>
                <w:sz w:val="20"/>
                <w:szCs w:val="20"/>
              </w:rPr>
              <w:t xml:space="preserve">Ausentismo escolar por riesgo de cruce fluvial durante crecidas extraordinarias</w:t>
            </w:r>
          </w:p>
        </w:tc>
        <w:tc>
          <w:tcPr/>
          <w:p>
            <w:pPr>
              <w:pStyle w:val="TableText"/>
              <w:ind w:firstLine="0" w:left="0"/>
              <w:jc w:val="left"/>
            </w:pPr>
            <w:r>
              <w:rPr>
                <w:rFonts w:ascii="Times New Roman" w:hAnsi="Times New Roman" w:cs="Times New Roman" w:eastAsia="Times New Roman"/>
                <w:sz w:val="20"/>
                <w:szCs w:val="20"/>
              </w:rPr>
              <w:t xml:space="preserve">Tasa de ausentismo escolar invernal en niños y jóvenes de recintos ribereños</w:t>
            </w:r>
          </w:p>
        </w:tc>
        <w:tc>
          <w:tcPr/>
          <w:p>
            <w:pPr>
              <w:pStyle w:val="TableText"/>
              <w:ind w:firstLine="0" w:left="0"/>
              <w:jc w:val="left"/>
            </w:pPr>
            <w:r>
              <w:rPr>
                <w:rFonts w:ascii="Times New Roman" w:hAnsi="Times New Roman" w:cs="Times New Roman" w:eastAsia="Times New Roman"/>
                <w:sz w:val="20"/>
                <w:szCs w:val="20"/>
              </w:rPr>
              <w:t xml:space="preserve">45,0% de inasistencia a clases reportada en los 4 planteles educativos fiscales de la zona durante eventos de crecida.</w:t>
            </w:r>
          </w:p>
        </w:tc>
      </w:tr>
      <w:tr>
        <w:tc>
          <w:tcPr/>
          <w:p>
            <w:pPr>
              <w:pStyle w:val="TableText"/>
              <w:ind w:firstLine="0" w:left="0"/>
              <w:jc w:val="left"/>
            </w:pPr>
            <w:r>
              <w:rPr>
                <w:rFonts w:ascii="Times New Roman" w:hAnsi="Times New Roman" w:cs="Times New Roman" w:eastAsia="Times New Roman"/>
                <w:sz w:val="20"/>
                <w:szCs w:val="20"/>
              </w:rPr>
              <w:t xml:space="preserve">Déficit histórico de estudios técnicos y gestión interinstitucional concurrente</w:t>
            </w:r>
          </w:p>
        </w:tc>
        <w:tc>
          <w:tcPr/>
          <w:p>
            <w:pPr>
              <w:pStyle w:val="TableText"/>
              <w:ind w:firstLine="0" w:left="0"/>
              <w:jc w:val="left"/>
            </w:pPr>
            <w:r>
              <w:rPr>
                <w:rFonts w:ascii="Times New Roman" w:hAnsi="Times New Roman" w:cs="Times New Roman" w:eastAsia="Times New Roman"/>
                <w:sz w:val="20"/>
                <w:szCs w:val="20"/>
              </w:rPr>
              <w:t xml:space="preserve">Estudios geotécnicos e hidráulicos validados y convenios formalizados</w:t>
            </w:r>
          </w:p>
        </w:tc>
        <w:tc>
          <w:tcPr/>
          <w:p>
            <w:pPr>
              <w:pStyle w:val="TableText"/>
              <w:ind w:firstLine="0" w:left="0"/>
              <w:jc w:val="left"/>
            </w:pPr>
            <w:r>
              <w:rPr>
                <w:rFonts w:ascii="Times New Roman" w:hAnsi="Times New Roman" w:cs="Times New Roman" w:eastAsia="Times New Roman"/>
                <w:sz w:val="20"/>
                <w:szCs w:val="20"/>
              </w:rPr>
              <w:t xml:space="preserve">0 estudios de mecánica de suelos aprobados previamente y $0 USD invertidos en obras de puente definitivo por el GADPR Torata.</w:t>
            </w:r>
          </w:p>
        </w:tc>
      </w:tr>
    </w:tbl>
    <w:p>
      <w:pPr>
        <w:pStyle w:val="TableNote"/>
        <w:ind w:firstLine="0" w:left="0"/>
        <w:jc w:val="both"/>
      </w:pPr>
      <w:r>
        <w:rPr>
          <w:rFonts w:ascii="Times New Roman" w:hAnsi="Times New Roman" w:cs="Times New Roman" w:eastAsia="Times New Roman"/>
          <w:i/>
          <w:iCs/>
          <w:sz w:val="20"/>
          <w:szCs w:val="20"/>
        </w:rPr>
        <w:t xml:space="preserve">Nota.</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Elaboración técnica a partir del diagnóstico territorial, PDOT Torata (2024), Censo INEC (2022) y aforos de campo.</w:t>
      </w:r>
    </w:p>
    <w:p>
      <w:pPr>
        <w:pStyle w:val="TableNumber"/>
        <w:keepNext/>
        <w:ind w:firstLine="0" w:left="0"/>
        <w:jc w:val="left"/>
      </w:pPr>
      <w:r>
        <w:rPr>
          <w:rFonts w:ascii="Times New Roman" w:hAnsi="Times New Roman" w:cs="Times New Roman" w:eastAsia="Times New Roman"/>
          <w:b/>
          <w:bCs/>
          <w:sz w:val="20"/>
          <w:szCs w:val="20"/>
        </w:rPr>
        <w:t xml:space="preserve">Figura 3</w:t>
      </w:r>
    </w:p>
    <w:p>
      <w:pPr>
        <w:pStyle w:val="ImageCaption"/>
        <w:keepNext/>
        <w:ind w:firstLine="0" w:left="0"/>
        <w:jc w:val="left"/>
      </w:pPr>
      <w:r>
        <w:rPr>
          <w:rFonts w:ascii="Times New Roman" w:hAnsi="Times New Roman" w:cs="Times New Roman" w:eastAsia="Times New Roman"/>
          <w:i/>
          <w:iCs/>
          <w:sz w:val="20"/>
          <w:szCs w:val="20"/>
        </w:rPr>
        <w:t xml:space="preserve">Distribución del Uso y Aptitud del Suelo en Torata (Presión Agropecuaria)</w:t>
      </w:r>
    </w:p>
    <w:p>
      <w:pPr>
        <w:pStyle w:val="CaptionedFigure"/>
        <w:ind w:firstLine="0" w:left="0"/>
        <w:jc w:val="center"/>
      </w:pPr>
      <w:r>
        <w:rPr>
          <w:rFonts w:ascii="Times New Roman" w:hAnsi="Times New Roman" w:cs="Times New Roman" w:eastAsia="Times New Roman"/>
        </w:rPr>
        <w:drawing>
          <wp:inline>
            <wp:extent cx="4000500" cy="2461846"/>
            <wp:effectExtent b="0" l="0" r="0" t="0"/>
            <wp:docPr descr="" title="" id="45" name="Picture"/>
            <a:graphic>
              <a:graphicData uri="http://schemas.openxmlformats.org/drawingml/2006/picture">
                <pic:pic>
                  <pic:nvPicPr>
                    <pic:cNvPr descr="asset/grafico_suelo_torata.png" id="46" name="Picture"/>
                    <pic:cNvPicPr>
                      <a:picLocks noChangeArrowheads="1" noChangeAspect="1"/>
                    </pic:cNvPicPr>
                  </pic:nvPicPr>
                  <pic:blipFill>
                    <a:blip r:embed="rId44"/>
                    <a:stretch>
                      <a:fillRect/>
                    </a:stretch>
                  </pic:blipFill>
                  <pic:spPr bwMode="auto">
                    <a:xfrm>
                      <a:off x="0" y="0"/>
                      <a:ext cx="4000500" cy="2461846"/>
                    </a:xfrm>
                    <a:prstGeom prst="rect">
                      <a:avLst/>
                    </a:prstGeom>
                    <a:noFill/>
                    <a:ln w="9525">
                      <a:noFill/>
                      <a:headEnd/>
                      <a:tailEnd/>
                    </a:ln>
                  </pic:spPr>
                </pic:pic>
              </a:graphicData>
            </a:graphic>
          </wp:inline>
        </w:drawing>
      </w:r>
    </w:p>
    <w:p>
      <w:pPr>
        <w:pStyle w:val="BodyText"/>
      </w:pPr>
      <w:r>
        <w:rPr>
          <w:rFonts w:ascii="Times New Roman" w:hAnsi="Times New Roman" w:cs="Times New Roman" w:eastAsia="Times New Roman"/>
        </w:rPr>
        <w:t xml:space="preserve"> </w:t>
      </w:r>
    </w:p>
    <w:p>
      <w:pPr>
        <w:pStyle w:val="TableNumber"/>
        <w:keepNext/>
        <w:ind w:firstLine="0" w:left="0"/>
        <w:jc w:val="left"/>
      </w:pPr>
      <w:r>
        <w:rPr>
          <w:rFonts w:ascii="Times New Roman" w:hAnsi="Times New Roman" w:cs="Times New Roman" w:eastAsia="Times New Roman"/>
          <w:b/>
          <w:bCs/>
          <w:sz w:val="20"/>
          <w:szCs w:val="20"/>
        </w:rPr>
        <w:t xml:space="preserve">Figura 4</w:t>
      </w:r>
    </w:p>
    <w:p>
      <w:pPr>
        <w:pStyle w:val="ImageCaption"/>
        <w:keepNext/>
        <w:ind w:firstLine="0" w:left="0"/>
        <w:jc w:val="left"/>
      </w:pPr>
      <w:r>
        <w:rPr>
          <w:rFonts w:ascii="Times New Roman" w:hAnsi="Times New Roman" w:cs="Times New Roman" w:eastAsia="Times New Roman"/>
          <w:i/>
          <w:iCs/>
          <w:sz w:val="20"/>
          <w:szCs w:val="20"/>
        </w:rPr>
        <w:t xml:space="preserve">Brecha Territorial de Pobreza por NBI en Torata</w:t>
      </w:r>
    </w:p>
    <w:p>
      <w:pPr>
        <w:pStyle w:val="CaptionedFigure"/>
        <w:ind w:firstLine="0" w:left="0"/>
        <w:jc w:val="center"/>
      </w:pPr>
      <w:r>
        <w:rPr>
          <w:rFonts w:ascii="Times New Roman" w:hAnsi="Times New Roman" w:cs="Times New Roman" w:eastAsia="Times New Roman"/>
        </w:rPr>
        <w:drawing>
          <wp:inline>
            <wp:extent cx="4267200" cy="2316480"/>
            <wp:effectExtent b="0" l="0" r="0" t="0"/>
            <wp:docPr descr="" title="" id="49" name="Picture"/>
            <a:graphic>
              <a:graphicData uri="http://schemas.openxmlformats.org/drawingml/2006/picture">
                <pic:pic>
                  <pic:nvPicPr>
                    <pic:cNvPr descr="asset/grafico_nbi_torata.png" id="50" name="Picture"/>
                    <pic:cNvPicPr>
                      <a:picLocks noChangeArrowheads="1" noChangeAspect="1"/>
                    </pic:cNvPicPr>
                  </pic:nvPicPr>
                  <pic:blipFill>
                    <a:blip r:embed="rId48"/>
                    <a:stretch>
                      <a:fillRect/>
                    </a:stretch>
                  </pic:blipFill>
                  <pic:spPr bwMode="auto">
                    <a:xfrm>
                      <a:off x="0" y="0"/>
                      <a:ext cx="4267200" cy="2316480"/>
                    </a:xfrm>
                    <a:prstGeom prst="rect">
                      <a:avLst/>
                    </a:prstGeom>
                    <a:noFill/>
                    <a:ln w="9525">
                      <a:noFill/>
                      <a:headEnd/>
                      <a:tailEnd/>
                    </a:ln>
                  </pic:spPr>
                </pic:pic>
              </a:graphicData>
            </a:graphic>
          </wp:inline>
        </w:drawing>
      </w:r>
    </w:p>
    <w:bookmarkEnd w:id="52"/>
    <w:bookmarkEnd w:id="53"/>
    <w:bookmarkStart w:id="60" w:name="análisis-de-oferta-y-demanda"/>
    <w:p>
      <w:pPr>
        <w:pStyle w:val="Heading2"/>
      </w:pPr>
      <w:r>
        <w:rPr>
          <w:rFonts w:ascii="Times New Roman" w:hAnsi="Times New Roman" w:cs="Times New Roman" w:eastAsia="Times New Roman"/>
          <w:b/>
          <w:bCs/>
        </w:rPr>
        <w:t xml:space="preserve">2.4 Análisis de oferta y demanda</w:t>
      </w:r>
    </w:p>
    <w:bookmarkStart w:id="56" w:name="demanda"/>
    <w:p>
      <w:pPr>
        <w:pStyle w:val="Heading3"/>
      </w:pPr>
      <w:r>
        <w:rPr>
          <w:rFonts w:ascii="Times New Roman" w:hAnsi="Times New Roman" w:cs="Times New Roman" w:eastAsia="Times New Roman"/>
          <w:b/>
          <w:bCs/>
        </w:rPr>
        <w:t xml:space="preserve">2.4.1 Demanda</w:t>
      </w:r>
    </w:p>
    <w:p>
      <w:pPr>
        <w:pStyle w:val="FirstParagraph"/>
      </w:pPr>
      <w:r>
        <w:rPr>
          <w:rFonts w:ascii="Times New Roman" w:hAnsi="Times New Roman" w:cs="Times New Roman" w:eastAsia="Times New Roman"/>
        </w:rPr>
        <w:t xml:space="preserve">La demanda de conectividad vial corresponde al flujo continuo de productores agropecuarios, familias rurales, transportistas de carga liviana y pesada, y visitantes de recreación que requieren cruzar de manera permanente sobre el cauce del río Santa Rosa entre los sectores productivos de El Guayabo, La Chilca, Sabayán y El Playón hacia la cabecera parroquial de Torata, la red arterial cantonal de Santa Rosa y los mercados de la provincia de El Oro.</w:t>
      </w:r>
    </w:p>
    <w:p>
      <w:pPr>
        <w:pStyle w:val="BodyText"/>
      </w:pPr>
      <w:r>
        <w:rPr>
          <w:rFonts w:ascii="Times New Roman" w:hAnsi="Times New Roman" w:cs="Times New Roman" w:eastAsia="Times New Roman"/>
        </w:rPr>
        <w:t xml:space="preserve">En la situación actual sin proyecto, el Tráfico Promedio Diario Anual (TPDA) en el paso sobre el río Santa Rosa alcanza 60 vehículos por día en época seca (42 camionetas y vehículos livianos de transporte agropecuario y pasajeros, y 18 camiones medianos y lecheros). Asimismo, el volumen de carga pecuaria transportada promedia 3.650 litros diarios de leche cruda y 45 quintales semanales de productos agrícolas.</w:t>
      </w:r>
    </w:p>
    <w:bookmarkStart w:id="55" w:name="X5e00afec87c4529ca826172594fc233a08ae21a"/>
    <w:p>
      <w:pPr>
        <w:pStyle w:val="Heading4"/>
      </w:pPr>
      <w:r>
        <w:rPr>
          <w:rFonts w:ascii="Times New Roman" w:hAnsi="Times New Roman" w:cs="Times New Roman" w:eastAsia="Times New Roman"/>
          <w:b/>
          <w:bCs/>
        </w:rPr>
        <w:t xml:space="preserve">2.4.1.1 Criterios para la determinación y proyección de la demanda</w:t>
      </w:r>
    </w:p>
    <w:p>
      <w:pPr>
        <w:pStyle w:val="FirstParagraph"/>
      </w:pPr>
      <w:r>
        <w:rPr>
          <w:rFonts w:ascii="Times New Roman" w:hAnsi="Times New Roman" w:cs="Times New Roman" w:eastAsia="Times New Roman"/>
        </w:rPr>
        <w:t xml:space="preserve">Para determinar y proyectar la demanda a lo largo del horizonte de evaluación del proyecto, se establecieron con rigor técnico los siguientes criterios fundamentales:</w:t>
      </w:r>
    </w:p>
    <w:p>
      <w:pPr>
        <w:pStyle w:val="Compact"/>
        <w:numPr>
          <w:ilvl w:val="0"/>
          <w:numId w:val="1005"/>
        </w:numPr>
      </w:pPr>
      <w:r>
        <w:rPr>
          <w:rFonts w:ascii="Times New Roman" w:hAnsi="Times New Roman" w:cs="Times New Roman" w:eastAsia="Times New Roman"/>
          <w:b/>
          <w:bCs/>
        </w:rPr>
        <w:t xml:space="preserve">Población de referencia:</w:t>
      </w:r>
      <w:r>
        <w:rPr>
          <w:rFonts w:ascii="Times New Roman" w:hAnsi="Times New Roman" w:cs="Times New Roman" w:eastAsia="Times New Roman"/>
        </w:rPr>
        <w:t xml:space="preserve"> </w:t>
      </w:r>
      <w:r>
        <w:rPr>
          <w:rFonts w:ascii="Times New Roman" w:hAnsi="Times New Roman" w:cs="Times New Roman" w:eastAsia="Times New Roman"/>
        </w:rPr>
        <w:t xml:space="preserve">Corresponde a los</w:t>
      </w:r>
      <w:r>
        <w:rPr>
          <w:rFonts w:ascii="Times New Roman" w:hAnsi="Times New Roman" w:cs="Times New Roman" w:eastAsia="Times New Roman"/>
        </w:rPr>
        <w:t xml:space="preserve"> </w:t>
      </w:r>
      <w:r>
        <w:rPr>
          <w:rFonts w:ascii="Times New Roman" w:hAnsi="Times New Roman" w:cs="Times New Roman" w:eastAsia="Times New Roman"/>
          <w:b/>
          <w:bCs/>
        </w:rPr>
        <w:t xml:space="preserve">714.592 habitantes</w:t>
      </w:r>
      <w:r>
        <w:rPr>
          <w:rFonts w:ascii="Times New Roman" w:hAnsi="Times New Roman" w:cs="Times New Roman" w:eastAsia="Times New Roman"/>
        </w:rPr>
        <w:t xml:space="preserve"> </w:t>
      </w:r>
      <w:r>
        <w:rPr>
          <w:rFonts w:ascii="Times New Roman" w:hAnsi="Times New Roman" w:cs="Times New Roman" w:eastAsia="Times New Roman"/>
        </w:rPr>
        <w:t xml:space="preserve">de la</w:t>
      </w:r>
      <w:r>
        <w:rPr>
          <w:rFonts w:ascii="Times New Roman" w:hAnsi="Times New Roman" w:cs="Times New Roman" w:eastAsia="Times New Roman"/>
        </w:rPr>
        <w:t xml:space="preserve"> </w:t>
      </w:r>
      <w:r>
        <w:rPr>
          <w:rFonts w:ascii="Times New Roman" w:hAnsi="Times New Roman" w:cs="Times New Roman" w:eastAsia="Times New Roman"/>
          <w:b/>
          <w:bCs/>
        </w:rPr>
        <w:t xml:space="preserve">Provincia de El Oro</w:t>
      </w:r>
      <w:r>
        <w:rPr>
          <w:rFonts w:ascii="Times New Roman" w:hAnsi="Times New Roman" w:cs="Times New Roman" w:eastAsia="Times New Roman"/>
        </w:rPr>
        <w:t xml:space="preserve"> </w:t>
      </w:r>
      <w:r>
        <w:rPr>
          <w:rFonts w:ascii="Times New Roman" w:hAnsi="Times New Roman" w:cs="Times New Roman" w:eastAsia="Times New Roman"/>
        </w:rPr>
        <w:t xml:space="preserve">registrados en el Censo de Población y Vivienda INEC 2022</w:t>
      </w:r>
      <w:r>
        <w:rPr>
          <w:rFonts w:ascii="Times New Roman" w:hAnsi="Times New Roman" w:cs="Times New Roman" w:eastAsia="Times New Roman"/>
        </w:rPr>
        <w:t xml:space="preserve"> </w:t>
      </w:r>
      <w:r>
        <w:rPr>
          <w:rFonts w:ascii="Times New Roman" w:hAnsi="Times New Roman" w:cs="Times New Roman" w:eastAsia="Times New Roman"/>
        </w:rPr>
        <w:t xml:space="preserve">Instituto Nacional de Estadística y Censos (</w:t>
      </w:r>
      <w:hyperlink w:anchor="ref-inec_censo_2022">
        <w:r>
          <w:rPr>
            <w:rStyle w:val="Hyperlink"/>
          </w:rPr>
          <w:t xml:space="preserve">2023</w:t>
        </w:r>
      </w:hyperlink>
      <w:r>
        <w:rPr>
          <w:rFonts w:ascii="Times New Roman" w:hAnsi="Times New Roman" w:cs="Times New Roman" w:eastAsia="Times New Roman"/>
        </w:rPr>
        <w:t xml:space="preserve">)</w:t>
      </w:r>
      <w:r>
        <w:rPr>
          <w:rFonts w:ascii="Times New Roman" w:hAnsi="Times New Roman" w:cs="Times New Roman" w:eastAsia="Times New Roman"/>
        </w:rPr>
        <w:t xml:space="preserve">, espacio macro-territorial en el cual se inserta el sistema vial rural y el flujo económico agroalimentario y turístico intercantonal.</w:t>
      </w:r>
    </w:p>
    <w:p>
      <w:pPr>
        <w:pStyle w:val="Compact"/>
        <w:numPr>
          <w:ilvl w:val="0"/>
          <w:numId w:val="1005"/>
        </w:numPr>
      </w:pPr>
      <w:r>
        <w:rPr>
          <w:rFonts w:ascii="Times New Roman" w:hAnsi="Times New Roman" w:cs="Times New Roman" w:eastAsia="Times New Roman"/>
          <w:b/>
          <w:bCs/>
        </w:rPr>
        <w:t xml:space="preserve">Vida útil del proyecto:</w:t>
      </w:r>
      <w:r>
        <w:rPr>
          <w:rFonts w:ascii="Times New Roman" w:hAnsi="Times New Roman" w:cs="Times New Roman" w:eastAsia="Times New Roman"/>
        </w:rPr>
        <w:t xml:space="preserve"> </w:t>
      </w:r>
      <w:r>
        <w:rPr>
          <w:rFonts w:ascii="Times New Roman" w:hAnsi="Times New Roman" w:cs="Times New Roman" w:eastAsia="Times New Roman"/>
        </w:rPr>
        <w:t xml:space="preserve">Se adopta un horizonte de evaluación operativa de</w:t>
      </w:r>
      <w:r>
        <w:rPr>
          <w:rFonts w:ascii="Times New Roman" w:hAnsi="Times New Roman" w:cs="Times New Roman" w:eastAsia="Times New Roman"/>
        </w:rPr>
        <w:t xml:space="preserve"> </w:t>
      </w:r>
      <w:r>
        <w:rPr>
          <w:rFonts w:ascii="Times New Roman" w:hAnsi="Times New Roman" w:cs="Times New Roman" w:eastAsia="Times New Roman"/>
          <w:b/>
          <w:bCs/>
        </w:rPr>
        <w:t xml:space="preserve">10 años</w:t>
      </w:r>
      <w:r>
        <w:rPr>
          <w:rFonts w:ascii="Times New Roman" w:hAnsi="Times New Roman" w:cs="Times New Roman" w:eastAsia="Times New Roman"/>
        </w:rPr>
        <w:t xml:space="preserve"> </w:t>
      </w:r>
      <w:r>
        <w:rPr>
          <w:rFonts w:ascii="Times New Roman" w:hAnsi="Times New Roman" w:cs="Times New Roman" w:eastAsia="Times New Roman"/>
        </w:rPr>
        <w:t xml:space="preserve">(horizonte base estándar de inversión y amortización inicial 2026–2036, con vida útil técnica de la estructura Bailey de hasta 20 años sujeta a confirmación por fiscalización vial del MTOP y Prefectura de El Oro).</w:t>
      </w:r>
    </w:p>
    <w:p>
      <w:pPr>
        <w:pStyle w:val="Compact"/>
        <w:numPr>
          <w:ilvl w:val="0"/>
          <w:numId w:val="1005"/>
        </w:numPr>
      </w:pPr>
      <w:r>
        <w:rPr>
          <w:rFonts w:ascii="Times New Roman" w:hAnsi="Times New Roman" w:cs="Times New Roman" w:eastAsia="Times New Roman"/>
          <w:b/>
          <w:bCs/>
        </w:rPr>
        <w:t xml:space="preserve">Tasa de crecimiento demográfico y vehicular:</w:t>
      </w:r>
      <w:r>
        <w:rPr>
          <w:rFonts w:ascii="Times New Roman" w:hAnsi="Times New Roman" w:cs="Times New Roman" w:eastAsia="Times New Roman"/>
        </w:rPr>
        <w:t xml:space="preserve"> </w:t>
      </w:r>
      <w:r>
        <w:rPr>
          <w:rFonts w:ascii="Times New Roman" w:hAnsi="Times New Roman" w:cs="Times New Roman" w:eastAsia="Times New Roman"/>
        </w:rPr>
        <w:t xml:space="preserve">Se aplica la tasa anual de crecimiento intercensal oficial del 0,94 % para la proyección poblacional parroquial, complementada con una tasa anual del 2,50 % para la proyección del tráfico vehicular rural derivada de la expansión agropecuaria y la dinamización del turismo recreativo.</w:t>
      </w:r>
    </w:p>
    <w:p>
      <w:pPr>
        <w:pStyle w:val="Compact"/>
        <w:numPr>
          <w:ilvl w:val="0"/>
          <w:numId w:val="1005"/>
        </w:numPr>
      </w:pPr>
      <w:r>
        <w:rPr>
          <w:rFonts w:ascii="Times New Roman" w:hAnsi="Times New Roman" w:cs="Times New Roman" w:eastAsia="Times New Roman"/>
          <w:b/>
          <w:bCs/>
        </w:rPr>
        <w:t xml:space="preserve">Año base del proyecto:</w:t>
      </w:r>
      <w:r>
        <w:rPr>
          <w:rFonts w:ascii="Times New Roman" w:hAnsi="Times New Roman" w:cs="Times New Roman" w:eastAsia="Times New Roman"/>
        </w:rPr>
        <w:t xml:space="preserve"> </w:t>
      </w:r>
      <w:r>
        <w:rPr>
          <w:rFonts w:ascii="Times New Roman" w:hAnsi="Times New Roman" w:cs="Times New Roman" w:eastAsia="Times New Roman"/>
        </w:rPr>
        <w:t xml:space="preserve">Se define formalmente el año 2026 como el</w:t>
      </w:r>
      <w:r>
        <w:rPr>
          <w:rFonts w:ascii="Times New Roman" w:hAnsi="Times New Roman" w:cs="Times New Roman" w:eastAsia="Times New Roman"/>
        </w:rPr>
        <w:t xml:space="preserve"> </w:t>
      </w:r>
      <w:r>
        <w:rPr>
          <w:rFonts w:ascii="Times New Roman" w:hAnsi="Times New Roman" w:cs="Times New Roman" w:eastAsia="Times New Roman"/>
          <w:b/>
          <w:bCs/>
        </w:rPr>
        <w:t xml:space="preserve">Año 0</w:t>
      </w:r>
      <w:r>
        <w:rPr>
          <w:rFonts w:ascii="Times New Roman" w:hAnsi="Times New Roman" w:cs="Times New Roman" w:eastAsia="Times New Roman"/>
        </w:rPr>
        <w:t xml:space="preserve"> </w:t>
      </w:r>
      <w:r>
        <w:rPr>
          <w:rFonts w:ascii="Times New Roman" w:hAnsi="Times New Roman" w:cs="Times New Roman" w:eastAsia="Times New Roman"/>
        </w:rPr>
        <w:t xml:space="preserve">(año base de ejecución de obras civiles e instalación estructural), empezando las operaciones de conectividad plena y el conteo de beneficios a partir del Año 1 (2027), dado que en el momento actual la transitabilidad formal y oferta segura sobre el afluente arrancan desde cero.</w:t>
      </w:r>
    </w:p>
    <w:p>
      <w:pPr>
        <w:pStyle w:val="FirstParagraph"/>
      </w:pPr>
      <w:r>
        <w:rPr>
          <w:rFonts w:ascii="Times New Roman" w:hAnsi="Times New Roman" w:cs="Times New Roman" w:eastAsia="Times New Roman"/>
        </w:rPr>
        <w:t xml:space="preserve">Con base en estos criterios y parámetros de cálculo, la proyección de demanda demográfica, productiva y de tráfico vehicular para el horizonte de 10 años (2026–2036) se detalla en la</w:t>
      </w:r>
      <w:r>
        <w:rPr>
          <w:rFonts w:ascii="Times New Roman" w:hAnsi="Times New Roman" w:cs="Times New Roman" w:eastAsia="Times New Roman"/>
        </w:rPr>
        <w:t xml:space="preserve"> </w:t>
      </w:r>
      <w:hyperlink w:anchor="tbl-proyecciones-demanda">
        <w:r>
          <w:rPr>
            <w:rStyle w:val="Hyperlink"/>
          </w:rPr>
          <w:t xml:space="preserve">Tabla 4</w:t>
        </w:r>
      </w:hyperlink>
      <w:r>
        <w:rPr>
          <w:rFonts w:ascii="Times New Roman" w:hAnsi="Times New Roman" w:cs="Times New Roman" w:eastAsia="Times New Roman"/>
        </w:rPr>
        <w:t xml:space="preserve">.</w:t>
      </w:r>
    </w:p>
    <w:p>
      <w:pPr>
        <w:pStyle w:val="TableNumber"/>
        <w:keepNext/>
        <w:ind w:firstLine="0" w:left="0"/>
        <w:jc w:val="left"/>
      </w:pPr>
      <w:r>
        <w:rPr>
          <w:rFonts w:ascii="Times New Roman" w:hAnsi="Times New Roman" w:cs="Times New Roman" w:eastAsia="Times New Roman"/>
          <w:b/>
          <w:bCs/>
          <w:sz w:val="20"/>
          <w:szCs w:val="20"/>
        </w:rPr>
        <w:t xml:space="preserve">Tabla 4</w:t>
      </w:r>
    </w:p>
    <w:p>
      <w:pPr>
        <w:pStyle w:val="TableCaption"/>
        <w:keepNext/>
        <w:ind w:firstLine="0" w:left="0"/>
        <w:jc w:val="left"/>
      </w:pPr>
      <w:r>
        <w:rPr>
          <w:rFonts w:ascii="Times New Roman" w:hAnsi="Times New Roman" w:cs="Times New Roman" w:eastAsia="Times New Roman"/>
          <w:i/>
          <w:iCs/>
          <w:sz w:val="20"/>
          <w:szCs w:val="20"/>
        </w:rPr>
        <w:t xml:space="preserve">Proyecciones demográficas y de demanda de tráfico vehicular (Horizonte 10 años: 2026-2036)</w:t>
      </w:r>
    </w:p>
    <w:tbl>
      <w:tblPr>
        <w:tblStyle w:val="Table"/>
        <w:tblLayout w:type="fixed"/>
        <w:tblLook w:firstRow="1" w:lastRow="0" w:firstColumn="0" w:lastColumn="0" w:noHBand="0" w:noVBand="0" w:val="0020"/>
        <w:tblInd w:w="0" w:type="dxa"/>
        <w:tblW w:w="5000" w:type="pct"/>
        <w:tblBorders>
          <w:top w:val="single" w:sz="8" w:space="0" w:color="000000"/>
          <w:bottom w:val="single" w:sz="8" w:space="0" w:color="000000"/>
          <w:left w:val="none" w:sz="0" w:space="0" w:color="000000"/>
          <w:right w:val="none" w:sz="0" w:space="0" w:color="000000"/>
          <w:insideH w:val="none" w:sz="0" w:space="0" w:color="000000"/>
          <w:insideV w:val="none" w:sz="0" w:space="0" w:color="000000"/>
        </w:tblBorders>
      </w:tblPr>
      <w:tblGrid>
        <w:gridCol w:w="1980"/>
        <w:gridCol w:w="1980"/>
        <w:gridCol w:w="1980"/>
        <w:gridCol w:w="1980"/>
      </w:tblGrid>
      <w:tr>
        <w:trPr>
          <w:tblHeader w:val="on"/>
        </w:trPr>
        <w:tc>
          <w:tcPr>
            <w:tcBorders>
              <w:top w:val="single" w:sz="8" w:space="0" w:color="000000"/>
              <w:bottom w:val="single" w:sz="6" w:space="0" w:color="000000"/>
            </w:tcBorders>
          </w:tcPr>
          <w:p>
            <w:pPr>
              <w:pStyle w:val="TableHeader"/>
              <w:keepNext/>
              <w:ind w:firstLine="0" w:left="0"/>
              <w:jc w:val="left"/>
            </w:pPr>
            <w:r>
              <w:rPr>
                <w:rFonts w:ascii="Times New Roman" w:hAnsi="Times New Roman" w:cs="Times New Roman" w:eastAsia="Times New Roman"/>
                <w:sz w:val="20"/>
                <w:szCs w:val="20"/>
              </w:rPr>
              <w:t xml:space="preserve">Variable / Indicador Proyectado</w:t>
            </w:r>
          </w:p>
        </w:tc>
        <w:tc>
          <w:tcPr>
            <w:tcBorders>
              <w:top w:val="single" w:sz="8" w:space="0" w:color="000000"/>
              <w:bottom w:val="single" w:sz="6" w:space="0" w:color="000000"/>
            </w:tcBorders>
          </w:tcPr>
          <w:p>
            <w:pPr>
              <w:pStyle w:val="TableHeader"/>
              <w:keepNext/>
              <w:ind w:firstLine="0" w:left="0"/>
              <w:jc w:val="right"/>
            </w:pPr>
            <w:r>
              <w:rPr>
                <w:rFonts w:ascii="Times New Roman" w:hAnsi="Times New Roman" w:cs="Times New Roman" w:eastAsia="Times New Roman"/>
                <w:sz w:val="20"/>
                <w:szCs w:val="20"/>
              </w:rPr>
              <w:t xml:space="preserve">Año 0 (2026)</w:t>
            </w:r>
          </w:p>
        </w:tc>
        <w:tc>
          <w:tcPr>
            <w:tcBorders>
              <w:top w:val="single" w:sz="8" w:space="0" w:color="000000"/>
              <w:bottom w:val="single" w:sz="6" w:space="0" w:color="000000"/>
            </w:tcBorders>
          </w:tcPr>
          <w:p>
            <w:pPr>
              <w:pStyle w:val="TableHeader"/>
              <w:keepNext/>
              <w:ind w:firstLine="0" w:left="0"/>
              <w:jc w:val="right"/>
            </w:pPr>
            <w:r>
              <w:rPr>
                <w:rFonts w:ascii="Times New Roman" w:hAnsi="Times New Roman" w:cs="Times New Roman" w:eastAsia="Times New Roman"/>
                <w:sz w:val="20"/>
                <w:szCs w:val="20"/>
              </w:rPr>
              <w:t xml:space="preserve">Año 5 (2031)</w:t>
            </w:r>
          </w:p>
        </w:tc>
        <w:tc>
          <w:tcPr>
            <w:tcBorders>
              <w:top w:val="single" w:sz="8" w:space="0" w:color="000000"/>
              <w:bottom w:val="single" w:sz="6" w:space="0" w:color="000000"/>
            </w:tcBorders>
          </w:tcPr>
          <w:p>
            <w:pPr>
              <w:pStyle w:val="TableHeader"/>
              <w:keepNext/>
              <w:ind w:firstLine="0" w:left="0"/>
              <w:jc w:val="right"/>
            </w:pPr>
            <w:r>
              <w:rPr>
                <w:rFonts w:ascii="Times New Roman" w:hAnsi="Times New Roman" w:cs="Times New Roman" w:eastAsia="Times New Roman"/>
                <w:sz w:val="20"/>
                <w:szCs w:val="20"/>
              </w:rPr>
              <w:t xml:space="preserve">Año 10 (2036)</w:t>
            </w:r>
          </w:p>
        </w:tc>
      </w:tr>
      <w:tr>
        <w:tc>
          <w:tcPr/>
          <w:p>
            <w:pPr>
              <w:pStyle w:val="TableText"/>
              <w:ind w:firstLine="0" w:left="0"/>
              <w:jc w:val="left"/>
            </w:pPr>
            <w:r>
              <w:rPr>
                <w:rFonts w:ascii="Times New Roman" w:hAnsi="Times New Roman" w:cs="Times New Roman" w:eastAsia="Times New Roman"/>
                <w:sz w:val="20"/>
                <w:szCs w:val="20"/>
              </w:rPr>
              <w:t xml:space="preserve">Población Parroquial Total (hab.)</w:t>
            </w:r>
          </w:p>
        </w:tc>
        <w:tc>
          <w:tcPr/>
          <w:p>
            <w:pPr>
              <w:pStyle w:val="TableText"/>
              <w:ind w:firstLine="0" w:left="0"/>
              <w:jc w:val="right"/>
            </w:pPr>
            <w:r>
              <w:rPr>
                <w:rFonts w:ascii="Times New Roman" w:hAnsi="Times New Roman" w:cs="Times New Roman" w:eastAsia="Times New Roman"/>
                <w:sz w:val="20"/>
                <w:szCs w:val="20"/>
              </w:rPr>
              <w:t xml:space="preserve">2.257</w:t>
            </w:r>
          </w:p>
        </w:tc>
        <w:tc>
          <w:tcPr/>
          <w:p>
            <w:pPr>
              <w:pStyle w:val="TableText"/>
              <w:ind w:firstLine="0" w:left="0"/>
              <w:jc w:val="right"/>
            </w:pPr>
            <w:r>
              <w:rPr>
                <w:rFonts w:ascii="Times New Roman" w:hAnsi="Times New Roman" w:cs="Times New Roman" w:eastAsia="Times New Roman"/>
                <w:sz w:val="20"/>
                <w:szCs w:val="20"/>
              </w:rPr>
              <w:t xml:space="preserve">2.365</w:t>
            </w:r>
          </w:p>
        </w:tc>
        <w:tc>
          <w:tcPr/>
          <w:p>
            <w:pPr>
              <w:pStyle w:val="TableText"/>
              <w:ind w:firstLine="0" w:left="0"/>
              <w:jc w:val="right"/>
            </w:pPr>
            <w:r>
              <w:rPr>
                <w:rFonts w:ascii="Times New Roman" w:hAnsi="Times New Roman" w:cs="Times New Roman" w:eastAsia="Times New Roman"/>
                <w:sz w:val="20"/>
                <w:szCs w:val="20"/>
              </w:rPr>
              <w:t xml:space="preserve">2.479</w:t>
            </w:r>
          </w:p>
        </w:tc>
      </w:tr>
      <w:tr>
        <w:tc>
          <w:tcPr/>
          <w:p>
            <w:pPr>
              <w:pStyle w:val="TableText"/>
              <w:ind w:firstLine="0" w:left="0"/>
              <w:jc w:val="left"/>
            </w:pPr>
            <w:r>
              <w:rPr>
                <w:rFonts w:ascii="Times New Roman" w:hAnsi="Times New Roman" w:cs="Times New Roman" w:eastAsia="Times New Roman"/>
                <w:sz w:val="20"/>
                <w:szCs w:val="20"/>
              </w:rPr>
              <w:t xml:space="preserve">Población de Productores Ribereños (hab.)</w:t>
            </w:r>
          </w:p>
        </w:tc>
        <w:tc>
          <w:tcPr/>
          <w:p>
            <w:pPr>
              <w:pStyle w:val="TableText"/>
              <w:ind w:firstLine="0" w:left="0"/>
              <w:jc w:val="right"/>
            </w:pPr>
            <w:r>
              <w:rPr>
                <w:rFonts w:ascii="Times New Roman" w:hAnsi="Times New Roman" w:cs="Times New Roman" w:eastAsia="Times New Roman"/>
                <w:sz w:val="20"/>
                <w:szCs w:val="20"/>
              </w:rPr>
              <w:t xml:space="preserve">1.328</w:t>
            </w:r>
          </w:p>
        </w:tc>
        <w:tc>
          <w:tcPr/>
          <w:p>
            <w:pPr>
              <w:pStyle w:val="TableText"/>
              <w:ind w:firstLine="0" w:left="0"/>
              <w:jc w:val="right"/>
            </w:pPr>
            <w:r>
              <w:rPr>
                <w:rFonts w:ascii="Times New Roman" w:hAnsi="Times New Roman" w:cs="Times New Roman" w:eastAsia="Times New Roman"/>
                <w:sz w:val="20"/>
                <w:szCs w:val="20"/>
              </w:rPr>
              <w:t xml:space="preserve">1.392</w:t>
            </w:r>
          </w:p>
        </w:tc>
        <w:tc>
          <w:tcPr/>
          <w:p>
            <w:pPr>
              <w:pStyle w:val="TableText"/>
              <w:ind w:firstLine="0" w:left="0"/>
              <w:jc w:val="right"/>
            </w:pPr>
            <w:r>
              <w:rPr>
                <w:rFonts w:ascii="Times New Roman" w:hAnsi="Times New Roman" w:cs="Times New Roman" w:eastAsia="Times New Roman"/>
                <w:sz w:val="20"/>
                <w:szCs w:val="20"/>
              </w:rPr>
              <w:t xml:space="preserve">1.459</w:t>
            </w:r>
          </w:p>
        </w:tc>
      </w:tr>
      <w:tr>
        <w:tc>
          <w:tcPr/>
          <w:p>
            <w:pPr>
              <w:pStyle w:val="TableText"/>
              <w:ind w:firstLine="0" w:left="0"/>
              <w:jc w:val="left"/>
            </w:pPr>
            <w:r>
              <w:rPr>
                <w:rFonts w:ascii="Times New Roman" w:hAnsi="Times New Roman" w:cs="Times New Roman" w:eastAsia="Times New Roman"/>
                <w:sz w:val="20"/>
                <w:szCs w:val="20"/>
              </w:rPr>
              <w:t xml:space="preserve">Hogares Productores Beneficiarios</w:t>
            </w:r>
          </w:p>
        </w:tc>
        <w:tc>
          <w:tcPr/>
          <w:p>
            <w:pPr>
              <w:pStyle w:val="TableText"/>
              <w:ind w:firstLine="0" w:left="0"/>
              <w:jc w:val="right"/>
            </w:pPr>
            <w:r>
              <w:rPr>
                <w:rFonts w:ascii="Times New Roman" w:hAnsi="Times New Roman" w:cs="Times New Roman" w:eastAsia="Times New Roman"/>
                <w:sz w:val="20"/>
                <w:szCs w:val="20"/>
              </w:rPr>
              <w:t xml:space="preserve">340</w:t>
            </w:r>
          </w:p>
        </w:tc>
        <w:tc>
          <w:tcPr/>
          <w:p>
            <w:pPr>
              <w:pStyle w:val="TableText"/>
              <w:ind w:firstLine="0" w:left="0"/>
              <w:jc w:val="right"/>
            </w:pPr>
            <w:r>
              <w:rPr>
                <w:rFonts w:ascii="Times New Roman" w:hAnsi="Times New Roman" w:cs="Times New Roman" w:eastAsia="Times New Roman"/>
                <w:sz w:val="20"/>
                <w:szCs w:val="20"/>
              </w:rPr>
              <w:t xml:space="preserve">356</w:t>
            </w:r>
          </w:p>
        </w:tc>
        <w:tc>
          <w:tcPr/>
          <w:p>
            <w:pPr>
              <w:pStyle w:val="TableText"/>
              <w:ind w:firstLine="0" w:left="0"/>
              <w:jc w:val="right"/>
            </w:pPr>
            <w:r>
              <w:rPr>
                <w:rFonts w:ascii="Times New Roman" w:hAnsi="Times New Roman" w:cs="Times New Roman" w:eastAsia="Times New Roman"/>
                <w:sz w:val="20"/>
                <w:szCs w:val="20"/>
              </w:rPr>
              <w:t xml:space="preserve">373</w:t>
            </w:r>
          </w:p>
        </w:tc>
      </w:tr>
      <w:tr>
        <w:tc>
          <w:tcPr/>
          <w:p>
            <w:pPr>
              <w:pStyle w:val="TableText"/>
              <w:ind w:firstLine="0" w:left="0"/>
              <w:jc w:val="left"/>
            </w:pPr>
            <w:r>
              <w:rPr>
                <w:rFonts w:ascii="Times New Roman" w:hAnsi="Times New Roman" w:cs="Times New Roman" w:eastAsia="Times New Roman"/>
                <w:sz w:val="20"/>
                <w:szCs w:val="20"/>
              </w:rPr>
              <w:t xml:space="preserve">Producción Láctea Diaria Estimada (litros)</w:t>
            </w:r>
          </w:p>
        </w:tc>
        <w:tc>
          <w:tcPr/>
          <w:p>
            <w:pPr>
              <w:pStyle w:val="TableText"/>
              <w:ind w:firstLine="0" w:left="0"/>
              <w:jc w:val="right"/>
            </w:pPr>
            <w:r>
              <w:rPr>
                <w:rFonts w:ascii="Times New Roman" w:hAnsi="Times New Roman" w:cs="Times New Roman" w:eastAsia="Times New Roman"/>
                <w:sz w:val="20"/>
                <w:szCs w:val="20"/>
              </w:rPr>
              <w:t xml:space="preserve">3.650</w:t>
            </w:r>
          </w:p>
        </w:tc>
        <w:tc>
          <w:tcPr/>
          <w:p>
            <w:pPr>
              <w:pStyle w:val="TableText"/>
              <w:ind w:firstLine="0" w:left="0"/>
              <w:jc w:val="right"/>
            </w:pPr>
            <w:r>
              <w:rPr>
                <w:rFonts w:ascii="Times New Roman" w:hAnsi="Times New Roman" w:cs="Times New Roman" w:eastAsia="Times New Roman"/>
                <w:sz w:val="20"/>
                <w:szCs w:val="20"/>
              </w:rPr>
              <w:t xml:space="preserve">4.130</w:t>
            </w:r>
          </w:p>
        </w:tc>
        <w:tc>
          <w:tcPr/>
          <w:p>
            <w:pPr>
              <w:pStyle w:val="TableText"/>
              <w:ind w:firstLine="0" w:left="0"/>
              <w:jc w:val="right"/>
            </w:pPr>
            <w:r>
              <w:rPr>
                <w:rFonts w:ascii="Times New Roman" w:hAnsi="Times New Roman" w:cs="Times New Roman" w:eastAsia="Times New Roman"/>
                <w:sz w:val="20"/>
                <w:szCs w:val="20"/>
              </w:rPr>
              <w:t xml:space="preserve">4.670</w:t>
            </w:r>
          </w:p>
        </w:tc>
      </w:tr>
      <w:tr>
        <w:tc>
          <w:tcPr/>
          <w:p>
            <w:pPr>
              <w:pStyle w:val="TableText"/>
              <w:ind w:firstLine="0" w:left="0"/>
              <w:jc w:val="left"/>
            </w:pPr>
            <w:r>
              <w:rPr>
                <w:rFonts w:ascii="Times New Roman" w:hAnsi="Times New Roman" w:cs="Times New Roman" w:eastAsia="Times New Roman"/>
                <w:sz w:val="20"/>
                <w:szCs w:val="20"/>
              </w:rPr>
              <w:t xml:space="preserve">TPDA Vehículos Ligeros (camionetas/autos)</w:t>
            </w:r>
          </w:p>
        </w:tc>
        <w:tc>
          <w:tcPr/>
          <w:p>
            <w:pPr>
              <w:pStyle w:val="TableText"/>
              <w:ind w:firstLine="0" w:left="0"/>
              <w:jc w:val="right"/>
            </w:pPr>
            <w:r>
              <w:rPr>
                <w:rFonts w:ascii="Times New Roman" w:hAnsi="Times New Roman" w:cs="Times New Roman" w:eastAsia="Times New Roman"/>
                <w:sz w:val="20"/>
                <w:szCs w:val="20"/>
              </w:rPr>
              <w:t xml:space="preserve">42</w:t>
            </w:r>
          </w:p>
        </w:tc>
        <w:tc>
          <w:tcPr/>
          <w:p>
            <w:pPr>
              <w:pStyle w:val="TableText"/>
              <w:ind w:firstLine="0" w:left="0"/>
              <w:jc w:val="right"/>
            </w:pPr>
            <w:r>
              <w:rPr>
                <w:rFonts w:ascii="Times New Roman" w:hAnsi="Times New Roman" w:cs="Times New Roman" w:eastAsia="Times New Roman"/>
                <w:sz w:val="20"/>
                <w:szCs w:val="20"/>
              </w:rPr>
              <w:t xml:space="preserve">48</w:t>
            </w:r>
          </w:p>
        </w:tc>
        <w:tc>
          <w:tcPr/>
          <w:p>
            <w:pPr>
              <w:pStyle w:val="TableText"/>
              <w:ind w:firstLine="0" w:left="0"/>
              <w:jc w:val="right"/>
            </w:pPr>
            <w:r>
              <w:rPr>
                <w:rFonts w:ascii="Times New Roman" w:hAnsi="Times New Roman" w:cs="Times New Roman" w:eastAsia="Times New Roman"/>
                <w:sz w:val="20"/>
                <w:szCs w:val="20"/>
              </w:rPr>
              <w:t xml:space="preserve">54</w:t>
            </w:r>
          </w:p>
        </w:tc>
      </w:tr>
      <w:tr>
        <w:tc>
          <w:tcPr/>
          <w:p>
            <w:pPr>
              <w:pStyle w:val="TableText"/>
              <w:ind w:firstLine="0" w:left="0"/>
              <w:jc w:val="left"/>
            </w:pPr>
            <w:r>
              <w:rPr>
                <w:rFonts w:ascii="Times New Roman" w:hAnsi="Times New Roman" w:cs="Times New Roman" w:eastAsia="Times New Roman"/>
                <w:sz w:val="20"/>
                <w:szCs w:val="20"/>
              </w:rPr>
              <w:t xml:space="preserve">TPDA Transporte Pesado (camiones lecheros/carga)</w:t>
            </w:r>
          </w:p>
        </w:tc>
        <w:tc>
          <w:tcPr/>
          <w:p>
            <w:pPr>
              <w:pStyle w:val="TableText"/>
              <w:ind w:firstLine="0" w:left="0"/>
              <w:jc w:val="right"/>
            </w:pPr>
            <w:r>
              <w:rPr>
                <w:rFonts w:ascii="Times New Roman" w:hAnsi="Times New Roman" w:cs="Times New Roman" w:eastAsia="Times New Roman"/>
                <w:sz w:val="20"/>
                <w:szCs w:val="20"/>
              </w:rPr>
              <w:t xml:space="preserve">18</w:t>
            </w:r>
          </w:p>
        </w:tc>
        <w:tc>
          <w:tcPr/>
          <w:p>
            <w:pPr>
              <w:pStyle w:val="TableText"/>
              <w:ind w:firstLine="0" w:left="0"/>
              <w:jc w:val="right"/>
            </w:pPr>
            <w:r>
              <w:rPr>
                <w:rFonts w:ascii="Times New Roman" w:hAnsi="Times New Roman" w:cs="Times New Roman" w:eastAsia="Times New Roman"/>
                <w:sz w:val="20"/>
                <w:szCs w:val="20"/>
              </w:rPr>
              <w:t xml:space="preserve">20</w:t>
            </w:r>
          </w:p>
        </w:tc>
        <w:tc>
          <w:tcPr/>
          <w:p>
            <w:pPr>
              <w:pStyle w:val="TableText"/>
              <w:ind w:firstLine="0" w:left="0"/>
              <w:jc w:val="right"/>
            </w:pPr>
            <w:r>
              <w:rPr>
                <w:rFonts w:ascii="Times New Roman" w:hAnsi="Times New Roman" w:cs="Times New Roman" w:eastAsia="Times New Roman"/>
                <w:sz w:val="20"/>
                <w:szCs w:val="20"/>
              </w:rPr>
              <w:t xml:space="preserve">23</w:t>
            </w:r>
          </w:p>
        </w:tc>
      </w:tr>
      <w:tr>
        <w:tc>
          <w:tcPr/>
          <w:p>
            <w:pPr>
              <w:pStyle w:val="TableText"/>
              <w:ind w:firstLine="0" w:left="0"/>
              <w:jc w:val="left"/>
            </w:pPr>
            <w:r>
              <w:rPr>
                <w:rFonts w:ascii="Times New Roman" w:hAnsi="Times New Roman" w:cs="Times New Roman" w:eastAsia="Times New Roman"/>
                <w:sz w:val="20"/>
                <w:szCs w:val="20"/>
              </w:rPr>
              <w:t xml:space="preserve">TPDA Total Proyectado (vehículos/día)</w:t>
            </w:r>
          </w:p>
        </w:tc>
        <w:tc>
          <w:tcPr/>
          <w:p>
            <w:pPr>
              <w:pStyle w:val="TableText"/>
              <w:ind w:firstLine="0" w:left="0"/>
              <w:jc w:val="right"/>
            </w:pPr>
            <w:r>
              <w:rPr>
                <w:rFonts w:ascii="Times New Roman" w:hAnsi="Times New Roman" w:cs="Times New Roman" w:eastAsia="Times New Roman"/>
                <w:sz w:val="20"/>
                <w:szCs w:val="20"/>
              </w:rPr>
              <w:t xml:space="preserve">60</w:t>
            </w:r>
          </w:p>
        </w:tc>
        <w:tc>
          <w:tcPr/>
          <w:p>
            <w:pPr>
              <w:pStyle w:val="TableText"/>
              <w:ind w:firstLine="0" w:left="0"/>
              <w:jc w:val="right"/>
            </w:pPr>
            <w:r>
              <w:rPr>
                <w:rFonts w:ascii="Times New Roman" w:hAnsi="Times New Roman" w:cs="Times New Roman" w:eastAsia="Times New Roman"/>
                <w:sz w:val="20"/>
                <w:szCs w:val="20"/>
              </w:rPr>
              <w:t xml:space="preserve">68</w:t>
            </w:r>
          </w:p>
        </w:tc>
        <w:tc>
          <w:tcPr/>
          <w:p>
            <w:pPr>
              <w:pStyle w:val="TableText"/>
              <w:ind w:firstLine="0" w:left="0"/>
              <w:jc w:val="right"/>
            </w:pPr>
            <w:r>
              <w:rPr>
                <w:rFonts w:ascii="Times New Roman" w:hAnsi="Times New Roman" w:cs="Times New Roman" w:eastAsia="Times New Roman"/>
                <w:sz w:val="20"/>
                <w:szCs w:val="20"/>
              </w:rPr>
              <w:t xml:space="preserve">77</w:t>
            </w:r>
          </w:p>
        </w:tc>
      </w:tr>
      <w:tr>
        <w:tc>
          <w:tcPr/>
          <w:p>
            <w:pPr>
              <w:pStyle w:val="TableText"/>
              <w:ind w:firstLine="0" w:left="0"/>
              <w:jc w:val="left"/>
            </w:pPr>
            <w:r>
              <w:rPr>
                <w:rFonts w:ascii="Times New Roman" w:hAnsi="Times New Roman" w:cs="Times New Roman" w:eastAsia="Times New Roman"/>
                <w:sz w:val="20"/>
                <w:szCs w:val="20"/>
              </w:rPr>
              <w:t xml:space="preserve">Demanda de Movilidad Rural (viajes/día)</w:t>
            </w:r>
          </w:p>
        </w:tc>
        <w:tc>
          <w:tcPr/>
          <w:p>
            <w:pPr>
              <w:pStyle w:val="TableText"/>
              <w:ind w:firstLine="0" w:left="0"/>
              <w:jc w:val="right"/>
            </w:pPr>
            <w:r>
              <w:rPr>
                <w:rFonts w:ascii="Times New Roman" w:hAnsi="Times New Roman" w:cs="Times New Roman" w:eastAsia="Times New Roman"/>
                <w:sz w:val="20"/>
                <w:szCs w:val="20"/>
              </w:rPr>
              <w:t xml:space="preserve">451</w:t>
            </w:r>
          </w:p>
        </w:tc>
        <w:tc>
          <w:tcPr/>
          <w:p>
            <w:pPr>
              <w:pStyle w:val="TableText"/>
              <w:ind w:firstLine="0" w:left="0"/>
              <w:jc w:val="right"/>
            </w:pPr>
            <w:r>
              <w:rPr>
                <w:rFonts w:ascii="Times New Roman" w:hAnsi="Times New Roman" w:cs="Times New Roman" w:eastAsia="Times New Roman"/>
                <w:sz w:val="20"/>
                <w:szCs w:val="20"/>
              </w:rPr>
              <w:t xml:space="preserve">473</w:t>
            </w:r>
          </w:p>
        </w:tc>
        <w:tc>
          <w:tcPr/>
          <w:p>
            <w:pPr>
              <w:pStyle w:val="TableText"/>
              <w:ind w:firstLine="0" w:left="0"/>
              <w:jc w:val="right"/>
            </w:pPr>
            <w:r>
              <w:rPr>
                <w:rFonts w:ascii="Times New Roman" w:hAnsi="Times New Roman" w:cs="Times New Roman" w:eastAsia="Times New Roman"/>
                <w:sz w:val="20"/>
                <w:szCs w:val="20"/>
              </w:rPr>
              <w:t xml:space="preserve">496</w:t>
            </w:r>
          </w:p>
        </w:tc>
      </w:tr>
    </w:tbl>
    <w:p>
      <w:pPr>
        <w:pStyle w:val="TableNote"/>
        <w:ind w:firstLine="0" w:left="0"/>
        <w:jc w:val="both"/>
      </w:pPr>
      <w:r>
        <w:rPr>
          <w:rFonts w:ascii="Times New Roman" w:hAnsi="Times New Roman" w:cs="Times New Roman" w:eastAsia="Times New Roman"/>
          <w:i/>
          <w:iCs/>
          <w:sz w:val="20"/>
          <w:szCs w:val="20"/>
        </w:rPr>
        <w:t xml:space="preserve">Nota.</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Elaboración técnica a partir de tasas intercensales INEC (2022), PDOT Torata (2024) y aforos de tránsito rural.</w:t>
      </w:r>
    </w:p>
    <w:bookmarkEnd w:id="55"/>
    <w:bookmarkEnd w:id="56"/>
    <w:bookmarkStart w:id="57" w:name="oferta"/>
    <w:p>
      <w:pPr>
        <w:pStyle w:val="Heading3"/>
      </w:pPr>
      <w:r>
        <w:rPr>
          <w:rFonts w:ascii="Times New Roman" w:hAnsi="Times New Roman" w:cs="Times New Roman" w:eastAsia="Times New Roman"/>
          <w:b/>
          <w:bCs/>
        </w:rPr>
        <w:t xml:space="preserve">2.4.2 Oferta</w:t>
      </w:r>
    </w:p>
    <w:p>
      <w:pPr>
        <w:pStyle w:val="FirstParagraph"/>
      </w:pPr>
      <w:r>
        <w:rPr>
          <w:rFonts w:ascii="Times New Roman" w:hAnsi="Times New Roman" w:cs="Times New Roman" w:eastAsia="Times New Roman"/>
        </w:rPr>
        <w:t xml:space="preserve">En la situación actual sin proyecto, la oferta de infraestructura vial segura y transitable sobre el río Santa Rosa es igual a cero (oferta nula). No existe ningún puente vehicular formal ni estructura definitiva en el sitio de paso; no existe ninguna construcción para el cruce, por lo que los pobladores y transeúntes deben cruzar caminando directamente por el lecho del río. Durante el periodo de estiaje (junio a noviembre), este paso a pie por el lecho natural opera precariamente alrededor de 260 días al año. Sin embargo, durante el invierno (diciembre a mayo), las crecidas del afluente rebasan los 2,50 metros de calado hidrodinámico, impidiendo por completo el cruce y dejando al sector sin transitabilidad efectiva (0 vehículos y 0 peatones) de manera recurrente a lo largo de 105 días al año.</w:t>
      </w:r>
    </w:p>
    <w:bookmarkEnd w:id="57"/>
    <w:bookmarkStart w:id="59" w:name="demanda-insatisfecha"/>
    <w:p>
      <w:pPr>
        <w:pStyle w:val="Heading3"/>
      </w:pPr>
      <w:r>
        <w:rPr>
          <w:rFonts w:ascii="Times New Roman" w:hAnsi="Times New Roman" w:cs="Times New Roman" w:eastAsia="Times New Roman"/>
          <w:b/>
          <w:bCs/>
        </w:rPr>
        <w:t xml:space="preserve">2.4.3 Demanda insatisfecha</w:t>
      </w:r>
    </w:p>
    <w:p>
      <w:pPr>
        <w:pStyle w:val="FirstParagraph"/>
      </w:pPr>
      <w:r>
        <w:rPr>
          <w:rFonts w:ascii="Times New Roman" w:hAnsi="Times New Roman" w:cs="Times New Roman" w:eastAsia="Times New Roman"/>
        </w:rPr>
        <w:t xml:space="preserve">La demanda insatisfecha se genera por la brecha estructural entre una demanda continua de movilidad agropecuaria y peatonal durante los 365 días del año y una oferta de infraestructura vial segura que en la situación actual sin proyecto es igual a cero (oferta nula). Durante el periodo de estiaje, los pobladores cruzan caminando precariamente por el lecho del río; no obstante, durante los 105 días del periodo invernal, las crecidas fluviales anegan por completo el paso e imposibilitan todo cruce pedestre y vehicular.</w:t>
      </w:r>
    </w:p>
    <w:p>
      <w:pPr>
        <w:pStyle w:val="BodyText"/>
      </w:pPr>
      <w:r>
        <w:rPr>
          <w:rFonts w:ascii="Times New Roman" w:hAnsi="Times New Roman" w:cs="Times New Roman" w:eastAsia="Times New Roman"/>
        </w:rPr>
        <w:t xml:space="preserve">A partir de la tasa anual de crecimiento intercensal del 0,94 % oficial del INEC y la población objetivo directamente afectada de los sectores ribereños (1.280 habitantes en el año base 2026), se proyecta el balance entre oferta y demanda efectiva para el horizonte de evaluación de 10 años en la</w:t>
      </w:r>
      <w:r>
        <w:rPr>
          <w:rFonts w:ascii="Times New Roman" w:hAnsi="Times New Roman" w:cs="Times New Roman" w:eastAsia="Times New Roman"/>
        </w:rPr>
        <w:t xml:space="preserve"> </w:t>
      </w:r>
      <w:hyperlink w:anchor="tbl-balance-oferta-demanda">
        <w:r>
          <w:rPr>
            <w:rStyle w:val="Hyperlink"/>
          </w:rPr>
          <w:t xml:space="preserve">Tabla 5</w:t>
        </w:r>
      </w:hyperlink>
      <w:r>
        <w:rPr>
          <w:rFonts w:ascii="Times New Roman" w:hAnsi="Times New Roman" w:cs="Times New Roman" w:eastAsia="Times New Roman"/>
        </w:rPr>
        <w:t xml:space="preserve">.</w:t>
      </w:r>
    </w:p>
    <w:p>
      <w:pPr>
        <w:pStyle w:val="TableNumber"/>
        <w:keepNext/>
        <w:ind w:firstLine="0" w:left="0"/>
        <w:jc w:val="left"/>
      </w:pPr>
      <w:r>
        <w:rPr>
          <w:rFonts w:ascii="Times New Roman" w:hAnsi="Times New Roman" w:cs="Times New Roman" w:eastAsia="Times New Roman"/>
          <w:b/>
          <w:bCs/>
          <w:sz w:val="20"/>
          <w:szCs w:val="20"/>
        </w:rPr>
        <w:t xml:space="preserve">Tabla 5</w:t>
      </w:r>
    </w:p>
    <w:p>
      <w:pPr>
        <w:pStyle w:val="TableCaption"/>
        <w:keepNext/>
        <w:ind w:firstLine="0" w:left="0"/>
        <w:jc w:val="left"/>
      </w:pPr>
      <w:r>
        <w:rPr>
          <w:rFonts w:ascii="Times New Roman" w:hAnsi="Times New Roman" w:cs="Times New Roman" w:eastAsia="Times New Roman"/>
          <w:i/>
          <w:iCs/>
          <w:sz w:val="20"/>
          <w:szCs w:val="20"/>
        </w:rPr>
        <w:t xml:space="preserve">Balance de oferta y demanda proyectada de conectividad fluvial (2026-2036)</w:t>
      </w:r>
    </w:p>
    <w:tbl>
      <w:tblPr>
        <w:tblStyle w:val="Table"/>
        <w:tblLayout w:type="fixed"/>
        <w:tblLook w:firstRow="1" w:lastRow="0" w:firstColumn="0" w:lastColumn="0" w:noHBand="0" w:noVBand="0" w:val="0020"/>
        <w:tblInd w:w="0" w:type="dxa"/>
        <w:tblW w:w="5000" w:type="pct"/>
        <w:tblBorders>
          <w:top w:val="single" w:sz="8" w:space="0" w:color="000000"/>
          <w:bottom w:val="single" w:sz="8" w:space="0" w:color="000000"/>
          <w:left w:val="none" w:sz="0" w:space="0" w:color="000000"/>
          <w:right w:val="none" w:sz="0" w:space="0" w:color="000000"/>
          <w:insideH w:val="none" w:sz="0" w:space="0" w:color="000000"/>
          <w:insideV w:val="none" w:sz="0" w:space="0" w:color="000000"/>
        </w:tblBorders>
      </w:tblPr>
      <w:tblGrid>
        <w:gridCol w:w="1980"/>
        <w:gridCol w:w="1980"/>
        <w:gridCol w:w="1980"/>
        <w:gridCol w:w="1980"/>
      </w:tblGrid>
      <w:tr>
        <w:trPr>
          <w:tblHeader w:val="on"/>
        </w:trPr>
        <w:tc>
          <w:tcPr>
            <w:tcBorders>
              <w:top w:val="single" w:sz="8" w:space="0" w:color="000000"/>
              <w:bottom w:val="single" w:sz="6" w:space="0" w:color="000000"/>
            </w:tcBorders>
          </w:tcPr>
          <w:p>
            <w:pPr>
              <w:pStyle w:val="TableHeader"/>
              <w:keepNext/>
              <w:ind w:firstLine="0" w:left="0"/>
              <w:jc w:val="left"/>
            </w:pPr>
            <w:r>
              <w:rPr>
                <w:rFonts w:ascii="Times New Roman" w:hAnsi="Times New Roman" w:cs="Times New Roman" w:eastAsia="Times New Roman"/>
                <w:sz w:val="20"/>
                <w:szCs w:val="20"/>
              </w:rPr>
              <w:t xml:space="preserve">Años</w:t>
            </w:r>
          </w:p>
        </w:tc>
        <w:tc>
          <w:tcPr>
            <w:tcBorders>
              <w:top w:val="single" w:sz="8" w:space="0" w:color="000000"/>
              <w:bottom w:val="single" w:sz="6" w:space="0" w:color="000000"/>
            </w:tcBorders>
          </w:tcPr>
          <w:p>
            <w:pPr>
              <w:pStyle w:val="TableHeader"/>
              <w:keepNext/>
              <w:ind w:firstLine="0" w:left="0"/>
              <w:jc w:val="right"/>
            </w:pPr>
            <w:r>
              <w:rPr>
                <w:rFonts w:ascii="Times New Roman" w:hAnsi="Times New Roman" w:cs="Times New Roman" w:eastAsia="Times New Roman"/>
                <w:sz w:val="20"/>
                <w:szCs w:val="20"/>
              </w:rPr>
              <w:t xml:space="preserve">Demanda efectiva (habitantes)</w:t>
            </w:r>
          </w:p>
        </w:tc>
        <w:tc>
          <w:tcPr>
            <w:tcBorders>
              <w:top w:val="single" w:sz="8" w:space="0" w:color="000000"/>
              <w:bottom w:val="single" w:sz="6" w:space="0" w:color="000000"/>
            </w:tcBorders>
          </w:tcPr>
          <w:p>
            <w:pPr>
              <w:pStyle w:val="TableHeader"/>
              <w:keepNext/>
              <w:ind w:firstLine="0" w:left="0"/>
              <w:jc w:val="right"/>
            </w:pPr>
            <w:r>
              <w:rPr>
                <w:rFonts w:ascii="Times New Roman" w:hAnsi="Times New Roman" w:cs="Times New Roman" w:eastAsia="Times New Roman"/>
                <w:sz w:val="20"/>
                <w:szCs w:val="20"/>
              </w:rPr>
              <w:t xml:space="preserve">Oferta (habitantes)</w:t>
            </w:r>
          </w:p>
        </w:tc>
        <w:tc>
          <w:tcPr>
            <w:tcBorders>
              <w:top w:val="single" w:sz="8" w:space="0" w:color="000000"/>
              <w:bottom w:val="single" w:sz="6" w:space="0" w:color="000000"/>
            </w:tcBorders>
          </w:tcPr>
          <w:p>
            <w:pPr>
              <w:pStyle w:val="TableHeader"/>
              <w:keepNext/>
              <w:ind w:firstLine="0" w:left="0"/>
              <w:jc w:val="right"/>
            </w:pPr>
            <w:r>
              <w:rPr>
                <w:rFonts w:ascii="Times New Roman" w:hAnsi="Times New Roman" w:cs="Times New Roman" w:eastAsia="Times New Roman"/>
                <w:sz w:val="20"/>
                <w:szCs w:val="20"/>
              </w:rPr>
              <w:t xml:space="preserve">Demanda insatisfecha (habitantes)</w:t>
            </w:r>
          </w:p>
        </w:tc>
      </w:tr>
      <w:tr>
        <w:tc>
          <w:tcPr/>
          <w:p>
            <w:pPr>
              <w:pStyle w:val="TableText"/>
              <w:ind w:firstLine="0" w:left="0"/>
              <w:jc w:val="left"/>
            </w:pPr>
            <w:r>
              <w:rPr>
                <w:rFonts w:ascii="Times New Roman" w:hAnsi="Times New Roman" w:cs="Times New Roman" w:eastAsia="Times New Roman"/>
                <w:sz w:val="20"/>
                <w:szCs w:val="20"/>
              </w:rPr>
              <w:t xml:space="preserve">Año 0 (2026)</w:t>
            </w:r>
          </w:p>
        </w:tc>
        <w:tc>
          <w:tcPr/>
          <w:p>
            <w:pPr>
              <w:pStyle w:val="TableText"/>
              <w:ind w:firstLine="0" w:left="0"/>
              <w:jc w:val="right"/>
            </w:pPr>
            <w:r>
              <w:rPr>
                <w:rFonts w:ascii="Times New Roman" w:hAnsi="Times New Roman" w:cs="Times New Roman" w:eastAsia="Times New Roman"/>
                <w:sz w:val="20"/>
                <w:szCs w:val="20"/>
              </w:rPr>
              <w:t xml:space="preserve">1.280</w:t>
            </w:r>
          </w:p>
        </w:tc>
        <w:tc>
          <w:tcPr/>
          <w:p>
            <w:pPr>
              <w:pStyle w:val="TableText"/>
              <w:ind w:firstLine="0" w:left="0"/>
              <w:jc w:val="right"/>
            </w:pPr>
            <w:r>
              <w:rPr>
                <w:rFonts w:ascii="Times New Roman" w:hAnsi="Times New Roman" w:cs="Times New Roman" w:eastAsia="Times New Roman"/>
                <w:sz w:val="20"/>
                <w:szCs w:val="20"/>
              </w:rPr>
              <w:t xml:space="preserve">0</w:t>
            </w:r>
          </w:p>
        </w:tc>
        <w:tc>
          <w:tcPr/>
          <w:p>
            <w:pPr>
              <w:pStyle w:val="TableText"/>
              <w:ind w:firstLine="0" w:left="0"/>
              <w:jc w:val="right"/>
            </w:pPr>
            <w:r>
              <w:rPr>
                <w:rFonts w:ascii="Times New Roman" w:hAnsi="Times New Roman" w:cs="Times New Roman" w:eastAsia="Times New Roman"/>
                <w:sz w:val="20"/>
                <w:szCs w:val="20"/>
              </w:rPr>
              <w:t xml:space="preserve">1.280</w:t>
            </w:r>
          </w:p>
        </w:tc>
      </w:tr>
      <w:tr>
        <w:tc>
          <w:tcPr/>
          <w:p>
            <w:pPr>
              <w:pStyle w:val="TableText"/>
              <w:ind w:firstLine="0" w:left="0"/>
              <w:jc w:val="left"/>
            </w:pPr>
            <w:r>
              <w:rPr>
                <w:rFonts w:ascii="Times New Roman" w:hAnsi="Times New Roman" w:cs="Times New Roman" w:eastAsia="Times New Roman"/>
                <w:sz w:val="20"/>
                <w:szCs w:val="20"/>
              </w:rPr>
              <w:t xml:space="preserve">Año 1 (2027)</w:t>
            </w:r>
          </w:p>
        </w:tc>
        <w:tc>
          <w:tcPr/>
          <w:p>
            <w:pPr>
              <w:pStyle w:val="TableText"/>
              <w:ind w:firstLine="0" w:left="0"/>
              <w:jc w:val="right"/>
            </w:pPr>
            <w:r>
              <w:rPr>
                <w:rFonts w:ascii="Times New Roman" w:hAnsi="Times New Roman" w:cs="Times New Roman" w:eastAsia="Times New Roman"/>
                <w:sz w:val="20"/>
                <w:szCs w:val="20"/>
              </w:rPr>
              <w:t xml:space="preserve">1.292</w:t>
            </w:r>
          </w:p>
        </w:tc>
        <w:tc>
          <w:tcPr/>
          <w:p>
            <w:pPr>
              <w:pStyle w:val="TableText"/>
              <w:ind w:firstLine="0" w:left="0"/>
              <w:jc w:val="right"/>
            </w:pPr>
            <w:r>
              <w:rPr>
                <w:rFonts w:ascii="Times New Roman" w:hAnsi="Times New Roman" w:cs="Times New Roman" w:eastAsia="Times New Roman"/>
                <w:sz w:val="20"/>
                <w:szCs w:val="20"/>
              </w:rPr>
              <w:t xml:space="preserve">0</w:t>
            </w:r>
          </w:p>
        </w:tc>
        <w:tc>
          <w:tcPr/>
          <w:p>
            <w:pPr>
              <w:pStyle w:val="TableText"/>
              <w:ind w:firstLine="0" w:left="0"/>
              <w:jc w:val="right"/>
            </w:pPr>
            <w:r>
              <w:rPr>
                <w:rFonts w:ascii="Times New Roman" w:hAnsi="Times New Roman" w:cs="Times New Roman" w:eastAsia="Times New Roman"/>
                <w:sz w:val="20"/>
                <w:szCs w:val="20"/>
              </w:rPr>
              <w:t xml:space="preserve">1.292</w:t>
            </w:r>
          </w:p>
        </w:tc>
      </w:tr>
      <w:tr>
        <w:tc>
          <w:tcPr/>
          <w:p>
            <w:pPr>
              <w:pStyle w:val="TableText"/>
              <w:ind w:firstLine="0" w:left="0"/>
              <w:jc w:val="left"/>
            </w:pPr>
            <w:r>
              <w:rPr>
                <w:rFonts w:ascii="Times New Roman" w:hAnsi="Times New Roman" w:cs="Times New Roman" w:eastAsia="Times New Roman"/>
                <w:sz w:val="20"/>
                <w:szCs w:val="20"/>
              </w:rPr>
              <w:t xml:space="preserve">Año 2 (2028)</w:t>
            </w:r>
          </w:p>
        </w:tc>
        <w:tc>
          <w:tcPr/>
          <w:p>
            <w:pPr>
              <w:pStyle w:val="TableText"/>
              <w:ind w:firstLine="0" w:left="0"/>
              <w:jc w:val="right"/>
            </w:pPr>
            <w:r>
              <w:rPr>
                <w:rFonts w:ascii="Times New Roman" w:hAnsi="Times New Roman" w:cs="Times New Roman" w:eastAsia="Times New Roman"/>
                <w:sz w:val="20"/>
                <w:szCs w:val="20"/>
              </w:rPr>
              <w:t xml:space="preserve">1.304</w:t>
            </w:r>
          </w:p>
        </w:tc>
        <w:tc>
          <w:tcPr/>
          <w:p>
            <w:pPr>
              <w:pStyle w:val="TableText"/>
              <w:ind w:firstLine="0" w:left="0"/>
              <w:jc w:val="right"/>
            </w:pPr>
            <w:r>
              <w:rPr>
                <w:rFonts w:ascii="Times New Roman" w:hAnsi="Times New Roman" w:cs="Times New Roman" w:eastAsia="Times New Roman"/>
                <w:sz w:val="20"/>
                <w:szCs w:val="20"/>
              </w:rPr>
              <w:t xml:space="preserve">0</w:t>
            </w:r>
          </w:p>
        </w:tc>
        <w:tc>
          <w:tcPr/>
          <w:p>
            <w:pPr>
              <w:pStyle w:val="TableText"/>
              <w:ind w:firstLine="0" w:left="0"/>
              <w:jc w:val="right"/>
            </w:pPr>
            <w:r>
              <w:rPr>
                <w:rFonts w:ascii="Times New Roman" w:hAnsi="Times New Roman" w:cs="Times New Roman" w:eastAsia="Times New Roman"/>
                <w:sz w:val="20"/>
                <w:szCs w:val="20"/>
              </w:rPr>
              <w:t xml:space="preserve">1.304</w:t>
            </w:r>
          </w:p>
        </w:tc>
      </w:tr>
      <w:tr>
        <w:tc>
          <w:tcPr/>
          <w:p>
            <w:pPr>
              <w:pStyle w:val="TableText"/>
              <w:ind w:firstLine="0" w:left="0"/>
              <w:jc w:val="left"/>
            </w:pPr>
            <w:r>
              <w:rPr>
                <w:rFonts w:ascii="Times New Roman" w:hAnsi="Times New Roman" w:cs="Times New Roman" w:eastAsia="Times New Roman"/>
                <w:sz w:val="20"/>
                <w:szCs w:val="20"/>
              </w:rPr>
              <w:t xml:space="preserve">Año 3 (2029)</w:t>
            </w:r>
          </w:p>
        </w:tc>
        <w:tc>
          <w:tcPr/>
          <w:p>
            <w:pPr>
              <w:pStyle w:val="TableText"/>
              <w:ind w:firstLine="0" w:left="0"/>
              <w:jc w:val="right"/>
            </w:pPr>
            <w:r>
              <w:rPr>
                <w:rFonts w:ascii="Times New Roman" w:hAnsi="Times New Roman" w:cs="Times New Roman" w:eastAsia="Times New Roman"/>
                <w:sz w:val="20"/>
                <w:szCs w:val="20"/>
              </w:rPr>
              <w:t xml:space="preserve">1.316</w:t>
            </w:r>
          </w:p>
        </w:tc>
        <w:tc>
          <w:tcPr/>
          <w:p>
            <w:pPr>
              <w:pStyle w:val="TableText"/>
              <w:ind w:firstLine="0" w:left="0"/>
              <w:jc w:val="right"/>
            </w:pPr>
            <w:r>
              <w:rPr>
                <w:rFonts w:ascii="Times New Roman" w:hAnsi="Times New Roman" w:cs="Times New Roman" w:eastAsia="Times New Roman"/>
                <w:sz w:val="20"/>
                <w:szCs w:val="20"/>
              </w:rPr>
              <w:t xml:space="preserve">0</w:t>
            </w:r>
          </w:p>
        </w:tc>
        <w:tc>
          <w:tcPr/>
          <w:p>
            <w:pPr>
              <w:pStyle w:val="TableText"/>
              <w:ind w:firstLine="0" w:left="0"/>
              <w:jc w:val="right"/>
            </w:pPr>
            <w:r>
              <w:rPr>
                <w:rFonts w:ascii="Times New Roman" w:hAnsi="Times New Roman" w:cs="Times New Roman" w:eastAsia="Times New Roman"/>
                <w:sz w:val="20"/>
                <w:szCs w:val="20"/>
              </w:rPr>
              <w:t xml:space="preserve">1.316</w:t>
            </w:r>
          </w:p>
        </w:tc>
      </w:tr>
      <w:tr>
        <w:tc>
          <w:tcPr/>
          <w:p>
            <w:pPr>
              <w:pStyle w:val="TableText"/>
              <w:ind w:firstLine="0" w:left="0"/>
              <w:jc w:val="left"/>
            </w:pPr>
            <w:r>
              <w:rPr>
                <w:rFonts w:ascii="Times New Roman" w:hAnsi="Times New Roman" w:cs="Times New Roman" w:eastAsia="Times New Roman"/>
                <w:sz w:val="20"/>
                <w:szCs w:val="20"/>
              </w:rPr>
              <w:t xml:space="preserve">Año 4 (2030)</w:t>
            </w:r>
          </w:p>
        </w:tc>
        <w:tc>
          <w:tcPr/>
          <w:p>
            <w:pPr>
              <w:pStyle w:val="TableText"/>
              <w:ind w:firstLine="0" w:left="0"/>
              <w:jc w:val="right"/>
            </w:pPr>
            <w:r>
              <w:rPr>
                <w:rFonts w:ascii="Times New Roman" w:hAnsi="Times New Roman" w:cs="Times New Roman" w:eastAsia="Times New Roman"/>
                <w:sz w:val="20"/>
                <w:szCs w:val="20"/>
              </w:rPr>
              <w:t xml:space="preserve">1.329</w:t>
            </w:r>
          </w:p>
        </w:tc>
        <w:tc>
          <w:tcPr/>
          <w:p>
            <w:pPr>
              <w:pStyle w:val="TableText"/>
              <w:ind w:firstLine="0" w:left="0"/>
              <w:jc w:val="right"/>
            </w:pPr>
            <w:r>
              <w:rPr>
                <w:rFonts w:ascii="Times New Roman" w:hAnsi="Times New Roman" w:cs="Times New Roman" w:eastAsia="Times New Roman"/>
                <w:sz w:val="20"/>
                <w:szCs w:val="20"/>
              </w:rPr>
              <w:t xml:space="preserve">0</w:t>
            </w:r>
          </w:p>
        </w:tc>
        <w:tc>
          <w:tcPr/>
          <w:p>
            <w:pPr>
              <w:pStyle w:val="TableText"/>
              <w:ind w:firstLine="0" w:left="0"/>
              <w:jc w:val="right"/>
            </w:pPr>
            <w:r>
              <w:rPr>
                <w:rFonts w:ascii="Times New Roman" w:hAnsi="Times New Roman" w:cs="Times New Roman" w:eastAsia="Times New Roman"/>
                <w:sz w:val="20"/>
                <w:szCs w:val="20"/>
              </w:rPr>
              <w:t xml:space="preserve">1.329</w:t>
            </w:r>
          </w:p>
        </w:tc>
      </w:tr>
      <w:tr>
        <w:tc>
          <w:tcPr/>
          <w:p>
            <w:pPr>
              <w:pStyle w:val="TableText"/>
              <w:ind w:firstLine="0" w:left="0"/>
              <w:jc w:val="left"/>
            </w:pPr>
            <w:r>
              <w:rPr>
                <w:rFonts w:ascii="Times New Roman" w:hAnsi="Times New Roman" w:cs="Times New Roman" w:eastAsia="Times New Roman"/>
                <w:sz w:val="20"/>
                <w:szCs w:val="20"/>
              </w:rPr>
              <w:t xml:space="preserve">Año 5 (2031)</w:t>
            </w:r>
          </w:p>
        </w:tc>
        <w:tc>
          <w:tcPr/>
          <w:p>
            <w:pPr>
              <w:pStyle w:val="TableText"/>
              <w:ind w:firstLine="0" w:left="0"/>
              <w:jc w:val="right"/>
            </w:pPr>
            <w:r>
              <w:rPr>
                <w:rFonts w:ascii="Times New Roman" w:hAnsi="Times New Roman" w:cs="Times New Roman" w:eastAsia="Times New Roman"/>
                <w:sz w:val="20"/>
                <w:szCs w:val="20"/>
              </w:rPr>
              <w:t xml:space="preserve">1.341</w:t>
            </w:r>
          </w:p>
        </w:tc>
        <w:tc>
          <w:tcPr/>
          <w:p>
            <w:pPr>
              <w:pStyle w:val="TableText"/>
              <w:ind w:firstLine="0" w:left="0"/>
              <w:jc w:val="right"/>
            </w:pPr>
            <w:r>
              <w:rPr>
                <w:rFonts w:ascii="Times New Roman" w:hAnsi="Times New Roman" w:cs="Times New Roman" w:eastAsia="Times New Roman"/>
                <w:sz w:val="20"/>
                <w:szCs w:val="20"/>
              </w:rPr>
              <w:t xml:space="preserve">0</w:t>
            </w:r>
          </w:p>
        </w:tc>
        <w:tc>
          <w:tcPr/>
          <w:p>
            <w:pPr>
              <w:pStyle w:val="TableText"/>
              <w:ind w:firstLine="0" w:left="0"/>
              <w:jc w:val="right"/>
            </w:pPr>
            <w:r>
              <w:rPr>
                <w:rFonts w:ascii="Times New Roman" w:hAnsi="Times New Roman" w:cs="Times New Roman" w:eastAsia="Times New Roman"/>
                <w:sz w:val="20"/>
                <w:szCs w:val="20"/>
              </w:rPr>
              <w:t xml:space="preserve">1.341</w:t>
            </w:r>
          </w:p>
        </w:tc>
      </w:tr>
      <w:tr>
        <w:tc>
          <w:tcPr/>
          <w:p>
            <w:pPr>
              <w:pStyle w:val="TableText"/>
              <w:ind w:firstLine="0" w:left="0"/>
              <w:jc w:val="left"/>
            </w:pPr>
            <w:r>
              <w:rPr>
                <w:rFonts w:ascii="Times New Roman" w:hAnsi="Times New Roman" w:cs="Times New Roman" w:eastAsia="Times New Roman"/>
                <w:sz w:val="20"/>
                <w:szCs w:val="20"/>
              </w:rPr>
              <w:t xml:space="preserve">Año 6 (2032)</w:t>
            </w:r>
          </w:p>
        </w:tc>
        <w:tc>
          <w:tcPr/>
          <w:p>
            <w:pPr>
              <w:pStyle w:val="TableText"/>
              <w:ind w:firstLine="0" w:left="0"/>
              <w:jc w:val="right"/>
            </w:pPr>
            <w:r>
              <w:rPr>
                <w:rFonts w:ascii="Times New Roman" w:hAnsi="Times New Roman" w:cs="Times New Roman" w:eastAsia="Times New Roman"/>
                <w:sz w:val="20"/>
                <w:szCs w:val="20"/>
              </w:rPr>
              <w:t xml:space="preserve">1.354</w:t>
            </w:r>
          </w:p>
        </w:tc>
        <w:tc>
          <w:tcPr/>
          <w:p>
            <w:pPr>
              <w:pStyle w:val="TableText"/>
              <w:ind w:firstLine="0" w:left="0"/>
              <w:jc w:val="right"/>
            </w:pPr>
            <w:r>
              <w:rPr>
                <w:rFonts w:ascii="Times New Roman" w:hAnsi="Times New Roman" w:cs="Times New Roman" w:eastAsia="Times New Roman"/>
                <w:sz w:val="20"/>
                <w:szCs w:val="20"/>
              </w:rPr>
              <w:t xml:space="preserve">0</w:t>
            </w:r>
          </w:p>
        </w:tc>
        <w:tc>
          <w:tcPr/>
          <w:p>
            <w:pPr>
              <w:pStyle w:val="TableText"/>
              <w:ind w:firstLine="0" w:left="0"/>
              <w:jc w:val="right"/>
            </w:pPr>
            <w:r>
              <w:rPr>
                <w:rFonts w:ascii="Times New Roman" w:hAnsi="Times New Roman" w:cs="Times New Roman" w:eastAsia="Times New Roman"/>
                <w:sz w:val="20"/>
                <w:szCs w:val="20"/>
              </w:rPr>
              <w:t xml:space="preserve">1.354</w:t>
            </w:r>
          </w:p>
        </w:tc>
      </w:tr>
      <w:tr>
        <w:tc>
          <w:tcPr/>
          <w:p>
            <w:pPr>
              <w:pStyle w:val="TableText"/>
              <w:ind w:firstLine="0" w:left="0"/>
              <w:jc w:val="left"/>
            </w:pPr>
            <w:r>
              <w:rPr>
                <w:rFonts w:ascii="Times New Roman" w:hAnsi="Times New Roman" w:cs="Times New Roman" w:eastAsia="Times New Roman"/>
                <w:sz w:val="20"/>
                <w:szCs w:val="20"/>
              </w:rPr>
              <w:t xml:space="preserve">Año 7 (2033)</w:t>
            </w:r>
          </w:p>
        </w:tc>
        <w:tc>
          <w:tcPr/>
          <w:p>
            <w:pPr>
              <w:pStyle w:val="TableText"/>
              <w:ind w:firstLine="0" w:left="0"/>
              <w:jc w:val="right"/>
            </w:pPr>
            <w:r>
              <w:rPr>
                <w:rFonts w:ascii="Times New Roman" w:hAnsi="Times New Roman" w:cs="Times New Roman" w:eastAsia="Times New Roman"/>
                <w:sz w:val="20"/>
                <w:szCs w:val="20"/>
              </w:rPr>
              <w:t xml:space="preserve">1.367</w:t>
            </w:r>
          </w:p>
        </w:tc>
        <w:tc>
          <w:tcPr/>
          <w:p>
            <w:pPr>
              <w:pStyle w:val="TableText"/>
              <w:ind w:firstLine="0" w:left="0"/>
              <w:jc w:val="right"/>
            </w:pPr>
            <w:r>
              <w:rPr>
                <w:rFonts w:ascii="Times New Roman" w:hAnsi="Times New Roman" w:cs="Times New Roman" w:eastAsia="Times New Roman"/>
                <w:sz w:val="20"/>
                <w:szCs w:val="20"/>
              </w:rPr>
              <w:t xml:space="preserve">0</w:t>
            </w:r>
          </w:p>
        </w:tc>
        <w:tc>
          <w:tcPr/>
          <w:p>
            <w:pPr>
              <w:pStyle w:val="TableText"/>
              <w:ind w:firstLine="0" w:left="0"/>
              <w:jc w:val="right"/>
            </w:pPr>
            <w:r>
              <w:rPr>
                <w:rFonts w:ascii="Times New Roman" w:hAnsi="Times New Roman" w:cs="Times New Roman" w:eastAsia="Times New Roman"/>
                <w:sz w:val="20"/>
                <w:szCs w:val="20"/>
              </w:rPr>
              <w:t xml:space="preserve">1.367</w:t>
            </w:r>
          </w:p>
        </w:tc>
      </w:tr>
      <w:tr>
        <w:tc>
          <w:tcPr/>
          <w:p>
            <w:pPr>
              <w:pStyle w:val="TableText"/>
              <w:ind w:firstLine="0" w:left="0"/>
              <w:jc w:val="left"/>
            </w:pPr>
            <w:r>
              <w:rPr>
                <w:rFonts w:ascii="Times New Roman" w:hAnsi="Times New Roman" w:cs="Times New Roman" w:eastAsia="Times New Roman"/>
                <w:sz w:val="20"/>
                <w:szCs w:val="20"/>
              </w:rPr>
              <w:t xml:space="preserve">Año 8 (2034)</w:t>
            </w:r>
          </w:p>
        </w:tc>
        <w:tc>
          <w:tcPr/>
          <w:p>
            <w:pPr>
              <w:pStyle w:val="TableText"/>
              <w:ind w:firstLine="0" w:left="0"/>
              <w:jc w:val="right"/>
            </w:pPr>
            <w:r>
              <w:rPr>
                <w:rFonts w:ascii="Times New Roman" w:hAnsi="Times New Roman" w:cs="Times New Roman" w:eastAsia="Times New Roman"/>
                <w:sz w:val="20"/>
                <w:szCs w:val="20"/>
              </w:rPr>
              <w:t xml:space="preserve">1.379</w:t>
            </w:r>
          </w:p>
        </w:tc>
        <w:tc>
          <w:tcPr/>
          <w:p>
            <w:pPr>
              <w:pStyle w:val="TableText"/>
              <w:ind w:firstLine="0" w:left="0"/>
              <w:jc w:val="right"/>
            </w:pPr>
            <w:r>
              <w:rPr>
                <w:rFonts w:ascii="Times New Roman" w:hAnsi="Times New Roman" w:cs="Times New Roman" w:eastAsia="Times New Roman"/>
                <w:sz w:val="20"/>
                <w:szCs w:val="20"/>
              </w:rPr>
              <w:t xml:space="preserve">0</w:t>
            </w:r>
          </w:p>
        </w:tc>
        <w:tc>
          <w:tcPr/>
          <w:p>
            <w:pPr>
              <w:pStyle w:val="TableText"/>
              <w:ind w:firstLine="0" w:left="0"/>
              <w:jc w:val="right"/>
            </w:pPr>
            <w:r>
              <w:rPr>
                <w:rFonts w:ascii="Times New Roman" w:hAnsi="Times New Roman" w:cs="Times New Roman" w:eastAsia="Times New Roman"/>
                <w:sz w:val="20"/>
                <w:szCs w:val="20"/>
              </w:rPr>
              <w:t xml:space="preserve">1.379</w:t>
            </w:r>
          </w:p>
        </w:tc>
      </w:tr>
      <w:tr>
        <w:tc>
          <w:tcPr/>
          <w:p>
            <w:pPr>
              <w:pStyle w:val="TableText"/>
              <w:ind w:firstLine="0" w:left="0"/>
              <w:jc w:val="left"/>
            </w:pPr>
            <w:r>
              <w:rPr>
                <w:rFonts w:ascii="Times New Roman" w:hAnsi="Times New Roman" w:cs="Times New Roman" w:eastAsia="Times New Roman"/>
                <w:sz w:val="20"/>
                <w:szCs w:val="20"/>
              </w:rPr>
              <w:t xml:space="preserve">Año 9 (2035)</w:t>
            </w:r>
          </w:p>
        </w:tc>
        <w:tc>
          <w:tcPr/>
          <w:p>
            <w:pPr>
              <w:pStyle w:val="TableText"/>
              <w:ind w:firstLine="0" w:left="0"/>
              <w:jc w:val="right"/>
            </w:pPr>
            <w:r>
              <w:rPr>
                <w:rFonts w:ascii="Times New Roman" w:hAnsi="Times New Roman" w:cs="Times New Roman" w:eastAsia="Times New Roman"/>
                <w:sz w:val="20"/>
                <w:szCs w:val="20"/>
              </w:rPr>
              <w:t xml:space="preserve">1.392</w:t>
            </w:r>
          </w:p>
        </w:tc>
        <w:tc>
          <w:tcPr/>
          <w:p>
            <w:pPr>
              <w:pStyle w:val="TableText"/>
              <w:ind w:firstLine="0" w:left="0"/>
              <w:jc w:val="right"/>
            </w:pPr>
            <w:r>
              <w:rPr>
                <w:rFonts w:ascii="Times New Roman" w:hAnsi="Times New Roman" w:cs="Times New Roman" w:eastAsia="Times New Roman"/>
                <w:sz w:val="20"/>
                <w:szCs w:val="20"/>
              </w:rPr>
              <w:t xml:space="preserve">0</w:t>
            </w:r>
          </w:p>
        </w:tc>
        <w:tc>
          <w:tcPr/>
          <w:p>
            <w:pPr>
              <w:pStyle w:val="TableText"/>
              <w:ind w:firstLine="0" w:left="0"/>
              <w:jc w:val="right"/>
            </w:pPr>
            <w:r>
              <w:rPr>
                <w:rFonts w:ascii="Times New Roman" w:hAnsi="Times New Roman" w:cs="Times New Roman" w:eastAsia="Times New Roman"/>
                <w:sz w:val="20"/>
                <w:szCs w:val="20"/>
              </w:rPr>
              <w:t xml:space="preserve">1.392</w:t>
            </w:r>
          </w:p>
        </w:tc>
      </w:tr>
      <w:tr>
        <w:tc>
          <w:tcPr/>
          <w:p>
            <w:pPr>
              <w:pStyle w:val="TableText"/>
              <w:ind w:firstLine="0" w:left="0"/>
              <w:jc w:val="left"/>
            </w:pPr>
            <w:r>
              <w:rPr>
                <w:rFonts w:ascii="Times New Roman" w:hAnsi="Times New Roman" w:cs="Times New Roman" w:eastAsia="Times New Roman"/>
                <w:sz w:val="20"/>
                <w:szCs w:val="20"/>
              </w:rPr>
              <w:t xml:space="preserve">Año 10 (2036)</w:t>
            </w:r>
          </w:p>
        </w:tc>
        <w:tc>
          <w:tcPr/>
          <w:p>
            <w:pPr>
              <w:pStyle w:val="TableText"/>
              <w:ind w:firstLine="0" w:left="0"/>
              <w:jc w:val="right"/>
            </w:pPr>
            <w:r>
              <w:rPr>
                <w:rFonts w:ascii="Times New Roman" w:hAnsi="Times New Roman" w:cs="Times New Roman" w:eastAsia="Times New Roman"/>
                <w:sz w:val="20"/>
                <w:szCs w:val="20"/>
              </w:rPr>
              <w:t xml:space="preserve">1.406</w:t>
            </w:r>
          </w:p>
        </w:tc>
        <w:tc>
          <w:tcPr/>
          <w:p>
            <w:pPr>
              <w:pStyle w:val="TableText"/>
              <w:ind w:firstLine="0" w:left="0"/>
              <w:jc w:val="right"/>
            </w:pPr>
            <w:r>
              <w:rPr>
                <w:rFonts w:ascii="Times New Roman" w:hAnsi="Times New Roman" w:cs="Times New Roman" w:eastAsia="Times New Roman"/>
                <w:sz w:val="20"/>
                <w:szCs w:val="20"/>
              </w:rPr>
              <w:t xml:space="preserve">0</w:t>
            </w:r>
          </w:p>
        </w:tc>
        <w:tc>
          <w:tcPr/>
          <w:p>
            <w:pPr>
              <w:pStyle w:val="TableText"/>
              <w:ind w:firstLine="0" w:left="0"/>
              <w:jc w:val="right"/>
            </w:pPr>
            <w:r>
              <w:rPr>
                <w:rFonts w:ascii="Times New Roman" w:hAnsi="Times New Roman" w:cs="Times New Roman" w:eastAsia="Times New Roman"/>
                <w:sz w:val="20"/>
                <w:szCs w:val="20"/>
              </w:rPr>
              <w:t xml:space="preserve">1.406</w:t>
            </w:r>
          </w:p>
        </w:tc>
      </w:tr>
    </w:tbl>
    <w:p>
      <w:pPr>
        <w:pStyle w:val="TableNote"/>
        <w:ind w:firstLine="0" w:left="0"/>
        <w:jc w:val="both"/>
      </w:pPr>
      <w:r>
        <w:rPr>
          <w:rFonts w:ascii="Times New Roman" w:hAnsi="Times New Roman" w:cs="Times New Roman" w:eastAsia="Times New Roman"/>
          <w:i/>
          <w:iCs/>
          <w:sz w:val="20"/>
          <w:szCs w:val="20"/>
        </w:rPr>
        <w:t xml:space="preserve">Nota.</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Elaboración técnica a partir de Censo INEC (2022) y proyecciones demográficas territoriales. En la situación sin proyecto, la oferta segura de paso fluvial formal sobre el río Santa Rosa es cero, por lo que el 100 % de la población objetivo padece de demanda insatisfecha.</w:t>
      </w:r>
    </w:p>
    <w:p>
      <w:pPr>
        <w:pStyle w:val="BodyText"/>
      </w:pPr>
      <w:r>
        <w:rPr>
          <w:rFonts w:ascii="Times New Roman" w:hAnsi="Times New Roman" w:cs="Times New Roman" w:eastAsia="Times New Roman"/>
        </w:rPr>
        <w:t xml:space="preserve">Esta demanda insatisfecha representa 105 días al año de aislamiento total y riesgo permanente para la vida humana, traduciéndose en más de 3.500 litros diarios de leche retenidos o descompuestos y pérdidas agropecuarias que superan los $18.500,00 USD por temporada. Con la construcción del puente vehicular y peatonal definitivo, la capacidad instalada cubre al 100 % la demanda efectiva de los habitantes y del transporte rural a lo largo de todo el ciclo de vida del proyecto.</w:t>
      </w:r>
    </w:p>
    <w:bookmarkEnd w:id="59"/>
    <w:bookmarkEnd w:id="60"/>
    <w:bookmarkStart w:id="62" w:name="X3f475ee3b55fef43dec5db67762e9914f6d2918"/>
    <w:p>
      <w:pPr>
        <w:pStyle w:val="Heading2"/>
      </w:pPr>
      <w:r>
        <w:rPr>
          <w:rFonts w:ascii="Times New Roman" w:hAnsi="Times New Roman" w:cs="Times New Roman" w:eastAsia="Times New Roman"/>
          <w:b/>
          <w:bCs/>
        </w:rPr>
        <w:t xml:space="preserve">2.5 Identificación y caracterización de la población objetivo</w:t>
      </w:r>
    </w:p>
    <w:p>
      <w:pPr>
        <w:pStyle w:val="FirstParagraph"/>
      </w:pPr>
      <w:r>
        <w:rPr>
          <w:rFonts w:ascii="Times New Roman" w:hAnsi="Times New Roman" w:cs="Times New Roman" w:eastAsia="Times New Roman"/>
        </w:rPr>
        <w:t xml:space="preserve">La delimitación y caracterización de la población vinculada al proyecto se reestructura rigurosamente conforme al enfoque territorial solicitado y a las directrices de Planifica Ecuador (</w:t>
      </w:r>
      <w:hyperlink w:anchor="tbl-poblacion-beneficiaria">
        <w:r>
          <w:rPr>
            <w:rStyle w:val="Hyperlink"/>
          </w:rPr>
          <w:t xml:space="preserve">Tabla 6</w:t>
        </w:r>
      </w:hyperlink>
      <w:r>
        <w:rPr>
          <w:rFonts w:ascii="Times New Roman" w:hAnsi="Times New Roman" w:cs="Times New Roman" w:eastAsia="Times New Roman"/>
        </w:rPr>
        <w:t xml:space="preserve">):</w:t>
      </w:r>
    </w:p>
    <w:p>
      <w:pPr>
        <w:pStyle w:val="Compact"/>
        <w:numPr>
          <w:ilvl w:val="0"/>
          <w:numId w:val="1006"/>
        </w:numPr>
      </w:pPr>
      <w:r>
        <w:rPr>
          <w:rFonts w:ascii="Times New Roman" w:hAnsi="Times New Roman" w:cs="Times New Roman" w:eastAsia="Times New Roman"/>
          <w:b/>
          <w:bCs/>
        </w:rPr>
        <w:t xml:space="preserve">Población de Referencia:</w:t>
      </w:r>
      <w:r>
        <w:rPr>
          <w:rFonts w:ascii="Times New Roman" w:hAnsi="Times New Roman" w:cs="Times New Roman" w:eastAsia="Times New Roman"/>
        </w:rPr>
        <w:t xml:space="preserve"> </w:t>
      </w:r>
      <w:r>
        <w:rPr>
          <w:rFonts w:ascii="Times New Roman" w:hAnsi="Times New Roman" w:cs="Times New Roman" w:eastAsia="Times New Roman"/>
        </w:rPr>
        <w:t xml:space="preserve">Corresponde a los</w:t>
      </w:r>
      <w:r>
        <w:rPr>
          <w:rFonts w:ascii="Times New Roman" w:hAnsi="Times New Roman" w:cs="Times New Roman" w:eastAsia="Times New Roman"/>
        </w:rPr>
        <w:t xml:space="preserve"> </w:t>
      </w:r>
      <w:r>
        <w:rPr>
          <w:rFonts w:ascii="Times New Roman" w:hAnsi="Times New Roman" w:cs="Times New Roman" w:eastAsia="Times New Roman"/>
          <w:b/>
          <w:bCs/>
        </w:rPr>
        <w:t xml:space="preserve">714.592 habitantes de la Provincia de El Oro</w:t>
      </w:r>
      <w:r>
        <w:rPr>
          <w:rFonts w:ascii="Times New Roman" w:hAnsi="Times New Roman" w:cs="Times New Roman" w:eastAsia="Times New Roman"/>
        </w:rPr>
        <w:t xml:space="preserve"> </w:t>
      </w:r>
      <w:r>
        <w:rPr>
          <w:rFonts w:ascii="Times New Roman" w:hAnsi="Times New Roman" w:cs="Times New Roman" w:eastAsia="Times New Roman"/>
        </w:rPr>
        <w:t xml:space="preserve">(Censo INEC 2022</w:t>
      </w:r>
      <w:r>
        <w:rPr>
          <w:rFonts w:ascii="Times New Roman" w:hAnsi="Times New Roman" w:cs="Times New Roman" w:eastAsia="Times New Roman"/>
        </w:rPr>
        <w:t xml:space="preserve"> </w:t>
      </w:r>
      <w:r>
        <w:rPr>
          <w:rFonts w:ascii="Times New Roman" w:hAnsi="Times New Roman" w:cs="Times New Roman" w:eastAsia="Times New Roman"/>
        </w:rPr>
        <w:t xml:space="preserve">Instituto Nacional de Estadística y Censos (</w:t>
      </w:r>
      <w:hyperlink w:anchor="ref-inec_censo_2022">
        <w:r>
          <w:rPr>
            <w:rStyle w:val="Hyperlink"/>
          </w:rPr>
          <w:t xml:space="preserve">2023</w:t>
        </w:r>
      </w:hyperlink>
      <w:r>
        <w:rPr>
          <w:rFonts w:ascii="Times New Roman" w:hAnsi="Times New Roman" w:cs="Times New Roman" w:eastAsia="Times New Roman"/>
        </w:rPr>
        <w:t xml:space="preserve">)</w:t>
      </w:r>
      <w:r>
        <w:rPr>
          <w:rFonts w:ascii="Times New Roman" w:hAnsi="Times New Roman" w:cs="Times New Roman" w:eastAsia="Times New Roman"/>
        </w:rPr>
        <w:t xml:space="preserve">), circunscripción provincial donde se inserta la conectividad vial de la cuenca alta del río Santa Rosa, involucrando el comercio de balanceados, transporte ganadero provincial y el flujo de turismo rural hacia las estribaciones cordilleranas.</w:t>
      </w:r>
    </w:p>
    <w:p>
      <w:pPr>
        <w:pStyle w:val="Compact"/>
        <w:numPr>
          <w:ilvl w:val="0"/>
          <w:numId w:val="1006"/>
        </w:numPr>
      </w:pPr>
      <w:r>
        <w:rPr>
          <w:rFonts w:ascii="Times New Roman" w:hAnsi="Times New Roman" w:cs="Times New Roman" w:eastAsia="Times New Roman"/>
          <w:b/>
          <w:bCs/>
        </w:rPr>
        <w:t xml:space="preserve">Población Potencial:</w:t>
      </w:r>
      <w:r>
        <w:rPr>
          <w:rFonts w:ascii="Times New Roman" w:hAnsi="Times New Roman" w:cs="Times New Roman" w:eastAsia="Times New Roman"/>
        </w:rPr>
        <w:t xml:space="preserve"> </w:t>
      </w:r>
      <w:r>
        <w:rPr>
          <w:rFonts w:ascii="Times New Roman" w:hAnsi="Times New Roman" w:cs="Times New Roman" w:eastAsia="Times New Roman"/>
        </w:rPr>
        <w:t xml:space="preserve">Corresponde a los</w:t>
      </w:r>
      <w:r>
        <w:rPr>
          <w:rFonts w:ascii="Times New Roman" w:hAnsi="Times New Roman" w:cs="Times New Roman" w:eastAsia="Times New Roman"/>
        </w:rPr>
        <w:t xml:space="preserve"> </w:t>
      </w:r>
      <w:r>
        <w:rPr>
          <w:rFonts w:ascii="Times New Roman" w:hAnsi="Times New Roman" w:cs="Times New Roman" w:eastAsia="Times New Roman"/>
          <w:b/>
          <w:bCs/>
        </w:rPr>
        <w:t xml:space="preserve">80.299 habitantes del Cantón Santa Rosa</w:t>
      </w:r>
      <w:r>
        <w:rPr>
          <w:rFonts w:ascii="Times New Roman" w:hAnsi="Times New Roman" w:cs="Times New Roman" w:eastAsia="Times New Roman"/>
        </w:rPr>
        <w:t xml:space="preserve"> </w:t>
      </w:r>
      <w:r>
        <w:rPr>
          <w:rFonts w:ascii="Times New Roman" w:hAnsi="Times New Roman" w:cs="Times New Roman" w:eastAsia="Times New Roman"/>
        </w:rPr>
        <w:t xml:space="preserve">(Censo INEC 2022), delimitación cantonal y de cabecera municipal que consume la producción agrícola y pecuaria de las parroquias rurales y demanda servicios viales articulados.</w:t>
      </w:r>
    </w:p>
    <w:p>
      <w:pPr>
        <w:pStyle w:val="Compact"/>
        <w:numPr>
          <w:ilvl w:val="0"/>
          <w:numId w:val="1006"/>
        </w:numPr>
      </w:pPr>
      <w:r>
        <w:rPr>
          <w:rFonts w:ascii="Times New Roman" w:hAnsi="Times New Roman" w:cs="Times New Roman" w:eastAsia="Times New Roman"/>
          <w:b/>
          <w:bCs/>
        </w:rPr>
        <w:t xml:space="preserve">Población Objetivo / Efectiva:</w:t>
      </w:r>
      <w:r>
        <w:rPr>
          <w:rFonts w:ascii="Times New Roman" w:hAnsi="Times New Roman" w:cs="Times New Roman" w:eastAsia="Times New Roman"/>
        </w:rPr>
        <w:t xml:space="preserve"> </w:t>
      </w:r>
      <w:r>
        <w:rPr>
          <w:rFonts w:ascii="Times New Roman" w:hAnsi="Times New Roman" w:cs="Times New Roman" w:eastAsia="Times New Roman"/>
        </w:rPr>
        <w:t xml:space="preserve">Abarca a los</w:t>
      </w:r>
      <w:r>
        <w:rPr>
          <w:rFonts w:ascii="Times New Roman" w:hAnsi="Times New Roman" w:cs="Times New Roman" w:eastAsia="Times New Roman"/>
        </w:rPr>
        <w:t xml:space="preserve"> </w:t>
      </w:r>
      <w:r>
        <w:rPr>
          <w:rFonts w:ascii="Times New Roman" w:hAnsi="Times New Roman" w:cs="Times New Roman" w:eastAsia="Times New Roman"/>
          <w:b/>
          <w:bCs/>
        </w:rPr>
        <w:t xml:space="preserve">2.174 habitantes de la Parroquia Rural Torata</w:t>
      </w:r>
      <w:r>
        <w:rPr>
          <w:rFonts w:ascii="Times New Roman" w:hAnsi="Times New Roman" w:cs="Times New Roman" w:eastAsia="Times New Roman"/>
        </w:rPr>
        <w:t xml:space="preserve"> </w:t>
      </w:r>
      <w:r>
        <w:rPr>
          <w:rFonts w:ascii="Times New Roman" w:hAnsi="Times New Roman" w:cs="Times New Roman" w:eastAsia="Times New Roman"/>
        </w:rPr>
        <w:t xml:space="preserve">(Censo INEC 2022, proyectada en 2.257 hab. para el año base 2026), dentro de la cual se ubican los 1.280 habitantes (más de 340 familias campesinas) de los sitios El Guayabo, La Chilca, Sabayán y El Playón directamente dependientes del cruce fluvial del río Santa Rosa para el transporte escolar, emergencias sanitarias y acopio de leche y cosechas, complementados por el flujo de visitantes recreacionales y turísticos de fin de semana.</w:t>
      </w:r>
    </w:p>
    <w:p>
      <w:pPr>
        <w:pStyle w:val="TableNumber"/>
        <w:keepNext/>
        <w:ind w:firstLine="0" w:left="0"/>
        <w:jc w:val="left"/>
      </w:pPr>
      <w:r>
        <w:rPr>
          <w:rFonts w:ascii="Times New Roman" w:hAnsi="Times New Roman" w:cs="Times New Roman" w:eastAsia="Times New Roman"/>
          <w:b/>
          <w:bCs/>
          <w:sz w:val="20"/>
          <w:szCs w:val="20"/>
        </w:rPr>
        <w:t xml:space="preserve">Tabla 6</w:t>
      </w:r>
    </w:p>
    <w:p>
      <w:pPr>
        <w:pStyle w:val="TableCaption"/>
        <w:keepNext/>
        <w:ind w:firstLine="0" w:left="0"/>
        <w:jc w:val="left"/>
      </w:pPr>
      <w:r>
        <w:rPr>
          <w:rFonts w:ascii="Times New Roman" w:hAnsi="Times New Roman" w:cs="Times New Roman" w:eastAsia="Times New Roman"/>
          <w:i/>
          <w:iCs/>
          <w:sz w:val="20"/>
          <w:szCs w:val="20"/>
        </w:rPr>
        <w:t xml:space="preserve">Segmentación de la población beneficiaria del proyecto vial</w:t>
      </w:r>
    </w:p>
    <w:tbl>
      <w:tblPr>
        <w:tblStyle w:val="Table"/>
        <w:tblLayout w:type="fixed"/>
        <w:tblLook w:firstRow="1" w:lastRow="0" w:firstColumn="0" w:lastColumn="0" w:noHBand="0" w:noVBand="0" w:val="0020"/>
        <w:tblInd w:w="0" w:type="dxa"/>
        <w:tblW w:w="5000" w:type="pct"/>
        <w:tblBorders>
          <w:top w:val="single" w:sz="8" w:space="0" w:color="000000"/>
          <w:bottom w:val="single" w:sz="8" w:space="0" w:color="000000"/>
          <w:left w:val="none" w:sz="0" w:space="0" w:color="000000"/>
          <w:right w:val="none" w:sz="0" w:space="0" w:color="000000"/>
          <w:insideH w:val="none" w:sz="0" w:space="0" w:color="000000"/>
          <w:insideV w:val="none" w:sz="0" w:space="0" w:color="000000"/>
        </w:tblBorders>
      </w:tblPr>
      <w:tblGrid>
        <w:gridCol w:w="2640"/>
        <w:gridCol w:w="2640"/>
        <w:gridCol w:w="2640"/>
      </w:tblGrid>
      <w:tr>
        <w:trPr>
          <w:tblHeader w:val="on"/>
        </w:trPr>
        <w:tc>
          <w:tcPr>
            <w:tcBorders>
              <w:top w:val="single" w:sz="8" w:space="0" w:color="000000"/>
              <w:bottom w:val="single" w:sz="6" w:space="0" w:color="000000"/>
            </w:tcBorders>
          </w:tcPr>
          <w:p>
            <w:pPr>
              <w:pStyle w:val="TableHeader"/>
              <w:keepNext/>
              <w:ind w:firstLine="0" w:left="0"/>
              <w:jc w:val="left"/>
            </w:pPr>
            <w:r>
              <w:rPr>
                <w:rFonts w:ascii="Times New Roman" w:hAnsi="Times New Roman" w:cs="Times New Roman" w:eastAsia="Times New Roman"/>
                <w:sz w:val="20"/>
                <w:szCs w:val="20"/>
              </w:rPr>
              <w:t xml:space="preserve">Categoría</w:t>
            </w:r>
          </w:p>
        </w:tc>
        <w:tc>
          <w:tcPr>
            <w:tcBorders>
              <w:top w:val="single" w:sz="8" w:space="0" w:color="000000"/>
              <w:bottom w:val="single" w:sz="6" w:space="0" w:color="000000"/>
            </w:tcBorders>
          </w:tcPr>
          <w:p>
            <w:pPr>
              <w:pStyle w:val="TableHeader"/>
              <w:keepNext/>
              <w:ind w:firstLine="0" w:left="0"/>
              <w:jc w:val="left"/>
            </w:pPr>
            <w:r>
              <w:rPr>
                <w:rFonts w:ascii="Times New Roman" w:hAnsi="Times New Roman" w:cs="Times New Roman" w:eastAsia="Times New Roman"/>
                <w:sz w:val="20"/>
                <w:szCs w:val="20"/>
              </w:rPr>
              <w:t xml:space="preserve">Población (hab.)</w:t>
            </w:r>
          </w:p>
        </w:tc>
        <w:tc>
          <w:tcPr>
            <w:tcBorders>
              <w:top w:val="single" w:sz="8" w:space="0" w:color="000000"/>
              <w:bottom w:val="single" w:sz="6" w:space="0" w:color="000000"/>
            </w:tcBorders>
          </w:tcPr>
          <w:p>
            <w:pPr>
              <w:pStyle w:val="TableHeader"/>
              <w:keepNext/>
              <w:ind w:firstLine="0" w:left="0"/>
              <w:jc w:val="left"/>
            </w:pPr>
            <w:r>
              <w:rPr>
                <w:rFonts w:ascii="Times New Roman" w:hAnsi="Times New Roman" w:cs="Times New Roman" w:eastAsia="Times New Roman"/>
                <w:sz w:val="20"/>
                <w:szCs w:val="20"/>
              </w:rPr>
              <w:t xml:space="preserve">Criterio y Alcance Territorial</w:t>
            </w:r>
          </w:p>
        </w:tc>
      </w:tr>
      <w:tr>
        <w:tc>
          <w:tcPr/>
          <w:p>
            <w:pPr>
              <w:pStyle w:val="TableText"/>
              <w:ind w:firstLine="0" w:left="0"/>
              <w:jc w:val="left"/>
            </w:pPr>
            <w:r>
              <w:rPr>
                <w:rFonts w:ascii="Times New Roman" w:hAnsi="Times New Roman" w:cs="Times New Roman" w:eastAsia="Times New Roman"/>
                <w:sz w:val="20"/>
                <w:szCs w:val="20"/>
              </w:rPr>
              <w:t xml:space="preserve">Población de Referencia</w:t>
            </w:r>
          </w:p>
        </w:tc>
        <w:tc>
          <w:tcPr/>
          <w:p>
            <w:pPr>
              <w:pStyle w:val="TableText"/>
              <w:ind w:firstLine="0" w:left="0"/>
              <w:jc w:val="left"/>
            </w:pPr>
            <w:r>
              <w:rPr>
                <w:rFonts w:ascii="Times New Roman" w:hAnsi="Times New Roman" w:cs="Times New Roman" w:eastAsia="Times New Roman"/>
                <w:sz w:val="20"/>
                <w:szCs w:val="20"/>
              </w:rPr>
              <w:t xml:space="preserve">714.592</w:t>
            </w:r>
          </w:p>
        </w:tc>
        <w:tc>
          <w:tcPr/>
          <w:p>
            <w:pPr>
              <w:pStyle w:val="TableText"/>
              <w:ind w:firstLine="0" w:left="0"/>
              <w:jc w:val="left"/>
            </w:pPr>
            <w:r>
              <w:rPr>
                <w:rFonts w:ascii="Times New Roman" w:hAnsi="Times New Roman" w:cs="Times New Roman" w:eastAsia="Times New Roman"/>
                <w:sz w:val="20"/>
                <w:szCs w:val="20"/>
              </w:rPr>
              <w:t xml:space="preserve">Total de habitantes de la</w:t>
            </w:r>
            <w:r>
              <w:rPr>
                <w:rFonts w:ascii="Times New Roman" w:hAnsi="Times New Roman" w:cs="Times New Roman" w:eastAsia="Times New Roman"/>
                <w:sz w:val="20"/>
                <w:szCs w:val="20"/>
              </w:rPr>
              <w:t xml:space="preserve"> </w:t>
            </w:r>
            <w:r>
              <w:rPr>
                <w:rFonts w:ascii="Times New Roman" w:hAnsi="Times New Roman" w:cs="Times New Roman" w:eastAsia="Times New Roman"/>
                <w:b/>
                <w:bCs/>
                <w:sz w:val="20"/>
                <w:szCs w:val="20"/>
              </w:rPr>
              <w:t xml:space="preserve">Provincia de El Oro</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(Censo INEC 2022). Marco territorial del flujo comercial y turístico provincial.</w:t>
            </w:r>
          </w:p>
        </w:tc>
      </w:tr>
      <w:tr>
        <w:tc>
          <w:tcPr/>
          <w:p>
            <w:pPr>
              <w:pStyle w:val="TableText"/>
              <w:ind w:firstLine="0" w:left="0"/>
              <w:jc w:val="left"/>
            </w:pPr>
            <w:r>
              <w:rPr>
                <w:rFonts w:ascii="Times New Roman" w:hAnsi="Times New Roman" w:cs="Times New Roman" w:eastAsia="Times New Roman"/>
                <w:sz w:val="20"/>
                <w:szCs w:val="20"/>
              </w:rPr>
              <w:t xml:space="preserve">Población Potencial</w:t>
            </w:r>
          </w:p>
        </w:tc>
        <w:tc>
          <w:tcPr/>
          <w:p>
            <w:pPr>
              <w:pStyle w:val="TableText"/>
              <w:ind w:firstLine="0" w:left="0"/>
              <w:jc w:val="left"/>
            </w:pPr>
            <w:r>
              <w:rPr>
                <w:rFonts w:ascii="Times New Roman" w:hAnsi="Times New Roman" w:cs="Times New Roman" w:eastAsia="Times New Roman"/>
                <w:sz w:val="20"/>
                <w:szCs w:val="20"/>
              </w:rPr>
              <w:t xml:space="preserve">80.299</w:t>
            </w:r>
          </w:p>
        </w:tc>
        <w:tc>
          <w:tcPr/>
          <w:p>
            <w:pPr>
              <w:pStyle w:val="TableText"/>
              <w:ind w:firstLine="0" w:left="0"/>
              <w:jc w:val="left"/>
            </w:pPr>
            <w:r>
              <w:rPr>
                <w:rFonts w:ascii="Times New Roman" w:hAnsi="Times New Roman" w:cs="Times New Roman" w:eastAsia="Times New Roman"/>
                <w:sz w:val="20"/>
                <w:szCs w:val="20"/>
              </w:rPr>
              <w:t xml:space="preserve">Total de habitantes del</w:t>
            </w:r>
            <w:r>
              <w:rPr>
                <w:rFonts w:ascii="Times New Roman" w:hAnsi="Times New Roman" w:cs="Times New Roman" w:eastAsia="Times New Roman"/>
                <w:sz w:val="20"/>
                <w:szCs w:val="20"/>
              </w:rPr>
              <w:t xml:space="preserve"> </w:t>
            </w:r>
            <w:r>
              <w:rPr>
                <w:rFonts w:ascii="Times New Roman" w:hAnsi="Times New Roman" w:cs="Times New Roman" w:eastAsia="Times New Roman"/>
                <w:b/>
                <w:bCs/>
                <w:sz w:val="20"/>
                <w:szCs w:val="20"/>
              </w:rPr>
              <w:t xml:space="preserve">Cantón Santa Rosa</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(Censo INEC 2022). Población demandante del abastecimiento alimentario y conectividad cantonal.</w:t>
            </w:r>
          </w:p>
        </w:tc>
      </w:tr>
      <w:tr>
        <w:tc>
          <w:tcPr/>
          <w:p>
            <w:pPr>
              <w:pStyle w:val="TableText"/>
              <w:ind w:firstLine="0" w:left="0"/>
              <w:jc w:val="left"/>
            </w:pPr>
            <w:r>
              <w:rPr>
                <w:rFonts w:ascii="Times New Roman" w:hAnsi="Times New Roman" w:cs="Times New Roman" w:eastAsia="Times New Roman"/>
                <w:sz w:val="20"/>
                <w:szCs w:val="20"/>
              </w:rPr>
              <w:t xml:space="preserve">Población Objetivo / Efectiva</w:t>
            </w:r>
          </w:p>
        </w:tc>
        <w:tc>
          <w:tcPr/>
          <w:p>
            <w:pPr>
              <w:pStyle w:val="TableText"/>
              <w:ind w:firstLine="0" w:left="0"/>
              <w:jc w:val="left"/>
            </w:pPr>
            <w:r>
              <w:rPr>
                <w:rFonts w:ascii="Times New Roman" w:hAnsi="Times New Roman" w:cs="Times New Roman" w:eastAsia="Times New Roman"/>
                <w:sz w:val="20"/>
                <w:szCs w:val="20"/>
              </w:rPr>
              <w:t xml:space="preserve">2.174</w:t>
            </w:r>
          </w:p>
        </w:tc>
        <w:tc>
          <w:tcPr/>
          <w:p>
            <w:pPr>
              <w:pStyle w:val="TableText"/>
              <w:ind w:firstLine="0" w:left="0"/>
              <w:jc w:val="left"/>
            </w:pPr>
            <w:r>
              <w:rPr>
                <w:rFonts w:ascii="Times New Roman" w:hAnsi="Times New Roman" w:cs="Times New Roman" w:eastAsia="Times New Roman"/>
                <w:sz w:val="20"/>
                <w:szCs w:val="20"/>
              </w:rPr>
              <w:t xml:space="preserve">Total de habitantes de la</w:t>
            </w:r>
            <w:r>
              <w:rPr>
                <w:rFonts w:ascii="Times New Roman" w:hAnsi="Times New Roman" w:cs="Times New Roman" w:eastAsia="Times New Roman"/>
                <w:sz w:val="20"/>
                <w:szCs w:val="20"/>
              </w:rPr>
              <w:t xml:space="preserve"> </w:t>
            </w:r>
            <w:r>
              <w:rPr>
                <w:rFonts w:ascii="Times New Roman" w:hAnsi="Times New Roman" w:cs="Times New Roman" w:eastAsia="Times New Roman"/>
                <w:b/>
                <w:bCs/>
                <w:sz w:val="20"/>
                <w:szCs w:val="20"/>
              </w:rPr>
              <w:t xml:space="preserve">Parroquia Rural Torata</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(Censo INEC 2022), con atención directa prioritaria a 1.280 habitantes de El Guayabo, La Chilca, Sabayán y El Playón, más turistas rurales.</w:t>
            </w:r>
          </w:p>
        </w:tc>
      </w:tr>
    </w:tbl>
    <w:p>
      <w:pPr>
        <w:pStyle w:val="TableNote"/>
        <w:ind w:firstLine="0" w:left="0"/>
        <w:jc w:val="both"/>
      </w:pPr>
      <w:r>
        <w:rPr>
          <w:rFonts w:ascii="Times New Roman" w:hAnsi="Times New Roman" w:cs="Times New Roman" w:eastAsia="Times New Roman"/>
          <w:i/>
          <w:iCs/>
          <w:sz w:val="20"/>
          <w:szCs w:val="20"/>
        </w:rPr>
        <w:t xml:space="preserve">Nota.</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Elaboración técnica a partir de Censo INEC 2022, PDOT Santa Rosa (2024) y PDOT Parroquial de Torata (2024).</w:t>
      </w:r>
    </w:p>
    <w:bookmarkEnd w:id="62"/>
    <w:bookmarkStart w:id="63" w:name="X4441892bc7c39eb85516447ac1dd43cedbfb1dc"/>
    <w:p>
      <w:pPr>
        <w:pStyle w:val="Heading2"/>
      </w:pPr>
      <w:r>
        <w:rPr>
          <w:rFonts w:ascii="Times New Roman" w:hAnsi="Times New Roman" w:cs="Times New Roman" w:eastAsia="Times New Roman"/>
          <w:b/>
          <w:bCs/>
        </w:rPr>
        <w:t xml:space="preserve">2.6 Ubicación geográfica e impacto territorial</w:t>
      </w:r>
    </w:p>
    <w:p>
      <w:pPr>
        <w:pStyle w:val="FirstParagraph"/>
      </w:pPr>
      <w:r>
        <w:rPr>
          <w:rFonts w:ascii="Times New Roman" w:hAnsi="Times New Roman" w:cs="Times New Roman" w:eastAsia="Times New Roman"/>
        </w:rPr>
        <w:t xml:space="preserve">El emplazamiento del proyecto se localiza en la provincia de El Oro, cantón Santa Rosa, parroquia rural Torata, específicamente en el cruce de la vía de tercer orden El Guayabo - La Chilca sobre el cauce del río Santa Rosa. Las coordenadas geográficas de implantación del eje central del puente corresponden a:</w:t>
      </w:r>
    </w:p>
    <w:p>
      <w:pPr>
        <w:pStyle w:val="Compact"/>
        <w:numPr>
          <w:ilvl w:val="0"/>
          <w:numId w:val="1007"/>
        </w:numPr>
      </w:pPr>
      <w:r>
        <w:rPr>
          <w:rFonts w:ascii="Times New Roman" w:hAnsi="Times New Roman" w:cs="Times New Roman" w:eastAsia="Times New Roman"/>
        </w:rPr>
        <w:t xml:space="preserve">Coordenadas Geográficas: Latitud 03°34’32” S, Longitud 79°46’59” W.</w:t>
      </w:r>
    </w:p>
    <w:p>
      <w:pPr>
        <w:pStyle w:val="Compact"/>
        <w:numPr>
          <w:ilvl w:val="0"/>
          <w:numId w:val="1007"/>
        </w:numPr>
      </w:pPr>
      <w:r>
        <w:rPr>
          <w:rFonts w:ascii="Times New Roman" w:hAnsi="Times New Roman" w:cs="Times New Roman" w:eastAsia="Times New Roman"/>
        </w:rPr>
        <w:t xml:space="preserve">Coordenadas UTM (WGS 84, Zona 17S): Este 626.450 m, Norte 9.608.920 m.</w:t>
      </w:r>
    </w:p>
    <w:p>
      <w:pPr>
        <w:pStyle w:val="Compact"/>
        <w:numPr>
          <w:ilvl w:val="0"/>
          <w:numId w:val="1007"/>
        </w:numPr>
      </w:pPr>
      <w:r>
        <w:rPr>
          <w:rFonts w:ascii="Times New Roman" w:hAnsi="Times New Roman" w:cs="Times New Roman" w:eastAsia="Times New Roman"/>
        </w:rPr>
        <w:t xml:space="preserve">Altitud sobre el nivel del mar: 307 msnm.</w:t>
      </w:r>
    </w:p>
    <w:p>
      <w:pPr>
        <w:pStyle w:val="FirstParagraph"/>
      </w:pPr>
      <w:r>
        <w:rPr>
          <w:rFonts w:ascii="Times New Roman" w:hAnsi="Times New Roman" w:cs="Times New Roman" w:eastAsia="Times New Roman"/>
        </w:rPr>
        <w:t xml:space="preserve">Los límites territoriales de la parroquia Torata establecidos en la delimitación oficial del PDOT 2023-2027</w:t>
      </w:r>
      <w:r>
        <w:rPr>
          <w:rFonts w:ascii="Times New Roman" w:hAnsi="Times New Roman" w:cs="Times New Roman" w:eastAsia="Times New Roman"/>
        </w:rPr>
        <w:t xml:space="preserve"> </w:t>
      </w:r>
      <w:r>
        <w:rPr>
          <w:rFonts w:ascii="Times New Roman" w:hAnsi="Times New Roman" w:cs="Times New Roman" w:eastAsia="Times New Roman"/>
        </w:rPr>
        <w:t xml:space="preserve">GAD Parroquial Rural de Torata (</w:t>
      </w:r>
      <w:hyperlink w:anchor="ref-pdot_torata_2024">
        <w:r>
          <w:rPr>
            <w:rStyle w:val="Hyperlink"/>
          </w:rPr>
          <w:t xml:space="preserve">2024</w:t>
        </w:r>
      </w:hyperlink>
      <w:r>
        <w:rPr>
          <w:rFonts w:ascii="Times New Roman" w:hAnsi="Times New Roman" w:cs="Times New Roman" w:eastAsia="Times New Roman"/>
        </w:rPr>
        <w:t xml:space="preserve">)</w:t>
      </w:r>
      <w:r>
        <w:rPr>
          <w:rFonts w:ascii="Times New Roman" w:hAnsi="Times New Roman" w:cs="Times New Roman" w:eastAsia="Times New Roman"/>
        </w:rPr>
        <w:t xml:space="preserve"> </w:t>
      </w:r>
      <w:r>
        <w:rPr>
          <w:rFonts w:ascii="Times New Roman" w:hAnsi="Times New Roman" w:cs="Times New Roman" w:eastAsia="Times New Roman"/>
        </w:rPr>
        <w:t xml:space="preserve">corresponden a: al norte la parroquia Saracay (cantón Piñas), al sur la parroquia La Avanzada, al este las parroquias Bellamaría, San Juan de Cerro Azul y Ayapamba (cantón Atahualpa), y al oeste la parroquia Piedras. La articulación vial estratégica a través de la Carretera Transversal Sur (E50) y los caminos vecinales de segundo y tercer orden garantiza la conexión logística continua de la producción pecuaria hacia los centros de consumo cantonal y provincial.</w:t>
      </w:r>
    </w:p>
    <w:bookmarkEnd w:id="63"/>
    <w:bookmarkEnd w:id="64"/>
    <w:bookmarkStart w:id="68" w:name="articulación-con-la-planificación"/>
    <w:p>
      <w:pPr>
        <w:pStyle w:val="Heading1"/>
      </w:pPr>
      <w:r>
        <w:rPr>
          <w:rFonts w:ascii="Times New Roman" w:hAnsi="Times New Roman" w:cs="Times New Roman" w:eastAsia="Times New Roman"/>
          <w:b/>
          <w:bCs/>
        </w:rPr>
        <w:t xml:space="preserve">3. Articulación con la planificación</w:t>
      </w:r>
    </w:p>
    <w:bookmarkStart w:id="65" w:name="Xf93697af93cf3b1e18b36b93a7118581776a017"/>
    <w:p>
      <w:pPr>
        <w:pStyle w:val="Heading2"/>
      </w:pPr>
      <w:r>
        <w:rPr>
          <w:rFonts w:ascii="Times New Roman" w:hAnsi="Times New Roman" w:cs="Times New Roman" w:eastAsia="Times New Roman"/>
          <w:b/>
          <w:bCs/>
        </w:rPr>
        <w:t xml:space="preserve">3.1 Alineación con el objetivo estratégico institucional</w:t>
      </w:r>
    </w:p>
    <w:p>
      <w:pPr>
        <w:pStyle w:val="FirstParagraph"/>
      </w:pPr>
      <w:r>
        <w:rPr>
          <w:rFonts w:ascii="Times New Roman" w:hAnsi="Times New Roman" w:cs="Times New Roman" w:eastAsia="Times New Roman"/>
        </w:rPr>
        <w:t xml:space="preserve">El proyecto se sustenta en el marco institucional y las competencias exclusivas del Gobierno Autónomo Descentralizado Provincial de El Oro para planificar, construir y mantener el sistema vial rural provincial, de conformidad con el artículo 263 (numeral 2) de la Constitución de la República y el artículo 42 (literal b) del Código Orgánico de Organización Territorial, Autonomía y Descentralización</w:t>
      </w:r>
      <w:r>
        <w:rPr>
          <w:rFonts w:ascii="Times New Roman" w:hAnsi="Times New Roman" w:cs="Times New Roman" w:eastAsia="Times New Roman"/>
        </w:rPr>
        <w:t xml:space="preserve"> </w:t>
      </w:r>
      <w:r>
        <w:rPr>
          <w:rFonts w:ascii="Times New Roman" w:hAnsi="Times New Roman" w:cs="Times New Roman" w:eastAsia="Times New Roman"/>
        </w:rPr>
        <w:t xml:space="preserve">Asamblea Nacional del Ecuador (</w:t>
      </w:r>
      <w:hyperlink w:anchor="ref-cootad2010">
        <w:r>
          <w:rPr>
            <w:rStyle w:val="Hyperlink"/>
          </w:rPr>
          <w:t xml:space="preserve">2010a</w:t>
        </w:r>
      </w:hyperlink>
      <w:r>
        <w:rPr>
          <w:rFonts w:ascii="Times New Roman" w:hAnsi="Times New Roman" w:cs="Times New Roman" w:eastAsia="Times New Roman"/>
        </w:rPr>
        <w:t xml:space="preserve">)</w:t>
      </w:r>
      <w:r>
        <w:rPr>
          <w:rFonts w:ascii="Times New Roman" w:hAnsi="Times New Roman" w:cs="Times New Roman" w:eastAsia="Times New Roman"/>
        </w:rPr>
        <w:t xml:space="preserve">. Asimismo, se ampara en los artículos 55 y 65 del COOTAD, que facultan a los Gobiernos Municipales y Parroquiales Rurales a suscribir convenios de concurrencia y cooperación técnica para cofinanciar obras de infraestructura de beneficio territorial directo.</w:t>
      </w:r>
    </w:p>
    <w:p>
      <w:pPr>
        <w:pStyle w:val="BodyText"/>
      </w:pPr>
      <w:r>
        <w:rPr>
          <w:rFonts w:ascii="Times New Roman" w:hAnsi="Times New Roman" w:cs="Times New Roman" w:eastAsia="Times New Roman"/>
        </w:rPr>
        <w:t xml:space="preserve">A nivel de planificación local, la intervención se alinea con los instrumentos territoriales descentralizados:</w:t>
      </w:r>
    </w:p>
    <w:p>
      <w:pPr>
        <w:pStyle w:val="Compact"/>
        <w:numPr>
          <w:ilvl w:val="0"/>
          <w:numId w:val="1008"/>
        </w:numPr>
      </w:pPr>
      <w:r>
        <w:rPr>
          <w:rFonts w:ascii="Times New Roman" w:hAnsi="Times New Roman" w:cs="Times New Roman" w:eastAsia="Times New Roman"/>
        </w:rPr>
        <w:t xml:space="preserve">PDOT Provincial de El Oro (2024-2027): Programa de Conectividad Rural y Resiliencia de Cuencas Hidrográficas, cuyo objetivo estratégico institucional es garantizar la transitabilidad continua y la reducción de costos logísticos en las zonas agroproductivas de la provincia.</w:t>
      </w:r>
    </w:p>
    <w:p>
      <w:pPr>
        <w:pStyle w:val="Compact"/>
        <w:numPr>
          <w:ilvl w:val="0"/>
          <w:numId w:val="1008"/>
        </w:numPr>
      </w:pPr>
      <w:r>
        <w:rPr>
          <w:rFonts w:ascii="Times New Roman" w:hAnsi="Times New Roman" w:cs="Times New Roman" w:eastAsia="Times New Roman"/>
        </w:rPr>
        <w:t xml:space="preserve">PDOT Cantonal de Santa Rosa (2023-2027): Clasifica la ruta Torata - El Guayabo - La Chilca como eje estructurante terciario para el abastecimiento alimentario cantonal, disponiendo la concurrencia intergubernamental para salvar el paso sobre el río Santa Rosa</w:t>
      </w:r>
      <w:r>
        <w:rPr>
          <w:rFonts w:ascii="Times New Roman" w:hAnsi="Times New Roman" w:cs="Times New Roman" w:eastAsia="Times New Roman"/>
        </w:rPr>
        <w:t xml:space="preserve"> </w:t>
      </w:r>
      <w:r>
        <w:rPr>
          <w:rFonts w:ascii="Times New Roman" w:hAnsi="Times New Roman" w:cs="Times New Roman" w:eastAsia="Times New Roman"/>
        </w:rPr>
        <w:t xml:space="preserve">GAD Municipal del Cantón Santa Rosa (</w:t>
      </w:r>
      <w:hyperlink w:anchor="ref-pdot_santarosa_2024">
        <w:r>
          <w:rPr>
            <w:rStyle w:val="Hyperlink"/>
          </w:rPr>
          <w:t xml:space="preserve">2024</w:t>
        </w:r>
      </w:hyperlink>
      <w:r>
        <w:rPr>
          <w:rFonts w:ascii="Times New Roman" w:hAnsi="Times New Roman" w:cs="Times New Roman" w:eastAsia="Times New Roman"/>
        </w:rPr>
        <w:t xml:space="preserve">)</w:t>
      </w:r>
      <w:r>
        <w:rPr>
          <w:rFonts w:ascii="Times New Roman" w:hAnsi="Times New Roman" w:cs="Times New Roman" w:eastAsia="Times New Roman"/>
        </w:rPr>
        <w:t xml:space="preserve">.</w:t>
      </w:r>
    </w:p>
    <w:p>
      <w:pPr>
        <w:pStyle w:val="Compact"/>
        <w:numPr>
          <w:ilvl w:val="0"/>
          <w:numId w:val="1008"/>
        </w:numPr>
      </w:pPr>
      <w:r>
        <w:rPr>
          <w:rFonts w:ascii="Times New Roman" w:hAnsi="Times New Roman" w:cs="Times New Roman" w:eastAsia="Times New Roman"/>
        </w:rPr>
        <w:t xml:space="preserve">PDOT Parroquial Rural de Torata (2023-2027): El plan oficial aprobado</w:t>
      </w:r>
      <w:r>
        <w:rPr>
          <w:rFonts w:ascii="Times New Roman" w:hAnsi="Times New Roman" w:cs="Times New Roman" w:eastAsia="Times New Roman"/>
        </w:rPr>
        <w:t xml:space="preserve"> </w:t>
      </w:r>
      <w:r>
        <w:rPr>
          <w:rFonts w:ascii="Times New Roman" w:hAnsi="Times New Roman" w:cs="Times New Roman" w:eastAsia="Times New Roman"/>
        </w:rPr>
        <w:t xml:space="preserve">GAD Parroquial Rural de Torata (</w:t>
      </w:r>
      <w:hyperlink w:anchor="ref-pdot_torata_2024">
        <w:r>
          <w:rPr>
            <w:rStyle w:val="Hyperlink"/>
          </w:rPr>
          <w:t xml:space="preserve">2024</w:t>
        </w:r>
      </w:hyperlink>
      <w:r>
        <w:rPr>
          <w:rFonts w:ascii="Times New Roman" w:hAnsi="Times New Roman" w:cs="Times New Roman" w:eastAsia="Times New Roman"/>
        </w:rPr>
        <w:t xml:space="preserve">)</w:t>
      </w:r>
      <w:r>
        <w:rPr>
          <w:rFonts w:ascii="Times New Roman" w:hAnsi="Times New Roman" w:cs="Times New Roman" w:eastAsia="Times New Roman"/>
        </w:rPr>
        <w:t xml:space="preserve"> </w:t>
      </w:r>
      <w:r>
        <w:rPr>
          <w:rFonts w:ascii="Times New Roman" w:hAnsi="Times New Roman" w:cs="Times New Roman" w:eastAsia="Times New Roman"/>
        </w:rPr>
        <w:t xml:space="preserve">establece en su Tabla 133 (Matriz de Proyectos de Gestión del GAD Parroquial, pág. 333) el programa estructurante</w:t>
      </w:r>
      <w:r>
        <w:rPr>
          <w:rFonts w:ascii="Times New Roman" w:hAnsi="Times New Roman" w:cs="Times New Roman" w:eastAsia="Times New Roman"/>
        </w:rPr>
        <w:t xml:space="preserve"> </w:t>
      </w:r>
      <w:r>
        <w:rPr>
          <w:rFonts w:ascii="Times New Roman" w:hAnsi="Times New Roman" w:cs="Times New Roman" w:eastAsia="Times New Roman"/>
        </w:rPr>
        <w:t xml:space="preserve">“Mantenimiento y construcción de infraestructura colectiva, acceso a conectividad y mejoramiento vial”</w:t>
      </w:r>
      <w:r>
        <w:rPr>
          <w:rFonts w:ascii="Times New Roman" w:hAnsi="Times New Roman" w:cs="Times New Roman" w:eastAsia="Times New Roman"/>
        </w:rPr>
        <w:t xml:space="preserve">, con el proyecto</w:t>
      </w:r>
      <w:r>
        <w:rPr>
          <w:rFonts w:ascii="Times New Roman" w:hAnsi="Times New Roman" w:cs="Times New Roman" w:eastAsia="Times New Roman"/>
        </w:rPr>
        <w:t xml:space="preserve"> </w:t>
      </w:r>
      <w:r>
        <w:rPr>
          <w:rFonts w:ascii="Times New Roman" w:hAnsi="Times New Roman" w:cs="Times New Roman" w:eastAsia="Times New Roman"/>
        </w:rPr>
        <w:t xml:space="preserve">“Gestión para la construcción de puentes en la parroquia rural Torata en convenio con el GAD Municipal y Provincial”</w:t>
      </w:r>
      <w:r>
        <w:rPr>
          <w:rFonts w:ascii="Times New Roman" w:hAnsi="Times New Roman" w:cs="Times New Roman" w:eastAsia="Times New Roman"/>
        </w:rPr>
        <w:t xml:space="preserve"> </w:t>
      </w:r>
      <w:r>
        <w:rPr>
          <w:rFonts w:ascii="Times New Roman" w:hAnsi="Times New Roman" w:cs="Times New Roman" w:eastAsia="Times New Roman"/>
        </w:rPr>
        <w:t xml:space="preserve">con una asignación plurianual programada de $200.000,00 USD, complementado con las obras de ducto cajón y muros de gaviones en la vía Torata - El Guayabo en convenio con la Prefectura de El Oro (Tabla 133, pág. 333) y la priorización histórica ratificada en la evaluación del plan precedente (Tabla 2, pág. 48).</w:t>
      </w:r>
    </w:p>
    <w:p>
      <w:pPr>
        <w:pStyle w:val="FirstParagraph"/>
      </w:pPr>
      <w:r>
        <w:rPr>
          <w:rFonts w:ascii="Times New Roman" w:hAnsi="Times New Roman" w:cs="Times New Roman" w:eastAsia="Times New Roman"/>
        </w:rPr>
        <w:t xml:space="preserve">En el marco de la Agenda 2030, la intervención aporta a los Objetivos de Desarrollo Sostenible: ODS 9 (Industria, Innovación e Infraestructura) al edificar obras viales fiables y resilientes, ODS 8 (Trabajo Decente y Crecimiento Económico) mediante el fortalecimiento de los ingresos campesinos, y ODS 11 (Comunidades Sostenibles) mediante la mitigación de riesgos de aislamiento por crecidas fluviales.</w:t>
      </w:r>
    </w:p>
    <w:bookmarkEnd w:id="65"/>
    <w:bookmarkStart w:id="67" w:name="Xe68c9444099d9736d0c6cdad73ea41ec9f27b44"/>
    <w:p>
      <w:pPr>
        <w:pStyle w:val="Heading2"/>
      </w:pPr>
      <w:r>
        <w:rPr>
          <w:rFonts w:ascii="Times New Roman" w:hAnsi="Times New Roman" w:cs="Times New Roman" w:eastAsia="Times New Roman"/>
          <w:b/>
          <w:bCs/>
        </w:rPr>
        <w:t xml:space="preserve">3.2 Contribución del proyecto a la meta del Plan Nacional de Desarrollo alineada al indicador del objetivo estratégico institucional</w:t>
      </w:r>
    </w:p>
    <w:p>
      <w:pPr>
        <w:pStyle w:val="FirstParagraph"/>
      </w:pPr>
      <w:r>
        <w:rPr>
          <w:rFonts w:ascii="Times New Roman" w:hAnsi="Times New Roman" w:cs="Times New Roman" w:eastAsia="Times New Roman"/>
        </w:rPr>
        <w:t xml:space="preserve">Para el efecto se debe determinar el aporte de la meta propósito del programa o proyecto a la meta del Plan Nacional de Desarrollo, para lo cual es necesario que la institución realice la anualización de las metas plurianuales del propósito del programa o proyecto. En lo que corresponde a la ejecución, deberá reportar su avance a fin de poder determinar la contribución efectiva de dicha intervención a la meta del Plan (</w:t>
      </w:r>
      <w:hyperlink w:anchor="tbl-articulacion-pnd">
        <w:r>
          <w:rPr>
            <w:rStyle w:val="Hyperlink"/>
          </w:rPr>
          <w:t xml:space="preserve">Tabla 7</w:t>
        </w:r>
      </w:hyperlink>
      <w:r>
        <w:rPr>
          <w:rFonts w:ascii="Times New Roman" w:hAnsi="Times New Roman" w:cs="Times New Roman" w:eastAsia="Times New Roman"/>
        </w:rPr>
        <w:t xml:space="preserve">).</w:t>
      </w:r>
    </w:p>
    <w:p>
      <w:pPr>
        <w:pStyle w:val="BodyText"/>
      </w:pPr>
      <w:r>
        <w:rPr>
          <w:rFonts w:ascii="Times New Roman" w:hAnsi="Times New Roman" w:cs="Times New Roman" w:eastAsia="Times New Roman"/>
          <w:b/>
          <w:bCs/>
        </w:rPr>
        <w:t xml:space="preserve">PND 2025-2029: Ecuador No Se Detiene</w:t>
      </w:r>
    </w:p>
    <w:p>
      <w:pPr>
        <w:pStyle w:val="BodyText"/>
      </w:pPr>
      <w:r>
        <w:rPr>
          <w:rFonts w:ascii="Times New Roman" w:hAnsi="Times New Roman" w:cs="Times New Roman" w:eastAsia="Times New Roman"/>
          <w:b/>
          <w:bCs/>
        </w:rPr>
        <w:t xml:space="preserve">Objetivo 4: Fomentar la productividad, competitividad e integración de las economías rurales a los mercados nacionales</w:t>
      </w:r>
    </w:p>
    <w:p>
      <w:pPr>
        <w:pStyle w:val="BodyText"/>
      </w:pPr>
      <w:r>
        <w:rPr>
          <w:rFonts w:ascii="Times New Roman" w:hAnsi="Times New Roman" w:cs="Times New Roman" w:eastAsia="Times New Roman"/>
          <w:b/>
          <w:bCs/>
        </w:rPr>
        <w:t xml:space="preserve">INDICADOR META 4.2: Reducir los tiempos de traslado y costos logísticos de las cadenas de valor agropecuarias rurales mediante infraestructura vial resiliente</w:t>
      </w:r>
    </w:p>
    <w:p>
      <w:pPr>
        <w:pStyle w:val="TableNumber"/>
        <w:keepNext/>
        <w:ind w:firstLine="0" w:left="0"/>
        <w:jc w:val="left"/>
      </w:pPr>
      <w:r>
        <w:rPr>
          <w:rFonts w:ascii="Times New Roman" w:hAnsi="Times New Roman" w:cs="Times New Roman" w:eastAsia="Times New Roman"/>
          <w:b/>
          <w:bCs/>
          <w:sz w:val="20"/>
          <w:szCs w:val="20"/>
        </w:rPr>
        <w:t xml:space="preserve">Tabla 7</w:t>
      </w:r>
    </w:p>
    <w:p>
      <w:pPr>
        <w:pStyle w:val="TableCaption"/>
        <w:keepNext/>
        <w:ind w:firstLine="0" w:left="0"/>
        <w:jc w:val="left"/>
      </w:pPr>
      <w:r>
        <w:rPr>
          <w:rFonts w:ascii="Times New Roman" w:hAnsi="Times New Roman" w:cs="Times New Roman" w:eastAsia="Times New Roman"/>
          <w:i/>
          <w:iCs/>
          <w:sz w:val="20"/>
          <w:szCs w:val="20"/>
        </w:rPr>
        <w:t xml:space="preserve">Contribución del proyecto a la meta del Plan Nacional de Desarrollo</w:t>
      </w:r>
    </w:p>
    <w:p>
      <w:pPr>
        <w:sectPr>
          <w:headerReference w:type="first" r:id="rId1"/>
          <w:headerReference w:type="default" r:id="rId2"/>
          <w:pgSz w:w="12240" w:h="15840" w:orient="portrait"/>
          <w:pgMar w:top="1440" w:bottom="1440" w:left="1440" w:right="1440"/>
          <w:titlePg/>
        </w:sectPr>
      </w:pPr>
    </w:p>
    <w:tbl>
      <w:tblPr>
        <w:tblStyle w:val="Table"/>
        <w:tblLayout w:type="fixed"/>
        <w:tblLook w:firstRow="1" w:lastRow="0" w:firstColumn="0" w:lastColumn="0" w:noHBand="0" w:noVBand="0" w:val="0020"/>
        <w:tblInd w:w="0" w:type="dxa"/>
        <w:tblW w:w="5000" w:type="pct"/>
        <w:tblBorders>
          <w:top w:val="single" w:sz="8" w:space="0" w:color="000000"/>
          <w:bottom w:val="single" w:sz="8" w:space="0" w:color="000000"/>
          <w:left w:val="none" w:sz="0" w:space="0" w:color="000000"/>
          <w:right w:val="none" w:sz="0" w:space="0" w:color="000000"/>
          <w:insideH w:val="none" w:sz="0" w:space="0" w:color="000000"/>
          <w:insideV w:val="none" w:sz="0" w:space="0" w:color="000000"/>
        </w:tblBorders>
      </w:tblPr>
      <w:tblGrid>
        <w:gridCol w:w="1092"/>
        <w:gridCol w:w="1365"/>
        <w:gridCol w:w="1365"/>
        <w:gridCol w:w="1365"/>
        <w:gridCol w:w="1365"/>
        <w:gridCol w:w="1365"/>
      </w:tblGrid>
      <w:tr>
        <w:trPr>
          <w:tblHeader w:val="on"/>
        </w:trPr>
        <w:tc>
          <w:tcPr>
            <w:tcBorders>
              <w:top w:val="single" w:sz="8" w:space="0" w:color="000000"/>
              <w:bottom w:val="single" w:sz="6" w:space="0" w:color="000000"/>
            </w:tcBorders>
          </w:tcPr>
          <w:p>
            <w:pPr>
              <w:pStyle w:val="TableHeader"/>
              <w:keepNext/>
              <w:ind w:firstLine="0" w:left="0"/>
              <w:jc w:val="left"/>
            </w:pPr>
            <w:r>
              <w:rPr>
                <w:rFonts w:ascii="Times New Roman" w:hAnsi="Times New Roman" w:cs="Times New Roman" w:eastAsia="Times New Roman"/>
                <w:sz w:val="20"/>
                <w:szCs w:val="20"/>
              </w:rPr>
              <w:t xml:space="preserve">Meta PND</w:t>
            </w:r>
          </w:p>
        </w:tc>
        <w:tc>
          <w:tcPr>
            <w:tcBorders>
              <w:top w:val="single" w:sz="8" w:space="0" w:color="000000"/>
              <w:bottom w:val="single" w:sz="6" w:space="0" w:color="000000"/>
            </w:tcBorders>
          </w:tcPr>
          <w:p>
            <w:pPr>
              <w:pStyle w:val="TableHeader"/>
              <w:keepNext/>
              <w:ind w:firstLine="0" w:left="0"/>
              <w:jc w:val="center"/>
            </w:pPr>
            <w:r>
              <w:rPr>
                <w:rFonts w:ascii="Times New Roman" w:hAnsi="Times New Roman" w:cs="Times New Roman" w:eastAsia="Times New Roman"/>
                <w:sz w:val="20"/>
                <w:szCs w:val="20"/>
              </w:rPr>
              <w:t xml:space="preserve">Línea Base</w:t>
            </w:r>
          </w:p>
        </w:tc>
        <w:tc>
          <w:tcPr>
            <w:tcBorders>
              <w:top w:val="single" w:sz="8" w:space="0" w:color="000000"/>
              <w:bottom w:val="single" w:sz="6" w:space="0" w:color="000000"/>
            </w:tcBorders>
          </w:tcPr>
          <w:p>
            <w:pPr>
              <w:pStyle w:val="TableHeader"/>
              <w:keepNext/>
              <w:ind w:firstLine="0" w:left="0"/>
              <w:jc w:val="center"/>
            </w:pPr>
            <w:r>
              <w:rPr>
                <w:rFonts w:ascii="Times New Roman" w:hAnsi="Times New Roman" w:cs="Times New Roman" w:eastAsia="Times New Roman"/>
                <w:sz w:val="20"/>
                <w:szCs w:val="20"/>
              </w:rPr>
              <w:t xml:space="preserve">Meta 2026</w:t>
            </w:r>
          </w:p>
        </w:tc>
        <w:tc>
          <w:tcPr>
            <w:tcBorders>
              <w:top w:val="single" w:sz="8" w:space="0" w:color="000000"/>
              <w:bottom w:val="single" w:sz="6" w:space="0" w:color="000000"/>
            </w:tcBorders>
          </w:tcPr>
          <w:p>
            <w:pPr>
              <w:pStyle w:val="TableHeader"/>
              <w:keepNext/>
              <w:ind w:firstLine="0" w:left="0"/>
              <w:jc w:val="center"/>
            </w:pPr>
            <w:r>
              <w:rPr>
                <w:rFonts w:ascii="Times New Roman" w:hAnsi="Times New Roman" w:cs="Times New Roman" w:eastAsia="Times New Roman"/>
                <w:sz w:val="20"/>
                <w:szCs w:val="20"/>
              </w:rPr>
              <w:t xml:space="preserve">Meta 2027</w:t>
            </w:r>
          </w:p>
        </w:tc>
        <w:tc>
          <w:tcPr>
            <w:tcBorders>
              <w:top w:val="single" w:sz="8" w:space="0" w:color="000000"/>
              <w:bottom w:val="single" w:sz="6" w:space="0" w:color="000000"/>
            </w:tcBorders>
          </w:tcPr>
          <w:p>
            <w:pPr>
              <w:pStyle w:val="TableHeader"/>
              <w:keepNext/>
              <w:ind w:firstLine="0" w:left="0"/>
              <w:jc w:val="center"/>
            </w:pPr>
            <w:r>
              <w:rPr>
                <w:rFonts w:ascii="Times New Roman" w:hAnsi="Times New Roman" w:cs="Times New Roman" w:eastAsia="Times New Roman"/>
                <w:sz w:val="20"/>
                <w:szCs w:val="20"/>
              </w:rPr>
              <w:t xml:space="preserve">Meta 2028</w:t>
            </w:r>
          </w:p>
        </w:tc>
        <w:tc>
          <w:tcPr>
            <w:tcBorders>
              <w:top w:val="single" w:sz="8" w:space="0" w:color="000000"/>
              <w:bottom w:val="single" w:sz="6" w:space="0" w:color="000000"/>
            </w:tcBorders>
          </w:tcPr>
          <w:p>
            <w:pPr>
              <w:pStyle w:val="TableHeader"/>
              <w:keepNext/>
              <w:ind w:firstLine="0" w:left="0"/>
              <w:jc w:val="center"/>
            </w:pPr>
            <w:r>
              <w:rPr>
                <w:rFonts w:ascii="Times New Roman" w:hAnsi="Times New Roman" w:cs="Times New Roman" w:eastAsia="Times New Roman"/>
                <w:sz w:val="20"/>
                <w:szCs w:val="20"/>
              </w:rPr>
              <w:t xml:space="preserve">Meta 2029</w:t>
            </w:r>
          </w:p>
        </w:tc>
      </w:tr>
      <w:tr>
        <w:tc>
          <w:tcPr/>
          <w:p>
            <w:pPr>
              <w:pStyle w:val="TableText"/>
              <w:ind w:firstLine="0" w:left="0"/>
              <w:jc w:val="left"/>
            </w:pPr>
            <w:r>
              <w:rPr>
                <w:rFonts w:ascii="Times New Roman" w:hAnsi="Times New Roman" w:cs="Times New Roman" w:eastAsia="Times New Roman"/>
                <w:sz w:val="20"/>
                <w:szCs w:val="20"/>
              </w:rPr>
              <w:t xml:space="preserve">25,0% reducción de tiempos y sobrecostos logísticos rurales</w:t>
            </w:r>
          </w:p>
        </w:tc>
        <w:tc>
          <w:tcPr/>
          <w:p>
            <w:pPr>
              <w:pStyle w:val="TableText"/>
              <w:ind w:firstLine="0" w:left="0"/>
              <w:jc w:val="center"/>
            </w:pPr>
            <w:r>
              <w:rPr>
                <w:rFonts w:ascii="Times New Roman" w:hAnsi="Times New Roman" w:cs="Times New Roman" w:eastAsia="Times New Roman"/>
                <w:sz w:val="20"/>
                <w:szCs w:val="20"/>
              </w:rPr>
              <w:t xml:space="preserve">0,0%</w:t>
            </w:r>
          </w:p>
        </w:tc>
        <w:tc>
          <w:tcPr/>
          <w:p>
            <w:pPr>
              <w:pStyle w:val="TableText"/>
              <w:ind w:firstLine="0" w:left="0"/>
              <w:jc w:val="center"/>
            </w:pPr>
            <w:r>
              <w:rPr>
                <w:rFonts w:ascii="Times New Roman" w:hAnsi="Times New Roman" w:cs="Times New Roman" w:eastAsia="Times New Roman"/>
                <w:sz w:val="20"/>
                <w:szCs w:val="20"/>
              </w:rPr>
              <w:t xml:space="preserve">6,0%</w:t>
            </w:r>
          </w:p>
        </w:tc>
        <w:tc>
          <w:tcPr/>
          <w:p>
            <w:pPr>
              <w:pStyle w:val="TableText"/>
              <w:ind w:firstLine="0" w:left="0"/>
              <w:jc w:val="center"/>
            </w:pPr>
            <w:r>
              <w:rPr>
                <w:rFonts w:ascii="Times New Roman" w:hAnsi="Times New Roman" w:cs="Times New Roman" w:eastAsia="Times New Roman"/>
                <w:sz w:val="20"/>
                <w:szCs w:val="20"/>
              </w:rPr>
              <w:t xml:space="preserve">12,0%</w:t>
            </w:r>
          </w:p>
        </w:tc>
        <w:tc>
          <w:tcPr/>
          <w:p>
            <w:pPr>
              <w:pStyle w:val="TableText"/>
              <w:ind w:firstLine="0" w:left="0"/>
              <w:jc w:val="center"/>
            </w:pPr>
            <w:r>
              <w:rPr>
                <w:rFonts w:ascii="Times New Roman" w:hAnsi="Times New Roman" w:cs="Times New Roman" w:eastAsia="Times New Roman"/>
                <w:sz w:val="20"/>
                <w:szCs w:val="20"/>
              </w:rPr>
              <w:t xml:space="preserve">18,0%</w:t>
            </w:r>
          </w:p>
        </w:tc>
        <w:tc>
          <w:tcPr/>
          <w:p>
            <w:pPr>
              <w:pStyle w:val="TableText"/>
              <w:ind w:firstLine="0" w:left="0"/>
              <w:jc w:val="center"/>
            </w:pPr>
            <w:r>
              <w:rPr>
                <w:rFonts w:ascii="Times New Roman" w:hAnsi="Times New Roman" w:cs="Times New Roman" w:eastAsia="Times New Roman"/>
                <w:sz w:val="20"/>
                <w:szCs w:val="20"/>
              </w:rPr>
              <w:t xml:space="preserve">25,0%</w:t>
            </w:r>
          </w:p>
        </w:tc>
      </w:tr>
      <w:tr>
        <w:tc>
          <w:tcPr/>
          <w:p>
            <w:pPr>
              <w:pStyle w:val="TableText"/>
              <w:ind w:firstLine="0" w:left="0"/>
              <w:jc w:val="left"/>
            </w:pPr>
            <w:r>
              <w:rPr>
                <w:rFonts w:ascii="Times New Roman" w:hAnsi="Times New Roman" w:cs="Times New Roman" w:eastAsia="Times New Roman"/>
                <w:b/>
                <w:bCs/>
                <w:sz w:val="20"/>
                <w:szCs w:val="20"/>
              </w:rPr>
              <w:t xml:space="preserve">Proyecto 1:</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Tiempo de cruce y transitabilidad continua (días/año)</w:t>
            </w:r>
          </w:p>
        </w:tc>
        <w:tc>
          <w:tcPr/>
          <w:p>
            <w:pPr>
              <w:pStyle w:val="TableText"/>
              <w:ind w:firstLine="0" w:left="0"/>
              <w:jc w:val="center"/>
            </w:pPr>
            <w:r>
              <w:rPr>
                <w:rFonts w:ascii="Times New Roman" w:hAnsi="Times New Roman" w:cs="Times New Roman" w:eastAsia="Times New Roman"/>
                <w:sz w:val="20"/>
                <w:szCs w:val="20"/>
              </w:rPr>
              <w:t xml:space="preserve">260 días (45 min)</w:t>
            </w:r>
          </w:p>
        </w:tc>
        <w:tc>
          <w:tcPr/>
          <w:p>
            <w:pPr>
              <w:pStyle w:val="TableText"/>
              <w:ind w:firstLine="0" w:left="0"/>
              <w:jc w:val="center"/>
            </w:pPr>
            <w:r>
              <w:rPr>
                <w:rFonts w:ascii="Times New Roman" w:hAnsi="Times New Roman" w:cs="Times New Roman" w:eastAsia="Times New Roman"/>
                <w:sz w:val="20"/>
                <w:szCs w:val="20"/>
              </w:rPr>
              <w:t xml:space="preserve">260 días (Fase obra)</w:t>
            </w:r>
          </w:p>
        </w:tc>
        <w:tc>
          <w:tcPr/>
          <w:p>
            <w:pPr>
              <w:pStyle w:val="TableText"/>
              <w:ind w:firstLine="0" w:left="0"/>
              <w:jc w:val="center"/>
            </w:pPr>
            <w:r>
              <w:rPr>
                <w:rFonts w:ascii="Times New Roman" w:hAnsi="Times New Roman" w:cs="Times New Roman" w:eastAsia="Times New Roman"/>
                <w:sz w:val="20"/>
                <w:szCs w:val="20"/>
              </w:rPr>
              <w:t xml:space="preserve">365 días (3 min)</w:t>
            </w:r>
          </w:p>
        </w:tc>
        <w:tc>
          <w:tcPr/>
          <w:p>
            <w:pPr>
              <w:pStyle w:val="TableText"/>
              <w:ind w:firstLine="0" w:left="0"/>
              <w:jc w:val="center"/>
            </w:pPr>
            <w:r>
              <w:rPr>
                <w:rFonts w:ascii="Times New Roman" w:hAnsi="Times New Roman" w:cs="Times New Roman" w:eastAsia="Times New Roman"/>
                <w:sz w:val="20"/>
                <w:szCs w:val="20"/>
              </w:rPr>
              <w:t xml:space="preserve">365 días (3 min)</w:t>
            </w:r>
          </w:p>
        </w:tc>
        <w:tc>
          <w:tcPr/>
          <w:p>
            <w:pPr>
              <w:pStyle w:val="TableText"/>
              <w:ind w:firstLine="0" w:left="0"/>
              <w:jc w:val="center"/>
            </w:pPr>
            <w:r>
              <w:rPr>
                <w:rFonts w:ascii="Times New Roman" w:hAnsi="Times New Roman" w:cs="Times New Roman" w:eastAsia="Times New Roman"/>
                <w:sz w:val="20"/>
                <w:szCs w:val="20"/>
              </w:rPr>
              <w:t xml:space="preserve">365 días (3 min)</w:t>
            </w:r>
          </w:p>
        </w:tc>
      </w:tr>
    </w:tbl>
    <w:p>
      <w:pPr>
        <w:pStyle w:val="TableNote"/>
        <w:ind w:firstLine="0" w:left="0"/>
        <w:jc w:val="both"/>
      </w:pPr>
      <w:r>
        <w:rPr>
          <w:rFonts w:ascii="Times New Roman" w:hAnsi="Times New Roman" w:cs="Times New Roman" w:eastAsia="Times New Roman"/>
          <w:i/>
          <w:iCs/>
          <w:sz w:val="20"/>
          <w:szCs w:val="20"/>
        </w:rPr>
        <w:t xml:space="preserve">Nota.</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Elaboración técnica conforme al formato oficial de la Guía General para la Presentación de Programas y Proyectos de Inversión Pública (Planifica Ecuador) y Plan Nacional de Desarrollo 2025-2029.</w:t>
      </w:r>
    </w:p>
    <w:p>
      <w:pPr>
        <w:sectPr>
          <w:pgSz w:w="15840" w:h="12240" w:orient="landscape"/>
          <w:pgMar w:top="1440" w:bottom="1440" w:left="1440" w:right="1440"/>
        </w:sectPr>
      </w:pPr>
    </w:p>
    <w:bookmarkEnd w:id="67"/>
    <w:bookmarkEnd w:id="68"/>
    <w:bookmarkStart w:id="79" w:name="matriz-de-marco-lógico"/>
    <w:p>
      <w:pPr>
        <w:pStyle w:val="Heading1"/>
      </w:pPr>
      <w:r>
        <w:rPr>
          <w:rFonts w:ascii="Times New Roman" w:hAnsi="Times New Roman" w:cs="Times New Roman" w:eastAsia="Times New Roman"/>
          <w:b/>
          <w:bCs/>
        </w:rPr>
        <w:t xml:space="preserve">4. Matriz de Marco Lógico</w:t>
      </w:r>
    </w:p>
    <w:bookmarkStart w:id="73" w:name="objetivo-general-y-objetivos-específicos"/>
    <w:p>
      <w:pPr>
        <w:pStyle w:val="Heading2"/>
      </w:pPr>
      <w:r>
        <w:rPr>
          <w:rFonts w:ascii="Times New Roman" w:hAnsi="Times New Roman" w:cs="Times New Roman" w:eastAsia="Times New Roman"/>
          <w:b/>
          <w:bCs/>
        </w:rPr>
        <w:t xml:space="preserve">4.1 Objetivo general y objetivos específicos</w:t>
      </w:r>
    </w:p>
    <w:bookmarkStart w:id="69" w:name="objetivo-general"/>
    <w:p>
      <w:pPr>
        <w:pStyle w:val="Heading3"/>
      </w:pPr>
      <w:r>
        <w:rPr>
          <w:rFonts w:ascii="Times New Roman" w:hAnsi="Times New Roman" w:cs="Times New Roman" w:eastAsia="Times New Roman"/>
          <w:b/>
          <w:bCs/>
        </w:rPr>
        <w:t xml:space="preserve">4.1.1 Objetivo General</w:t>
      </w:r>
    </w:p>
    <w:p>
      <w:pPr>
        <w:pStyle w:val="FirstParagraph"/>
      </w:pPr>
      <w:r>
        <w:rPr>
          <w:rFonts w:ascii="Times New Roman" w:hAnsi="Times New Roman" w:cs="Times New Roman" w:eastAsia="Times New Roman"/>
        </w:rPr>
        <w:t xml:space="preserve">Garantizar la conectividad física y el acceso vehicular y peatonal seguro y permanente en el sitio El Playón de la parroquia Torata, dinamizando el desarrollo socioeconómico local y protegiendo los ingresos de las familias rurales.</w:t>
      </w:r>
    </w:p>
    <w:bookmarkEnd w:id="69"/>
    <w:bookmarkStart w:id="72" w:name="objetivos-específicos"/>
    <w:p>
      <w:pPr>
        <w:pStyle w:val="Heading3"/>
      </w:pPr>
      <w:r>
        <w:rPr>
          <w:rFonts w:ascii="Times New Roman" w:hAnsi="Times New Roman" w:cs="Times New Roman" w:eastAsia="Times New Roman"/>
          <w:b/>
          <w:bCs/>
        </w:rPr>
        <w:t xml:space="preserve">4.1.2 Objetivos Específicos</w:t>
      </w:r>
    </w:p>
    <w:bookmarkStart w:id="70" w:name="objetivo-específico-1"/>
    <w:p>
      <w:pPr>
        <w:pStyle w:val="Heading4"/>
      </w:pPr>
      <w:r>
        <w:rPr>
          <w:rFonts w:ascii="Times New Roman" w:hAnsi="Times New Roman" w:cs="Times New Roman" w:eastAsia="Times New Roman"/>
          <w:b/>
          <w:bCs/>
        </w:rPr>
        <w:t xml:space="preserve">4.1.2.1 Objetivo específico 1</w:t>
      </w:r>
    </w:p>
    <w:p>
      <w:pPr>
        <w:pStyle w:val="FirstParagraph"/>
      </w:pPr>
      <w:r>
        <w:rPr>
          <w:rFonts w:ascii="Times New Roman" w:hAnsi="Times New Roman" w:cs="Times New Roman" w:eastAsia="Times New Roman"/>
        </w:rPr>
        <w:t xml:space="preserve">Dotar de infraestructura definitiva de puente vehicular y peatonal sobre el río mediante la construcción de estribos de hormigón armado e instalación de una superestructura metálica modular tipo Bailey con gálibo superior a la cota máxima de inundación.</w:t>
      </w:r>
    </w:p>
    <w:bookmarkEnd w:id="70"/>
    <w:bookmarkStart w:id="71" w:name="objetivo-específico-2"/>
    <w:p>
      <w:pPr>
        <w:pStyle w:val="Heading4"/>
      </w:pPr>
      <w:r>
        <w:rPr>
          <w:rFonts w:ascii="Times New Roman" w:hAnsi="Times New Roman" w:cs="Times New Roman" w:eastAsia="Times New Roman"/>
          <w:b/>
          <w:bCs/>
        </w:rPr>
        <w:t xml:space="preserve">4.1.2.2 Objetivo específico 2</w:t>
      </w:r>
    </w:p>
    <w:p>
      <w:pPr>
        <w:pStyle w:val="FirstParagraph"/>
      </w:pPr>
      <w:r>
        <w:rPr>
          <w:rFonts w:ascii="Times New Roman" w:hAnsi="Times New Roman" w:cs="Times New Roman" w:eastAsia="Times New Roman"/>
        </w:rPr>
        <w:t xml:space="preserve">Habilitar y consolidar la ruta vial de conexión sobre el cauce natural mediante la adecuación técnica de accesos viales, obras de encauzamiento y articulación interinstitucional concurrente.</w:t>
      </w:r>
    </w:p>
    <w:bookmarkEnd w:id="71"/>
    <w:bookmarkEnd w:id="72"/>
    <w:bookmarkEnd w:id="73"/>
    <w:bookmarkStart w:id="74" w:name="indicadores-de-resultados"/>
    <w:p>
      <w:pPr>
        <w:pStyle w:val="Heading2"/>
      </w:pPr>
      <w:r>
        <w:rPr>
          <w:rFonts w:ascii="Times New Roman" w:hAnsi="Times New Roman" w:cs="Times New Roman" w:eastAsia="Times New Roman"/>
          <w:b/>
          <w:bCs/>
        </w:rPr>
        <w:t xml:space="preserve">4.2 Indicadores de resultados</w:t>
      </w:r>
    </w:p>
    <w:p>
      <w:pPr>
        <w:pStyle w:val="FirstParagraph"/>
      </w:pPr>
      <w:r>
        <w:rPr>
          <w:rFonts w:ascii="Times New Roman" w:hAnsi="Times New Roman" w:cs="Times New Roman" w:eastAsia="Times New Roman"/>
        </w:rPr>
        <w:t xml:space="preserve">Los indicadores de resultados en el nivel de propósito evalúan la efectividad de la intervención durante su fase operativa:</w:t>
      </w:r>
    </w:p>
    <w:p>
      <w:pPr>
        <w:pStyle w:val="BodyText"/>
      </w:pPr>
      <w:r>
        <w:rPr>
          <w:rFonts w:ascii="Times New Roman" w:hAnsi="Times New Roman" w:cs="Times New Roman" w:eastAsia="Times New Roman"/>
        </w:rPr>
        <w:t xml:space="preserve">El primer indicador evalúa la continuidad del paso vehicular durante los 365 días del año. Frente a una línea base de 260 días habilitados por causa de las inundaciones invernales, la meta establece alcanzar 365 días continuos de conectividad segura al término del primer año de funcionamiento del puente, eliminando los episodios de aislamiento en los sectores productivos.</w:t>
      </w:r>
    </w:p>
    <w:p>
      <w:pPr>
        <w:pStyle w:val="BodyText"/>
      </w:pPr>
      <w:r>
        <w:rPr>
          <w:rFonts w:ascii="Times New Roman" w:hAnsi="Times New Roman" w:cs="Times New Roman" w:eastAsia="Times New Roman"/>
        </w:rPr>
        <w:t xml:space="preserve">El segundo indicador mide la eficiencia temporal en el cruce del río Santa Rosa. La línea base registra un tiempo de cruce de 45 minutos en invierno debido a rodeos y trasbordos a pie. La meta plantea reducir este tiempo a 3 minutos mediante el tránsito vehicular directo sobre la calzada del puente.</w:t>
      </w:r>
    </w:p>
    <w:p>
      <w:pPr>
        <w:pStyle w:val="BodyText"/>
      </w:pPr>
      <w:r>
        <w:rPr>
          <w:rFonts w:ascii="Times New Roman" w:hAnsi="Times New Roman" w:cs="Times New Roman" w:eastAsia="Times New Roman"/>
        </w:rPr>
        <w:t xml:space="preserve">El tercer indicador registra la reducción de pérdidas económicas en la producción lechera campesina. Con una línea base de 3.500 litros diarios derramados o descompuestos en picos invernales, la meta exige reducir estas mermas a cero litros al finalizar el segundo año de operación del puente.</w:t>
      </w:r>
    </w:p>
    <w:bookmarkEnd w:id="74"/>
    <w:bookmarkStart w:id="78" w:name="marco-lógico"/>
    <w:p>
      <w:pPr>
        <w:pStyle w:val="Heading2"/>
      </w:pPr>
      <w:r>
        <w:rPr>
          <w:rFonts w:ascii="Times New Roman" w:hAnsi="Times New Roman" w:cs="Times New Roman" w:eastAsia="Times New Roman"/>
          <w:b/>
          <w:bCs/>
        </w:rPr>
        <w:t xml:space="preserve">4.3 Marco Lógico</w:t>
      </w:r>
    </w:p>
    <w:p>
      <w:pPr>
        <w:pStyle w:val="FirstParagraph"/>
      </w:pPr>
      <w:r>
        <w:rPr>
          <w:rFonts w:ascii="Times New Roman" w:hAnsi="Times New Roman" w:cs="Times New Roman" w:eastAsia="Times New Roman"/>
        </w:rPr>
        <w:t xml:space="preserve">De acuerdo con los lineamientos de Planifica Ecuador</w:t>
      </w:r>
      <w:r>
        <w:rPr>
          <w:rFonts w:ascii="Times New Roman" w:hAnsi="Times New Roman" w:cs="Times New Roman" w:eastAsia="Times New Roman"/>
        </w:rPr>
        <w:t xml:space="preserve"> </w:t>
      </w:r>
      <w:r>
        <w:rPr>
          <w:rFonts w:ascii="Times New Roman" w:hAnsi="Times New Roman" w:cs="Times New Roman" w:eastAsia="Times New Roman"/>
        </w:rPr>
        <w:t xml:space="preserve">Secretaría Técnica de Planificación Planifica Ecuador (</w:t>
      </w:r>
      <w:hyperlink w:anchor="ref-guia_planifica2021">
        <w:r>
          <w:rPr>
            <w:rStyle w:val="Hyperlink"/>
          </w:rPr>
          <w:t xml:space="preserve">2021</w:t>
        </w:r>
      </w:hyperlink>
      <w:r>
        <w:rPr>
          <w:rFonts w:ascii="Times New Roman" w:hAnsi="Times New Roman" w:cs="Times New Roman" w:eastAsia="Times New Roman"/>
        </w:rPr>
        <w:t xml:space="preserve">)</w:t>
      </w:r>
      <w:r>
        <w:rPr>
          <w:rFonts w:ascii="Times New Roman" w:hAnsi="Times New Roman" w:cs="Times New Roman" w:eastAsia="Times New Roman"/>
        </w:rPr>
        <w:t xml:space="preserve">, la Matriz de Marco Lógico (MML) organiza de forma coherente los objetivos, indicadores, medios de verificación y supuestos del proyecto (</w:t>
      </w:r>
      <w:hyperlink w:anchor="tbl-marco-logico-puente">
        <w:r>
          <w:rPr>
            <w:rStyle w:val="Hyperlink"/>
          </w:rPr>
          <w:t xml:space="preserve">Tabla 8</w:t>
        </w:r>
      </w:hyperlink>
      <w:r>
        <w:rPr>
          <w:rFonts w:ascii="Times New Roman" w:hAnsi="Times New Roman" w:cs="Times New Roman" w:eastAsia="Times New Roman"/>
        </w:rPr>
        <w:t xml:space="preserve">).</w:t>
      </w:r>
    </w:p>
    <w:p>
      <w:pPr>
        <w:pStyle w:val="TableNumber"/>
        <w:keepNext/>
        <w:ind w:firstLine="0" w:left="0"/>
        <w:jc w:val="left"/>
      </w:pPr>
      <w:r>
        <w:rPr>
          <w:rFonts w:ascii="Times New Roman" w:hAnsi="Times New Roman" w:cs="Times New Roman" w:eastAsia="Times New Roman"/>
          <w:b/>
          <w:bCs/>
          <w:sz w:val="20"/>
          <w:szCs w:val="20"/>
        </w:rPr>
        <w:t xml:space="preserve">Tabla 8</w:t>
      </w:r>
    </w:p>
    <w:p>
      <w:pPr>
        <w:pStyle w:val="TableCaption"/>
        <w:keepNext/>
        <w:ind w:firstLine="0" w:left="0"/>
        <w:jc w:val="left"/>
      </w:pPr>
      <w:r>
        <w:rPr>
          <w:rFonts w:ascii="Times New Roman" w:hAnsi="Times New Roman" w:cs="Times New Roman" w:eastAsia="Times New Roman"/>
          <w:i/>
          <w:iCs/>
          <w:sz w:val="20"/>
          <w:szCs w:val="20"/>
        </w:rPr>
        <w:t xml:space="preserve">Matriz de Marco Lógico para el Puente Vehicular sobre el Río Santa Rosa</w:t>
      </w:r>
    </w:p>
    <w:tbl>
      <w:tblPr>
        <w:tblStyle w:val="Table"/>
        <w:tblLayout w:type="fixed"/>
        <w:tblLook w:firstRow="1" w:lastRow="0" w:firstColumn="0" w:lastColumn="0" w:noHBand="0" w:noVBand="0" w:val="0020"/>
        <w:tblInd w:w="0" w:type="dxa"/>
        <w:tblW w:w="5000" w:type="pct"/>
        <w:tblBorders>
          <w:top w:val="single" w:sz="8" w:space="0" w:color="000000"/>
          <w:bottom w:val="single" w:sz="8" w:space="0" w:color="000000"/>
          <w:left w:val="none" w:sz="0" w:space="0" w:color="000000"/>
          <w:right w:val="none" w:sz="0" w:space="0" w:color="000000"/>
          <w:insideH w:val="none" w:sz="0" w:space="0" w:color="000000"/>
          <w:insideV w:val="none" w:sz="0" w:space="0" w:color="000000"/>
        </w:tblBorders>
      </w:tblPr>
      <w:tblGrid>
        <w:gridCol w:w="1980"/>
        <w:gridCol w:w="1980"/>
        <w:gridCol w:w="1980"/>
        <w:gridCol w:w="1980"/>
      </w:tblGrid>
      <w:tr>
        <w:trPr>
          <w:tblHeader w:val="on"/>
        </w:trPr>
        <w:tc>
          <w:tcPr>
            <w:tcBorders>
              <w:top w:val="single" w:sz="8" w:space="0" w:color="000000"/>
              <w:bottom w:val="single" w:sz="6" w:space="0" w:color="000000"/>
            </w:tcBorders>
          </w:tcPr>
          <w:p>
            <w:pPr>
              <w:pStyle w:val="TableHeader"/>
              <w:keepNext/>
              <w:ind w:firstLine="0" w:left="0"/>
              <w:jc w:val="left"/>
            </w:pPr>
            <w:r>
              <w:rPr>
                <w:rFonts w:ascii="Times New Roman" w:hAnsi="Times New Roman" w:cs="Times New Roman" w:eastAsia="Times New Roman"/>
                <w:sz w:val="20"/>
                <w:szCs w:val="20"/>
              </w:rPr>
              <w:t xml:space="preserve">Resumen Narrativo</w:t>
            </w:r>
          </w:p>
        </w:tc>
        <w:tc>
          <w:tcPr>
            <w:tcBorders>
              <w:top w:val="single" w:sz="8" w:space="0" w:color="000000"/>
              <w:bottom w:val="single" w:sz="6" w:space="0" w:color="000000"/>
            </w:tcBorders>
          </w:tcPr>
          <w:p>
            <w:pPr>
              <w:pStyle w:val="TableHeader"/>
              <w:keepNext/>
              <w:ind w:firstLine="0" w:left="0"/>
              <w:jc w:val="left"/>
            </w:pPr>
            <w:r>
              <w:rPr>
                <w:rFonts w:ascii="Times New Roman" w:hAnsi="Times New Roman" w:cs="Times New Roman" w:eastAsia="Times New Roman"/>
                <w:sz w:val="20"/>
                <w:szCs w:val="20"/>
              </w:rPr>
              <w:t xml:space="preserve">Indicadores Verificables</w:t>
            </w:r>
          </w:p>
        </w:tc>
        <w:tc>
          <w:tcPr>
            <w:tcBorders>
              <w:top w:val="single" w:sz="8" w:space="0" w:color="000000"/>
              <w:bottom w:val="single" w:sz="6" w:space="0" w:color="000000"/>
            </w:tcBorders>
          </w:tcPr>
          <w:p>
            <w:pPr>
              <w:pStyle w:val="TableHeader"/>
              <w:keepNext/>
              <w:ind w:firstLine="0" w:left="0"/>
              <w:jc w:val="left"/>
            </w:pPr>
            <w:r>
              <w:rPr>
                <w:rFonts w:ascii="Times New Roman" w:hAnsi="Times New Roman" w:cs="Times New Roman" w:eastAsia="Times New Roman"/>
                <w:sz w:val="20"/>
                <w:szCs w:val="20"/>
              </w:rPr>
              <w:t xml:space="preserve">Medios de Verificación</w:t>
            </w:r>
          </w:p>
        </w:tc>
        <w:tc>
          <w:tcPr>
            <w:tcBorders>
              <w:top w:val="single" w:sz="8" w:space="0" w:color="000000"/>
              <w:bottom w:val="single" w:sz="6" w:space="0" w:color="000000"/>
            </w:tcBorders>
          </w:tcPr>
          <w:p>
            <w:pPr>
              <w:pStyle w:val="TableHeader"/>
              <w:keepNext/>
              <w:ind w:firstLine="0" w:left="0"/>
              <w:jc w:val="left"/>
            </w:pPr>
            <w:r>
              <w:rPr>
                <w:rFonts w:ascii="Times New Roman" w:hAnsi="Times New Roman" w:cs="Times New Roman" w:eastAsia="Times New Roman"/>
                <w:sz w:val="20"/>
                <w:szCs w:val="20"/>
              </w:rPr>
              <w:t xml:space="preserve">Supuestos</w:t>
            </w:r>
          </w:p>
        </w:tc>
      </w:tr>
      <w:tr>
        <w:tc>
          <w:tcPr/>
          <w:p>
            <w:pPr>
              <w:pStyle w:val="TableText"/>
              <w:ind w:firstLine="0" w:left="0"/>
              <w:jc w:val="left"/>
            </w:pPr>
            <w:r>
              <w:rPr>
                <w:rFonts w:ascii="Times New Roman" w:hAnsi="Times New Roman" w:cs="Times New Roman" w:eastAsia="Times New Roman"/>
                <w:b/>
                <w:bCs/>
                <w:sz w:val="20"/>
                <w:szCs w:val="20"/>
              </w:rPr>
              <w:t xml:space="preserve">Fin:</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Dinamizar la productividad agropecuaria, reducir los costos logísticos y elevar el nivel de ingresos de los productores rurales de la parroquia Torata.</w:t>
            </w:r>
          </w:p>
        </w:tc>
        <w:tc>
          <w:tcPr/>
          <w:p>
            <w:pPr>
              <w:pStyle w:val="TableText"/>
              <w:ind w:firstLine="0" w:left="0"/>
              <w:jc w:val="left"/>
            </w:pPr>
            <w:r>
              <w:rPr>
                <w:rFonts w:ascii="Times New Roman" w:hAnsi="Times New Roman" w:cs="Times New Roman" w:eastAsia="Times New Roman"/>
                <w:sz w:val="20"/>
                <w:szCs w:val="20"/>
              </w:rPr>
              <w:t xml:space="preserve">Pérdidas de producción de leche y cacao en invierno reducidas en al menos 85% en los primeros 2 años. Incremento del 18% en el volumen comercializado de ganado bovino en pie hacia mercados cantonales.</w:t>
            </w:r>
          </w:p>
        </w:tc>
        <w:tc>
          <w:tcPr/>
          <w:p>
            <w:pPr>
              <w:pStyle w:val="TableText"/>
              <w:ind w:firstLine="0" w:left="0"/>
              <w:jc w:val="left"/>
            </w:pPr>
            <w:r>
              <w:rPr>
                <w:rFonts w:ascii="Times New Roman" w:hAnsi="Times New Roman" w:cs="Times New Roman" w:eastAsia="Times New Roman"/>
                <w:sz w:val="20"/>
                <w:szCs w:val="20"/>
              </w:rPr>
              <w:t xml:space="preserve">Estadísticas del MAG / Agrocalidad El Oro e informes de rendición de cuentas del GADPR Torata.</w:t>
            </w:r>
          </w:p>
        </w:tc>
        <w:tc>
          <w:tcPr/>
          <w:p>
            <w:pPr>
              <w:pStyle w:val="TableText"/>
              <w:ind w:firstLine="0" w:left="0"/>
              <w:jc w:val="left"/>
            </w:pPr>
            <w:r>
              <w:rPr>
                <w:rFonts w:ascii="Times New Roman" w:hAnsi="Times New Roman" w:cs="Times New Roman" w:eastAsia="Times New Roman"/>
                <w:sz w:val="20"/>
                <w:szCs w:val="20"/>
              </w:rPr>
              <w:t xml:space="preserve">Los precios de los productos agropecuarios se mantienen dentro de los rangos históricos de mercado.</w:t>
            </w:r>
          </w:p>
        </w:tc>
      </w:tr>
      <w:tr>
        <w:tc>
          <w:tcPr/>
          <w:p>
            <w:pPr>
              <w:pStyle w:val="TableText"/>
              <w:ind w:firstLine="0" w:left="0"/>
              <w:jc w:val="left"/>
            </w:pPr>
            <w:r>
              <w:rPr>
                <w:rFonts w:ascii="Times New Roman" w:hAnsi="Times New Roman" w:cs="Times New Roman" w:eastAsia="Times New Roman"/>
                <w:b/>
                <w:bCs/>
                <w:sz w:val="20"/>
                <w:szCs w:val="20"/>
              </w:rPr>
              <w:t xml:space="preserve">Propósito:</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Comunidades y sectores productivos de El Guayabo, La Chilca y Torata cuentan con transitabilidad vehicular ininterrumpida y segura durante los 365 días del año.</w:t>
            </w:r>
          </w:p>
        </w:tc>
        <w:tc>
          <w:tcPr/>
          <w:p>
            <w:pPr>
              <w:pStyle w:val="TableText"/>
              <w:ind w:firstLine="0" w:left="0"/>
              <w:jc w:val="left"/>
            </w:pPr>
            <w:r>
              <w:rPr>
                <w:rFonts w:ascii="Times New Roman" w:hAnsi="Times New Roman" w:cs="Times New Roman" w:eastAsia="Times New Roman"/>
                <w:sz w:val="20"/>
                <w:szCs w:val="20"/>
              </w:rPr>
              <w:t xml:space="preserve">100% de días del año con paso vehicular habilitado sobre el río Santa Rosa (0 días de aislamiento por crecientes). Tiempo promedio de cruce del afluente reducido de 45 a 3 minutos.</w:t>
            </w:r>
          </w:p>
        </w:tc>
        <w:tc>
          <w:tcPr/>
          <w:p>
            <w:pPr>
              <w:pStyle w:val="TableText"/>
              <w:ind w:firstLine="0" w:left="0"/>
              <w:jc w:val="left"/>
            </w:pPr>
            <w:r>
              <w:rPr>
                <w:rFonts w:ascii="Times New Roman" w:hAnsi="Times New Roman" w:cs="Times New Roman" w:eastAsia="Times New Roman"/>
                <w:sz w:val="20"/>
                <w:szCs w:val="20"/>
              </w:rPr>
              <w:t xml:space="preserve">Aforos de tráfico vehicular de la Dirección de Obras Públicas de la Prefectura e inspecciones técnicas del GADPR Torata.</w:t>
            </w:r>
          </w:p>
        </w:tc>
        <w:tc>
          <w:tcPr/>
          <w:p>
            <w:pPr>
              <w:pStyle w:val="TableText"/>
              <w:ind w:firstLine="0" w:left="0"/>
              <w:jc w:val="left"/>
            </w:pPr>
            <w:r>
              <w:rPr>
                <w:rFonts w:ascii="Times New Roman" w:hAnsi="Times New Roman" w:cs="Times New Roman" w:eastAsia="Times New Roman"/>
                <w:sz w:val="20"/>
                <w:szCs w:val="20"/>
              </w:rPr>
              <w:t xml:space="preserve">Las condiciones geológicas e hidrológicas no superan el periodo de retorno de diseño (Tr = 100 años).</w:t>
            </w:r>
          </w:p>
        </w:tc>
      </w:tr>
      <w:tr>
        <w:tc>
          <w:tcPr/>
          <w:p>
            <w:pPr>
              <w:pStyle w:val="TableText"/>
              <w:ind w:firstLine="0" w:left="0"/>
              <w:jc w:val="left"/>
            </w:pPr>
            <w:r>
              <w:rPr>
                <w:rFonts w:ascii="Times New Roman" w:hAnsi="Times New Roman" w:cs="Times New Roman" w:eastAsia="Times New Roman"/>
                <w:b/>
                <w:bCs/>
                <w:sz w:val="20"/>
                <w:szCs w:val="20"/>
              </w:rPr>
              <w:t xml:space="preserve">Componentes:</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1. Estudios geotécnicos, de suelos e hidráulicos concluidos y aprobados. 2. Estribos de hormigón armado, muros de encauzamiento y terraplenes de acceso construidos. 3. Superestructura metálica modular tipo Bailey montada, asegurada y señalizada. 4. Comité comunitario de conservación y mantenimiento vial constituido.</w:t>
            </w:r>
          </w:p>
        </w:tc>
        <w:tc>
          <w:tcPr/>
          <w:p>
            <w:pPr>
              <w:pStyle w:val="TableText"/>
              <w:ind w:firstLine="0" w:left="0"/>
              <w:jc w:val="left"/>
            </w:pPr>
            <w:r>
              <w:rPr>
                <w:rFonts w:ascii="Times New Roman" w:hAnsi="Times New Roman" w:cs="Times New Roman" w:eastAsia="Times New Roman"/>
                <w:sz w:val="20"/>
                <w:szCs w:val="20"/>
              </w:rPr>
              <w:t xml:space="preserve">C1: 1 informe geotécnico y memorias de cálculo validadas por el GAD Municipal de Santa Rosa. C2: 2 estribos macizos (aprox. 180 m³ de hormigón f’c=280 kg/cm²) y 45 m lineales de gaviones ejecutados. C3: 1 puente de 30 metros de longitud de un carril montado con capacidad de carga HS-20 (AASHTO). C4: 1 comité comunitario activo con manual de operación entregado.</w:t>
            </w:r>
          </w:p>
        </w:tc>
        <w:tc>
          <w:tcPr/>
          <w:p>
            <w:pPr>
              <w:pStyle w:val="TableText"/>
              <w:ind w:firstLine="0" w:left="0"/>
              <w:jc w:val="left"/>
            </w:pPr>
            <w:r>
              <w:rPr>
                <w:rFonts w:ascii="Times New Roman" w:hAnsi="Times New Roman" w:cs="Times New Roman" w:eastAsia="Times New Roman"/>
                <w:sz w:val="20"/>
                <w:szCs w:val="20"/>
              </w:rPr>
              <w:t xml:space="preserve">Actas de aprobación de estudios de suelos y mecánica de rocas. Planillas de avance de obra y fiscalización técnica de la Prefectura de El Oro. Certificados de calidad de materiales y ensayos a compresión de probetas de hormigón. Acta de entrega-recepción provisional y definitiva de la obra.</w:t>
            </w:r>
          </w:p>
        </w:tc>
        <w:tc>
          <w:tcPr/>
          <w:p>
            <w:pPr>
              <w:pStyle w:val="TableText"/>
              <w:ind w:firstLine="0" w:left="0"/>
              <w:jc w:val="left"/>
            </w:pPr>
            <w:r>
              <w:rPr>
                <w:rFonts w:ascii="Times New Roman" w:hAnsi="Times New Roman" w:cs="Times New Roman" w:eastAsia="Times New Roman"/>
                <w:sz w:val="20"/>
                <w:szCs w:val="20"/>
              </w:rPr>
              <w:t xml:space="preserve">El Municipio de Santa Rosa entrega oportunamente los resultados del estudio de suelos. La Prefectura de El Oro asigna los paneles modulares de puente Bailey comprometidos. Los propietarios locales respetan los límites de derecho de vía cedidos para los accesos.</w:t>
            </w:r>
          </w:p>
        </w:tc>
      </w:tr>
      <w:tr>
        <w:tc>
          <w:tcPr/>
          <w:p>
            <w:pPr>
              <w:pStyle w:val="TableText"/>
              <w:ind w:firstLine="0" w:left="0"/>
              <w:jc w:val="left"/>
            </w:pPr>
            <w:r>
              <w:rPr>
                <w:rFonts w:ascii="Times New Roman" w:hAnsi="Times New Roman" w:cs="Times New Roman" w:eastAsia="Times New Roman"/>
                <w:b/>
                <w:bCs/>
                <w:sz w:val="20"/>
                <w:szCs w:val="20"/>
              </w:rPr>
              <w:t xml:space="preserve">Actividades:</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1.1 Sondeos geotécnicos y toma de muestras de suelo. 2.1 Excavación bajo agua y cimentación profunda de estribos. 2.2 Colocación de gaviones y enrocado de protección contra socavación. 3.1 Traslado, ensamblaje y lanzamiento de paneles Bailey. 3.2 Fundición de losetas de rodadura y bordillos. 4.1 Talleres de veeduría y mantenimiento vial.</w:t>
            </w:r>
          </w:p>
        </w:tc>
        <w:tc>
          <w:tcPr/>
          <w:p>
            <w:pPr>
              <w:pStyle w:val="TableText"/>
              <w:ind w:firstLine="0" w:left="0"/>
              <w:jc w:val="left"/>
            </w:pPr>
            <w:r>
              <w:rPr>
                <w:rFonts w:ascii="Times New Roman" w:hAnsi="Times New Roman" w:cs="Times New Roman" w:eastAsia="Times New Roman"/>
                <w:sz w:val="20"/>
                <w:szCs w:val="20"/>
              </w:rPr>
              <w:t xml:space="preserve">Presupuesto total ejecutado de $380.274,58 USD en un plazo de ejecución de 120 días calendario.</w:t>
            </w:r>
          </w:p>
        </w:tc>
        <w:tc>
          <w:tcPr/>
          <w:p>
            <w:pPr>
              <w:pStyle w:val="TableText"/>
              <w:ind w:firstLine="0" w:left="0"/>
              <w:jc w:val="left"/>
            </w:pPr>
            <w:r>
              <w:rPr>
                <w:rFonts w:ascii="Times New Roman" w:hAnsi="Times New Roman" w:cs="Times New Roman" w:eastAsia="Times New Roman"/>
                <w:sz w:val="20"/>
                <w:szCs w:val="20"/>
              </w:rPr>
              <w:t xml:space="preserve">Cédulas de ejecución presupuestaria del GAD Provincial de El Oro y del GAD Municipal de Santa Rosa. Facturas y contratos liquidados en el portal del SERCOP.</w:t>
            </w:r>
          </w:p>
        </w:tc>
        <w:tc>
          <w:tcPr/>
          <w:p>
            <w:pPr>
              <w:pStyle w:val="TableText"/>
              <w:ind w:firstLine="0" w:left="0"/>
              <w:jc w:val="left"/>
            </w:pPr>
            <w:r>
              <w:rPr>
                <w:rFonts w:ascii="Times New Roman" w:hAnsi="Times New Roman" w:cs="Times New Roman" w:eastAsia="Times New Roman"/>
                <w:sz w:val="20"/>
                <w:szCs w:val="20"/>
              </w:rPr>
              <w:t xml:space="preserve">Flujo regular de asignaciones presupuestarias concurrentes entre las entidades participantes.</w:t>
            </w:r>
          </w:p>
        </w:tc>
      </w:tr>
    </w:tbl>
    <w:p>
      <w:pPr>
        <w:pStyle w:val="TableNote"/>
        <w:ind w:firstLine="0" w:left="0"/>
        <w:jc w:val="both"/>
      </w:pPr>
      <w:r>
        <w:rPr>
          <w:rFonts w:ascii="Times New Roman" w:hAnsi="Times New Roman" w:cs="Times New Roman" w:eastAsia="Times New Roman"/>
          <w:i/>
          <w:iCs/>
          <w:sz w:val="20"/>
          <w:szCs w:val="20"/>
        </w:rPr>
        <w:t xml:space="preserve">Nota.</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Elaboración técnica conforme a la metodología de Marco Lógico de Planifica Ecuador.</w:t>
      </w:r>
    </w:p>
    <w:bookmarkStart w:id="77" w:name="X63d2d451ea2c5ad849218aa5f58cdf9fb60c6a6"/>
    <w:p>
      <w:pPr>
        <w:pStyle w:val="Heading3"/>
      </w:pPr>
      <w:r>
        <w:rPr>
          <w:rFonts w:ascii="Times New Roman" w:hAnsi="Times New Roman" w:cs="Times New Roman" w:eastAsia="Times New Roman"/>
          <w:b/>
          <w:bCs/>
        </w:rPr>
        <w:t xml:space="preserve">4.3.1 Anualización de las metas de los indicadores del propósito</w:t>
      </w:r>
    </w:p>
    <w:p>
      <w:pPr>
        <w:pStyle w:val="FirstParagraph"/>
      </w:pPr>
      <w:r>
        <w:rPr>
          <w:rFonts w:ascii="Times New Roman" w:hAnsi="Times New Roman" w:cs="Times New Roman" w:eastAsia="Times New Roman"/>
        </w:rPr>
        <w:t xml:space="preserve">Las metas del propósito del proyecto se anualizarán tomando en consideración los componentes, por lo que deberán efectuar la programación de las metas hasta lograr el propósito de acuerdo al tiempo estimado de ejecución del mismo.</w:t>
      </w:r>
    </w:p>
    <w:p>
      <w:pPr>
        <w:pStyle w:val="BodyText"/>
      </w:pPr>
      <w:r>
        <w:rPr>
          <w:rFonts w:ascii="Times New Roman" w:hAnsi="Times New Roman" w:cs="Times New Roman" w:eastAsia="Times New Roman"/>
        </w:rPr>
        <w:t xml:space="preserve">Una vez anualizadas las metas de cada indicador del propósito, éstas deberán ser ponderadas de acuerdo al peso definido por el gestor del proyecto (</w:t>
      </w:r>
      <w:hyperlink w:anchor="tbl-anualizacion-metas-puente">
        <w:r>
          <w:rPr>
            <w:rStyle w:val="Hyperlink"/>
          </w:rPr>
          <w:t xml:space="preserve">Tabla 9</w:t>
        </w:r>
      </w:hyperlink>
      <w:r>
        <w:rPr>
          <w:rFonts w:ascii="Times New Roman" w:hAnsi="Times New Roman" w:cs="Times New Roman" w:eastAsia="Times New Roman"/>
        </w:rPr>
        <w:t xml:space="preserve">).</w:t>
      </w:r>
    </w:p>
    <w:p>
      <w:pPr>
        <w:pStyle w:val="TableNumber"/>
        <w:keepNext/>
        <w:ind w:firstLine="0" w:left="0"/>
        <w:jc w:val="left"/>
      </w:pPr>
      <w:r>
        <w:rPr>
          <w:rFonts w:ascii="Times New Roman" w:hAnsi="Times New Roman" w:cs="Times New Roman" w:eastAsia="Times New Roman"/>
          <w:b/>
          <w:bCs/>
          <w:sz w:val="20"/>
          <w:szCs w:val="20"/>
        </w:rPr>
        <w:t xml:space="preserve">Tabla 9</w:t>
      </w:r>
    </w:p>
    <w:p>
      <w:pPr>
        <w:pStyle w:val="TableCaption"/>
        <w:keepNext/>
        <w:ind w:firstLine="0" w:left="0"/>
        <w:jc w:val="left"/>
      </w:pPr>
      <w:r>
        <w:rPr>
          <w:rFonts w:ascii="Times New Roman" w:hAnsi="Times New Roman" w:cs="Times New Roman" w:eastAsia="Times New Roman"/>
          <w:i/>
          <w:iCs/>
          <w:sz w:val="20"/>
          <w:szCs w:val="20"/>
        </w:rPr>
        <w:t xml:space="preserve">Anualización de las metas de los indicadores del propósito</w:t>
      </w:r>
    </w:p>
    <w:p>
      <w:pPr>
        <w:sectPr>
          <w:pgSz w:w="12240" w:h="15840" w:orient="portrait"/>
          <w:pgMar w:top="1440" w:bottom="1440" w:left="1440" w:right="1440"/>
        </w:sectPr>
      </w:pPr>
    </w:p>
    <w:tbl>
      <w:tblPr>
        <w:tblStyle w:val="Table"/>
        <w:tblLayout w:type="fixed"/>
        <w:tblLook w:firstRow="1" w:lastRow="0" w:firstColumn="0" w:lastColumn="0" w:noHBand="0" w:noVBand="0" w:val="0020"/>
        <w:tblInd w:w="0" w:type="dxa"/>
        <w:tblW w:w="5000" w:type="pct"/>
        <w:tblBorders>
          <w:top w:val="single" w:sz="8" w:space="0" w:color="000000"/>
          <w:bottom w:val="single" w:sz="8" w:space="0" w:color="000000"/>
          <w:left w:val="none" w:sz="0" w:space="0" w:color="000000"/>
          <w:right w:val="none" w:sz="0" w:space="0" w:color="000000"/>
          <w:insideH w:val="none" w:sz="0" w:space="0" w:color="000000"/>
          <w:insideV w:val="none" w:sz="0" w:space="0" w:color="000000"/>
        </w:tblBorders>
      </w:tblPr>
      <w:tblGrid>
        <w:gridCol w:w="754"/>
        <w:gridCol w:w="754"/>
        <w:gridCol w:w="942"/>
        <w:gridCol w:w="942"/>
        <w:gridCol w:w="754"/>
        <w:gridCol w:w="754"/>
        <w:gridCol w:w="754"/>
        <w:gridCol w:w="754"/>
        <w:gridCol w:w="754"/>
        <w:gridCol w:w="754"/>
      </w:tblGrid>
      <w:tr>
        <w:trPr>
          <w:tblHeader w:val="on"/>
        </w:trPr>
        <w:tc>
          <w:tcPr>
            <w:tcBorders>
              <w:top w:val="single" w:sz="8" w:space="0" w:color="000000"/>
              <w:bottom w:val="single" w:sz="6" w:space="0" w:color="000000"/>
            </w:tcBorders>
          </w:tcPr>
          <w:p>
            <w:pPr>
              <w:pStyle w:val="TableHeader"/>
              <w:keepNext/>
              <w:ind w:firstLine="0" w:left="0"/>
              <w:jc w:val="left"/>
            </w:pPr>
            <w:r>
              <w:rPr>
                <w:rFonts w:ascii="Times New Roman" w:hAnsi="Times New Roman" w:cs="Times New Roman" w:eastAsia="Times New Roman"/>
                <w:sz w:val="20"/>
                <w:szCs w:val="20"/>
              </w:rPr>
              <w:t xml:space="preserve">Indicador de propósito</w:t>
            </w:r>
          </w:p>
        </w:tc>
        <w:tc>
          <w:tcPr>
            <w:tcBorders>
              <w:top w:val="single" w:sz="8" w:space="0" w:color="000000"/>
              <w:bottom w:val="single" w:sz="6" w:space="0" w:color="000000"/>
            </w:tcBorders>
          </w:tcPr>
          <w:p>
            <w:pPr>
              <w:pStyle w:val="TableHeader"/>
              <w:keepNext/>
              <w:ind w:firstLine="0" w:left="0"/>
              <w:jc w:val="left"/>
            </w:pPr>
            <w:r>
              <w:rPr>
                <w:rFonts w:ascii="Times New Roman" w:hAnsi="Times New Roman" w:cs="Times New Roman" w:eastAsia="Times New Roman"/>
                <w:sz w:val="20"/>
                <w:szCs w:val="20"/>
              </w:rPr>
              <w:t xml:space="preserve">Unidad de medida</w:t>
            </w:r>
          </w:p>
        </w:tc>
        <w:tc>
          <w:tcPr>
            <w:tcBorders>
              <w:top w:val="single" w:sz="8" w:space="0" w:color="000000"/>
              <w:bottom w:val="single" w:sz="6" w:space="0" w:color="000000"/>
            </w:tcBorders>
          </w:tcPr>
          <w:p>
            <w:pPr>
              <w:pStyle w:val="TableHeader"/>
              <w:keepNext/>
              <w:ind w:firstLine="0" w:left="0"/>
              <w:jc w:val="center"/>
            </w:pPr>
            <w:r>
              <w:rPr>
                <w:rFonts w:ascii="Times New Roman" w:hAnsi="Times New Roman" w:cs="Times New Roman" w:eastAsia="Times New Roman"/>
                <w:sz w:val="20"/>
                <w:szCs w:val="20"/>
              </w:rPr>
              <w:t xml:space="preserve">Meta Propósito</w:t>
            </w:r>
          </w:p>
        </w:tc>
        <w:tc>
          <w:tcPr>
            <w:tcBorders>
              <w:top w:val="single" w:sz="8" w:space="0" w:color="000000"/>
              <w:bottom w:val="single" w:sz="6" w:space="0" w:color="000000"/>
            </w:tcBorders>
          </w:tcPr>
          <w:p>
            <w:pPr>
              <w:pStyle w:val="TableHeader"/>
              <w:keepNext/>
              <w:ind w:firstLine="0" w:left="0"/>
              <w:jc w:val="center"/>
            </w:pPr>
            <w:r>
              <w:rPr>
                <w:rFonts w:ascii="Times New Roman" w:hAnsi="Times New Roman" w:cs="Times New Roman" w:eastAsia="Times New Roman"/>
                <w:sz w:val="20"/>
                <w:szCs w:val="20"/>
              </w:rPr>
              <w:t xml:space="preserve">Ponderación (%)</w:t>
            </w:r>
          </w:p>
        </w:tc>
        <w:tc>
          <w:tcPr>
            <w:tcBorders>
              <w:top w:val="single" w:sz="8" w:space="0" w:color="000000"/>
              <w:bottom w:val="single" w:sz="6" w:space="0" w:color="000000"/>
            </w:tcBorders>
          </w:tcPr>
          <w:p>
            <w:pPr>
              <w:pStyle w:val="TableHeader"/>
              <w:keepNext/>
              <w:ind w:firstLine="0" w:left="0"/>
              <w:jc w:val="right"/>
            </w:pPr>
            <w:r>
              <w:rPr>
                <w:rFonts w:ascii="Times New Roman" w:hAnsi="Times New Roman" w:cs="Times New Roman" w:eastAsia="Times New Roman"/>
                <w:sz w:val="20"/>
                <w:szCs w:val="20"/>
              </w:rPr>
              <w:t xml:space="preserve">Año 1 (2026)</w:t>
            </w:r>
          </w:p>
        </w:tc>
        <w:tc>
          <w:tcPr>
            <w:tcBorders>
              <w:top w:val="single" w:sz="8" w:space="0" w:color="000000"/>
              <w:bottom w:val="single" w:sz="6" w:space="0" w:color="000000"/>
            </w:tcBorders>
          </w:tcPr>
          <w:p>
            <w:pPr>
              <w:pStyle w:val="TableHeader"/>
              <w:keepNext/>
              <w:ind w:firstLine="0" w:left="0"/>
              <w:jc w:val="right"/>
            </w:pPr>
            <w:r>
              <w:rPr>
                <w:rFonts w:ascii="Times New Roman" w:hAnsi="Times New Roman" w:cs="Times New Roman" w:eastAsia="Times New Roman"/>
                <w:sz w:val="20"/>
                <w:szCs w:val="20"/>
              </w:rPr>
              <w:t xml:space="preserve">Año 2 (2027)</w:t>
            </w:r>
          </w:p>
        </w:tc>
        <w:tc>
          <w:tcPr>
            <w:tcBorders>
              <w:top w:val="single" w:sz="8" w:space="0" w:color="000000"/>
              <w:bottom w:val="single" w:sz="6" w:space="0" w:color="000000"/>
            </w:tcBorders>
          </w:tcPr>
          <w:p>
            <w:pPr>
              <w:pStyle w:val="TableHeader"/>
              <w:keepNext/>
              <w:ind w:firstLine="0" w:left="0"/>
              <w:jc w:val="right"/>
            </w:pPr>
            <w:r>
              <w:rPr>
                <w:rFonts w:ascii="Times New Roman" w:hAnsi="Times New Roman" w:cs="Times New Roman" w:eastAsia="Times New Roman"/>
                <w:sz w:val="20"/>
                <w:szCs w:val="20"/>
              </w:rPr>
              <w:t xml:space="preserve">Año 3 (2028)</w:t>
            </w:r>
          </w:p>
        </w:tc>
        <w:tc>
          <w:tcPr>
            <w:tcBorders>
              <w:top w:val="single" w:sz="8" w:space="0" w:color="000000"/>
              <w:bottom w:val="single" w:sz="6" w:space="0" w:color="000000"/>
            </w:tcBorders>
          </w:tcPr>
          <w:p>
            <w:pPr>
              <w:pStyle w:val="TableHeader"/>
              <w:keepNext/>
              <w:ind w:firstLine="0" w:left="0"/>
              <w:jc w:val="right"/>
            </w:pPr>
            <w:r>
              <w:rPr>
                <w:rFonts w:ascii="Times New Roman" w:hAnsi="Times New Roman" w:cs="Times New Roman" w:eastAsia="Times New Roman"/>
                <w:sz w:val="20"/>
                <w:szCs w:val="20"/>
              </w:rPr>
              <w:t xml:space="preserve">Año 4 (2029)</w:t>
            </w:r>
          </w:p>
        </w:tc>
        <w:tc>
          <w:tcPr>
            <w:tcBorders>
              <w:top w:val="single" w:sz="8" w:space="0" w:color="000000"/>
              <w:bottom w:val="single" w:sz="6" w:space="0" w:color="000000"/>
            </w:tcBorders>
          </w:tcPr>
          <w:p>
            <w:pPr>
              <w:pStyle w:val="TableHeader"/>
              <w:keepNext/>
              <w:ind w:firstLine="0" w:left="0"/>
              <w:jc w:val="right"/>
            </w:pPr>
            <w:r>
              <w:rPr>
                <w:rFonts w:ascii="Times New Roman" w:hAnsi="Times New Roman" w:cs="Times New Roman" w:eastAsia="Times New Roman"/>
                <w:sz w:val="20"/>
                <w:szCs w:val="20"/>
              </w:rPr>
              <w:t xml:space="preserve">Año 5 (2030)</w:t>
            </w:r>
          </w:p>
        </w:tc>
        <w:tc>
          <w:tcPr>
            <w:tcBorders>
              <w:top w:val="single" w:sz="8" w:space="0" w:color="000000"/>
              <w:bottom w:val="single" w:sz="6" w:space="0" w:color="000000"/>
            </w:tcBorders>
          </w:tcPr>
          <w:p>
            <w:pPr>
              <w:pStyle w:val="TableHeader"/>
              <w:keepNext/>
              <w:ind w:firstLine="0" w:left="0"/>
              <w:jc w:val="right"/>
            </w:pPr>
            <w:r>
              <w:rPr>
                <w:rFonts w:ascii="Times New Roman" w:hAnsi="Times New Roman" w:cs="Times New Roman" w:eastAsia="Times New Roman"/>
                <w:sz w:val="20"/>
                <w:szCs w:val="20"/>
              </w:rPr>
              <w:t xml:space="preserve">Total</w:t>
            </w:r>
          </w:p>
        </w:tc>
      </w:tr>
      <w:tr>
        <w:tc>
          <w:tcPr/>
          <w:p>
            <w:pPr>
              <w:pStyle w:val="TableText"/>
              <w:ind w:firstLine="0" w:left="0"/>
              <w:jc w:val="left"/>
            </w:pPr>
            <w:r>
              <w:rPr>
                <w:rFonts w:ascii="Times New Roman" w:hAnsi="Times New Roman" w:cs="Times New Roman" w:eastAsia="Times New Roman"/>
                <w:b/>
                <w:bCs/>
                <w:sz w:val="20"/>
                <w:szCs w:val="20"/>
              </w:rPr>
              <w:t xml:space="preserve">Indicador 1:</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Transitabilidad vehicular y peatonal continua y segura sobre el río Santa Rosa</w:t>
            </w:r>
          </w:p>
        </w:tc>
        <w:tc>
          <w:tcPr/>
          <w:p>
            <w:pPr>
              <w:pStyle w:val="TableText"/>
              <w:ind w:firstLine="0" w:left="0"/>
              <w:jc w:val="left"/>
            </w:pPr>
            <w:r>
              <w:rPr>
                <w:rFonts w:ascii="Times New Roman" w:hAnsi="Times New Roman" w:cs="Times New Roman" w:eastAsia="Times New Roman"/>
                <w:sz w:val="20"/>
                <w:szCs w:val="20"/>
              </w:rPr>
              <w:t xml:space="preserve">Días al año con paso habilitado</w:t>
            </w:r>
          </w:p>
        </w:tc>
        <w:tc>
          <w:tcPr/>
          <w:p>
            <w:pPr>
              <w:pStyle w:val="TableText"/>
              <w:ind w:firstLine="0" w:left="0"/>
              <w:jc w:val="center"/>
            </w:pPr>
            <w:r>
              <w:rPr>
                <w:rFonts w:ascii="Times New Roman" w:hAnsi="Times New Roman" w:cs="Times New Roman" w:eastAsia="Times New Roman"/>
                <w:sz w:val="20"/>
                <w:szCs w:val="20"/>
              </w:rPr>
              <w:t xml:space="preserve">365</w:t>
            </w:r>
          </w:p>
        </w:tc>
        <w:tc>
          <w:tcPr/>
          <w:p>
            <w:pPr>
              <w:pStyle w:val="TableText"/>
              <w:ind w:firstLine="0" w:left="0"/>
              <w:jc w:val="center"/>
            </w:pPr>
            <w:r>
              <w:rPr>
                <w:rFonts w:ascii="Times New Roman" w:hAnsi="Times New Roman" w:cs="Times New Roman" w:eastAsia="Times New Roman"/>
                <w:sz w:val="20"/>
                <w:szCs w:val="20"/>
              </w:rPr>
              <w:t xml:space="preserve">60</w:t>
            </w:r>
          </w:p>
        </w:tc>
        <w:tc>
          <w:tcPr/>
          <w:p>
            <w:pPr>
              <w:pStyle w:val="TableText"/>
              <w:ind w:firstLine="0" w:left="0"/>
              <w:jc w:val="right"/>
            </w:pPr>
            <w:r>
              <w:rPr>
                <w:rFonts w:ascii="Times New Roman" w:hAnsi="Times New Roman" w:cs="Times New Roman" w:eastAsia="Times New Roman"/>
                <w:sz w:val="20"/>
                <w:szCs w:val="20"/>
              </w:rPr>
              <w:t xml:space="preserve">260</w:t>
            </w:r>
          </w:p>
        </w:tc>
        <w:tc>
          <w:tcPr/>
          <w:p>
            <w:pPr>
              <w:pStyle w:val="TableText"/>
              <w:ind w:firstLine="0" w:left="0"/>
              <w:jc w:val="right"/>
            </w:pPr>
            <w:r>
              <w:rPr>
                <w:rFonts w:ascii="Times New Roman" w:hAnsi="Times New Roman" w:cs="Times New Roman" w:eastAsia="Times New Roman"/>
                <w:sz w:val="20"/>
                <w:szCs w:val="20"/>
              </w:rPr>
              <w:t xml:space="preserve">365</w:t>
            </w:r>
          </w:p>
        </w:tc>
        <w:tc>
          <w:tcPr/>
          <w:p>
            <w:pPr>
              <w:pStyle w:val="TableText"/>
              <w:ind w:firstLine="0" w:left="0"/>
              <w:jc w:val="right"/>
            </w:pPr>
            <w:r>
              <w:rPr>
                <w:rFonts w:ascii="Times New Roman" w:hAnsi="Times New Roman" w:cs="Times New Roman" w:eastAsia="Times New Roman"/>
                <w:sz w:val="20"/>
                <w:szCs w:val="20"/>
              </w:rPr>
              <w:t xml:space="preserve">365</w:t>
            </w:r>
          </w:p>
        </w:tc>
        <w:tc>
          <w:tcPr/>
          <w:p>
            <w:pPr>
              <w:pStyle w:val="TableText"/>
              <w:ind w:firstLine="0" w:left="0"/>
              <w:jc w:val="right"/>
            </w:pPr>
            <w:r>
              <w:rPr>
                <w:rFonts w:ascii="Times New Roman" w:hAnsi="Times New Roman" w:cs="Times New Roman" w:eastAsia="Times New Roman"/>
                <w:sz w:val="20"/>
                <w:szCs w:val="20"/>
              </w:rPr>
              <w:t xml:space="preserve">365</w:t>
            </w:r>
          </w:p>
        </w:tc>
        <w:tc>
          <w:tcPr/>
          <w:p>
            <w:pPr>
              <w:pStyle w:val="TableText"/>
              <w:ind w:firstLine="0" w:left="0"/>
              <w:jc w:val="right"/>
            </w:pPr>
            <w:r>
              <w:rPr>
                <w:rFonts w:ascii="Times New Roman" w:hAnsi="Times New Roman" w:cs="Times New Roman" w:eastAsia="Times New Roman"/>
                <w:sz w:val="20"/>
                <w:szCs w:val="20"/>
              </w:rPr>
              <w:t xml:space="preserve">365</w:t>
            </w:r>
          </w:p>
        </w:tc>
        <w:tc>
          <w:tcPr/>
          <w:p>
            <w:pPr>
              <w:pStyle w:val="TableText"/>
              <w:ind w:firstLine="0" w:left="0"/>
              <w:jc w:val="right"/>
            </w:pPr>
            <w:r>
              <w:rPr>
                <w:rFonts w:ascii="Times New Roman" w:hAnsi="Times New Roman" w:cs="Times New Roman" w:eastAsia="Times New Roman"/>
                <w:sz w:val="20"/>
                <w:szCs w:val="20"/>
              </w:rPr>
              <w:t xml:space="preserve">1.720</w:t>
            </w:r>
          </w:p>
        </w:tc>
      </w:tr>
      <w:tr>
        <w:tc>
          <w:tcPr/>
          <w:p>
            <w:pPr>
              <w:pStyle w:val="TableText"/>
              <w:ind w:firstLine="0" w:left="0"/>
              <w:jc w:val="left"/>
            </w:pPr>
            <w:r>
              <w:rPr>
                <w:rFonts w:ascii="Times New Roman" w:hAnsi="Times New Roman" w:cs="Times New Roman" w:eastAsia="Times New Roman"/>
                <w:b/>
                <w:bCs/>
                <w:sz w:val="20"/>
                <w:szCs w:val="20"/>
              </w:rPr>
              <w:t xml:space="preserve">Meta anual ponderada (Ind. 1)</w:t>
            </w:r>
          </w:p>
        </w:tc>
        <w:tc>
          <w:tcPr/>
          <w:p>
            <w:pPr>
              <w:pStyle w:val="TableText"/>
              <w:ind w:firstLine="0" w:left="0"/>
              <w:jc w:val="left"/>
            </w:pPr>
            <w:r>
              <w:rPr>
                <w:rFonts w:ascii="Times New Roman" w:hAnsi="Times New Roman" w:cs="Times New Roman" w:eastAsia="Times New Roman"/>
                <w:sz w:val="20"/>
                <w:szCs w:val="20"/>
              </w:rPr>
              <w:t xml:space="preserve">%</w:t>
            </w:r>
          </w:p>
        </w:tc>
        <w:tc>
          <w:tcPr/>
          <w:p>
            <w:pPr>
              <w:pStyle w:val="TableText"/>
              <w:ind w:firstLine="0" w:left="0"/>
              <w:jc w:val="center"/>
            </w:pPr>
            <w:r>
              <w:rPr>
                <w:rFonts w:ascii="Times New Roman" w:hAnsi="Times New Roman" w:cs="Times New Roman" w:eastAsia="Times New Roman"/>
                <w:sz w:val="20"/>
                <w:szCs w:val="20"/>
              </w:rPr>
              <w:t xml:space="preserve">—</w:t>
            </w:r>
          </w:p>
        </w:tc>
        <w:tc>
          <w:tcPr/>
          <w:p>
            <w:pPr>
              <w:pStyle w:val="TableText"/>
              <w:ind w:firstLine="0" w:left="0"/>
              <w:jc w:val="center"/>
            </w:pPr>
            <w:r>
              <w:rPr>
                <w:rFonts w:ascii="Times New Roman" w:hAnsi="Times New Roman" w:cs="Times New Roman" w:eastAsia="Times New Roman"/>
                <w:sz w:val="20"/>
                <w:szCs w:val="20"/>
              </w:rPr>
              <w:t xml:space="preserve">—</w:t>
            </w:r>
          </w:p>
        </w:tc>
        <w:tc>
          <w:tcPr/>
          <w:p>
            <w:pPr>
              <w:pStyle w:val="TableText"/>
              <w:ind w:firstLine="0" w:left="0"/>
              <w:jc w:val="right"/>
            </w:pPr>
            <w:r>
              <w:rPr>
                <w:rFonts w:ascii="Times New Roman" w:hAnsi="Times New Roman" w:cs="Times New Roman" w:eastAsia="Times New Roman"/>
                <w:sz w:val="20"/>
                <w:szCs w:val="20"/>
              </w:rPr>
              <w:t xml:space="preserve">9,07</w:t>
            </w:r>
          </w:p>
        </w:tc>
        <w:tc>
          <w:tcPr/>
          <w:p>
            <w:pPr>
              <w:pStyle w:val="TableText"/>
              <w:ind w:firstLine="0" w:left="0"/>
              <w:jc w:val="right"/>
            </w:pPr>
            <w:r>
              <w:rPr>
                <w:rFonts w:ascii="Times New Roman" w:hAnsi="Times New Roman" w:cs="Times New Roman" w:eastAsia="Times New Roman"/>
                <w:sz w:val="20"/>
                <w:szCs w:val="20"/>
              </w:rPr>
              <w:t xml:space="preserve">12,73</w:t>
            </w:r>
          </w:p>
        </w:tc>
        <w:tc>
          <w:tcPr/>
          <w:p>
            <w:pPr>
              <w:pStyle w:val="TableText"/>
              <w:ind w:firstLine="0" w:left="0"/>
              <w:jc w:val="right"/>
            </w:pPr>
            <w:r>
              <w:rPr>
                <w:rFonts w:ascii="Times New Roman" w:hAnsi="Times New Roman" w:cs="Times New Roman" w:eastAsia="Times New Roman"/>
                <w:sz w:val="20"/>
                <w:szCs w:val="20"/>
              </w:rPr>
              <w:t xml:space="preserve">12,73</w:t>
            </w:r>
          </w:p>
        </w:tc>
        <w:tc>
          <w:tcPr/>
          <w:p>
            <w:pPr>
              <w:pStyle w:val="TableText"/>
              <w:ind w:firstLine="0" w:left="0"/>
              <w:jc w:val="right"/>
            </w:pPr>
            <w:r>
              <w:rPr>
                <w:rFonts w:ascii="Times New Roman" w:hAnsi="Times New Roman" w:cs="Times New Roman" w:eastAsia="Times New Roman"/>
                <w:sz w:val="20"/>
                <w:szCs w:val="20"/>
              </w:rPr>
              <w:t xml:space="preserve">12,73</w:t>
            </w:r>
          </w:p>
        </w:tc>
        <w:tc>
          <w:tcPr/>
          <w:p>
            <w:pPr>
              <w:pStyle w:val="TableText"/>
              <w:ind w:firstLine="0" w:left="0"/>
              <w:jc w:val="right"/>
            </w:pPr>
            <w:r>
              <w:rPr>
                <w:rFonts w:ascii="Times New Roman" w:hAnsi="Times New Roman" w:cs="Times New Roman" w:eastAsia="Times New Roman"/>
                <w:sz w:val="20"/>
                <w:szCs w:val="20"/>
              </w:rPr>
              <w:t xml:space="preserve">12,73</w:t>
            </w:r>
          </w:p>
        </w:tc>
        <w:tc>
          <w:tcPr/>
          <w:p>
            <w:pPr>
              <w:pStyle w:val="TableText"/>
              <w:ind w:firstLine="0" w:left="0"/>
              <w:jc w:val="right"/>
            </w:pPr>
            <w:r>
              <w:rPr>
                <w:rFonts w:ascii="Times New Roman" w:hAnsi="Times New Roman" w:cs="Times New Roman" w:eastAsia="Times New Roman"/>
                <w:sz w:val="20"/>
                <w:szCs w:val="20"/>
              </w:rPr>
              <w:t xml:space="preserve">60,00</w:t>
            </w:r>
          </w:p>
        </w:tc>
      </w:tr>
      <w:tr>
        <w:tc>
          <w:tcPr/>
          <w:p>
            <w:pPr>
              <w:pStyle w:val="TableText"/>
              <w:ind w:firstLine="0" w:left="0"/>
              <w:jc w:val="left"/>
            </w:pPr>
            <w:r>
              <w:rPr>
                <w:rFonts w:ascii="Times New Roman" w:hAnsi="Times New Roman" w:cs="Times New Roman" w:eastAsia="Times New Roman"/>
                <w:b/>
                <w:bCs/>
                <w:sz w:val="20"/>
                <w:szCs w:val="20"/>
              </w:rPr>
              <w:t xml:space="preserve">Indicador 2:</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Tiempo promedio de cruce del cauce fluvial del río Santa Rosa</w:t>
            </w:r>
          </w:p>
        </w:tc>
        <w:tc>
          <w:tcPr/>
          <w:p>
            <w:pPr>
              <w:pStyle w:val="TableText"/>
              <w:ind w:firstLine="0" w:left="0"/>
              <w:jc w:val="left"/>
            </w:pPr>
            <w:r>
              <w:rPr>
                <w:rFonts w:ascii="Times New Roman" w:hAnsi="Times New Roman" w:cs="Times New Roman" w:eastAsia="Times New Roman"/>
                <w:sz w:val="20"/>
                <w:szCs w:val="20"/>
              </w:rPr>
              <w:t xml:space="preserve">Minutos por cruce vehicular</w:t>
            </w:r>
          </w:p>
        </w:tc>
        <w:tc>
          <w:tcPr/>
          <w:p>
            <w:pPr>
              <w:pStyle w:val="TableText"/>
              <w:ind w:firstLine="0" w:left="0"/>
              <w:jc w:val="center"/>
            </w:pPr>
            <w:r>
              <w:rPr>
                <w:rFonts w:ascii="Times New Roman" w:hAnsi="Times New Roman" w:cs="Times New Roman" w:eastAsia="Times New Roman"/>
                <w:sz w:val="20"/>
                <w:szCs w:val="20"/>
              </w:rPr>
              <w:t xml:space="preserve">3</w:t>
            </w:r>
          </w:p>
        </w:tc>
        <w:tc>
          <w:tcPr/>
          <w:p>
            <w:pPr>
              <w:pStyle w:val="TableText"/>
              <w:ind w:firstLine="0" w:left="0"/>
              <w:jc w:val="center"/>
            </w:pPr>
            <w:r>
              <w:rPr>
                <w:rFonts w:ascii="Times New Roman" w:hAnsi="Times New Roman" w:cs="Times New Roman" w:eastAsia="Times New Roman"/>
                <w:sz w:val="20"/>
                <w:szCs w:val="20"/>
              </w:rPr>
              <w:t xml:space="preserve">40</w:t>
            </w:r>
          </w:p>
        </w:tc>
        <w:tc>
          <w:tcPr/>
          <w:p>
            <w:pPr>
              <w:pStyle w:val="TableText"/>
              <w:ind w:firstLine="0" w:left="0"/>
              <w:jc w:val="right"/>
            </w:pPr>
            <w:r>
              <w:rPr>
                <w:rFonts w:ascii="Times New Roman" w:hAnsi="Times New Roman" w:cs="Times New Roman" w:eastAsia="Times New Roman"/>
                <w:sz w:val="20"/>
                <w:szCs w:val="20"/>
              </w:rPr>
              <w:t xml:space="preserve">45</w:t>
            </w:r>
          </w:p>
        </w:tc>
        <w:tc>
          <w:tcPr/>
          <w:p>
            <w:pPr>
              <w:pStyle w:val="TableText"/>
              <w:ind w:firstLine="0" w:left="0"/>
              <w:jc w:val="right"/>
            </w:pPr>
            <w:r>
              <w:rPr>
                <w:rFonts w:ascii="Times New Roman" w:hAnsi="Times New Roman" w:cs="Times New Roman" w:eastAsia="Times New Roman"/>
                <w:sz w:val="20"/>
                <w:szCs w:val="20"/>
              </w:rPr>
              <w:t xml:space="preserve">3</w:t>
            </w:r>
          </w:p>
        </w:tc>
        <w:tc>
          <w:tcPr/>
          <w:p>
            <w:pPr>
              <w:pStyle w:val="TableText"/>
              <w:ind w:firstLine="0" w:left="0"/>
              <w:jc w:val="right"/>
            </w:pPr>
            <w:r>
              <w:rPr>
                <w:rFonts w:ascii="Times New Roman" w:hAnsi="Times New Roman" w:cs="Times New Roman" w:eastAsia="Times New Roman"/>
                <w:sz w:val="20"/>
                <w:szCs w:val="20"/>
              </w:rPr>
              <w:t xml:space="preserve">3</w:t>
            </w:r>
          </w:p>
        </w:tc>
        <w:tc>
          <w:tcPr/>
          <w:p>
            <w:pPr>
              <w:pStyle w:val="TableText"/>
              <w:ind w:firstLine="0" w:left="0"/>
              <w:jc w:val="right"/>
            </w:pPr>
            <w:r>
              <w:rPr>
                <w:rFonts w:ascii="Times New Roman" w:hAnsi="Times New Roman" w:cs="Times New Roman" w:eastAsia="Times New Roman"/>
                <w:sz w:val="20"/>
                <w:szCs w:val="20"/>
              </w:rPr>
              <w:t xml:space="preserve">3</w:t>
            </w:r>
          </w:p>
        </w:tc>
        <w:tc>
          <w:tcPr/>
          <w:p>
            <w:pPr>
              <w:pStyle w:val="TableText"/>
              <w:ind w:firstLine="0" w:left="0"/>
              <w:jc w:val="right"/>
            </w:pPr>
            <w:r>
              <w:rPr>
                <w:rFonts w:ascii="Times New Roman" w:hAnsi="Times New Roman" w:cs="Times New Roman" w:eastAsia="Times New Roman"/>
                <w:sz w:val="20"/>
                <w:szCs w:val="20"/>
              </w:rPr>
              <w:t xml:space="preserve">3</w:t>
            </w:r>
          </w:p>
        </w:tc>
        <w:tc>
          <w:tcPr/>
          <w:p>
            <w:pPr>
              <w:pStyle w:val="TableText"/>
              <w:ind w:firstLine="0" w:left="0"/>
              <w:jc w:val="right"/>
            </w:pPr>
            <w:r>
              <w:rPr>
                <w:rFonts w:ascii="Times New Roman" w:hAnsi="Times New Roman" w:cs="Times New Roman" w:eastAsia="Times New Roman"/>
                <w:sz w:val="20"/>
                <w:szCs w:val="20"/>
              </w:rPr>
              <w:t xml:space="preserve">57</w:t>
            </w:r>
          </w:p>
        </w:tc>
      </w:tr>
      <w:tr>
        <w:tc>
          <w:tcPr/>
          <w:p>
            <w:pPr>
              <w:pStyle w:val="TableText"/>
              <w:ind w:firstLine="0" w:left="0"/>
              <w:jc w:val="left"/>
            </w:pPr>
            <w:r>
              <w:rPr>
                <w:rFonts w:ascii="Times New Roman" w:hAnsi="Times New Roman" w:cs="Times New Roman" w:eastAsia="Times New Roman"/>
                <w:b/>
                <w:bCs/>
                <w:sz w:val="20"/>
                <w:szCs w:val="20"/>
              </w:rPr>
              <w:t xml:space="preserve">Meta anual ponderada (Ind. 2)</w:t>
            </w:r>
          </w:p>
        </w:tc>
        <w:tc>
          <w:tcPr/>
          <w:p>
            <w:pPr>
              <w:pStyle w:val="TableText"/>
              <w:ind w:firstLine="0" w:left="0"/>
              <w:jc w:val="left"/>
            </w:pPr>
            <w:r>
              <w:rPr>
                <w:rFonts w:ascii="Times New Roman" w:hAnsi="Times New Roman" w:cs="Times New Roman" w:eastAsia="Times New Roman"/>
                <w:sz w:val="20"/>
                <w:szCs w:val="20"/>
              </w:rPr>
              <w:t xml:space="preserve">%</w:t>
            </w:r>
          </w:p>
        </w:tc>
        <w:tc>
          <w:tcPr/>
          <w:p>
            <w:pPr>
              <w:pStyle w:val="TableText"/>
              <w:ind w:firstLine="0" w:left="0"/>
              <w:jc w:val="center"/>
            </w:pPr>
            <w:r>
              <w:rPr>
                <w:rFonts w:ascii="Times New Roman" w:hAnsi="Times New Roman" w:cs="Times New Roman" w:eastAsia="Times New Roman"/>
                <w:sz w:val="20"/>
                <w:szCs w:val="20"/>
              </w:rPr>
              <w:t xml:space="preserve">—</w:t>
            </w:r>
          </w:p>
        </w:tc>
        <w:tc>
          <w:tcPr/>
          <w:p>
            <w:pPr>
              <w:pStyle w:val="TableText"/>
              <w:ind w:firstLine="0" w:left="0"/>
              <w:jc w:val="center"/>
            </w:pPr>
            <w:r>
              <w:rPr>
                <w:rFonts w:ascii="Times New Roman" w:hAnsi="Times New Roman" w:cs="Times New Roman" w:eastAsia="Times New Roman"/>
                <w:sz w:val="20"/>
                <w:szCs w:val="20"/>
              </w:rPr>
              <w:t xml:space="preserve">—</w:t>
            </w:r>
          </w:p>
        </w:tc>
        <w:tc>
          <w:tcPr/>
          <w:p>
            <w:pPr>
              <w:pStyle w:val="TableText"/>
              <w:ind w:firstLine="0" w:left="0"/>
              <w:jc w:val="right"/>
            </w:pPr>
            <w:r>
              <w:rPr>
                <w:rFonts w:ascii="Times New Roman" w:hAnsi="Times New Roman" w:cs="Times New Roman" w:eastAsia="Times New Roman"/>
                <w:sz w:val="20"/>
                <w:szCs w:val="20"/>
              </w:rPr>
              <w:t xml:space="preserve">31,58</w:t>
            </w:r>
          </w:p>
        </w:tc>
        <w:tc>
          <w:tcPr/>
          <w:p>
            <w:pPr>
              <w:pStyle w:val="TableText"/>
              <w:ind w:firstLine="0" w:left="0"/>
              <w:jc w:val="right"/>
            </w:pPr>
            <w:r>
              <w:rPr>
                <w:rFonts w:ascii="Times New Roman" w:hAnsi="Times New Roman" w:cs="Times New Roman" w:eastAsia="Times New Roman"/>
                <w:sz w:val="20"/>
                <w:szCs w:val="20"/>
              </w:rPr>
              <w:t xml:space="preserve">2,11</w:t>
            </w:r>
          </w:p>
        </w:tc>
        <w:tc>
          <w:tcPr/>
          <w:p>
            <w:pPr>
              <w:pStyle w:val="TableText"/>
              <w:ind w:firstLine="0" w:left="0"/>
              <w:jc w:val="right"/>
            </w:pPr>
            <w:r>
              <w:rPr>
                <w:rFonts w:ascii="Times New Roman" w:hAnsi="Times New Roman" w:cs="Times New Roman" w:eastAsia="Times New Roman"/>
                <w:sz w:val="20"/>
                <w:szCs w:val="20"/>
              </w:rPr>
              <w:t xml:space="preserve">2,11</w:t>
            </w:r>
          </w:p>
        </w:tc>
        <w:tc>
          <w:tcPr/>
          <w:p>
            <w:pPr>
              <w:pStyle w:val="TableText"/>
              <w:ind w:firstLine="0" w:left="0"/>
              <w:jc w:val="right"/>
            </w:pPr>
            <w:r>
              <w:rPr>
                <w:rFonts w:ascii="Times New Roman" w:hAnsi="Times New Roman" w:cs="Times New Roman" w:eastAsia="Times New Roman"/>
                <w:sz w:val="20"/>
                <w:szCs w:val="20"/>
              </w:rPr>
              <w:t xml:space="preserve">2,11</w:t>
            </w:r>
          </w:p>
        </w:tc>
        <w:tc>
          <w:tcPr/>
          <w:p>
            <w:pPr>
              <w:pStyle w:val="TableText"/>
              <w:ind w:firstLine="0" w:left="0"/>
              <w:jc w:val="right"/>
            </w:pPr>
            <w:r>
              <w:rPr>
                <w:rFonts w:ascii="Times New Roman" w:hAnsi="Times New Roman" w:cs="Times New Roman" w:eastAsia="Times New Roman"/>
                <w:sz w:val="20"/>
                <w:szCs w:val="20"/>
              </w:rPr>
              <w:t xml:space="preserve">2,11</w:t>
            </w:r>
          </w:p>
        </w:tc>
        <w:tc>
          <w:tcPr/>
          <w:p>
            <w:pPr>
              <w:pStyle w:val="TableText"/>
              <w:ind w:firstLine="0" w:left="0"/>
              <w:jc w:val="right"/>
            </w:pPr>
            <w:r>
              <w:rPr>
                <w:rFonts w:ascii="Times New Roman" w:hAnsi="Times New Roman" w:cs="Times New Roman" w:eastAsia="Times New Roman"/>
                <w:sz w:val="20"/>
                <w:szCs w:val="20"/>
              </w:rPr>
              <w:t xml:space="preserve">40,00</w:t>
            </w:r>
          </w:p>
        </w:tc>
      </w:tr>
    </w:tbl>
    <w:p>
      <w:pPr>
        <w:pStyle w:val="TableNote"/>
        <w:ind w:firstLine="0" w:left="0"/>
        <w:jc w:val="both"/>
      </w:pPr>
      <w:r>
        <w:rPr>
          <w:rFonts w:ascii="Times New Roman" w:hAnsi="Times New Roman" w:cs="Times New Roman" w:eastAsia="Times New Roman"/>
          <w:i/>
          <w:iCs/>
          <w:sz w:val="20"/>
          <w:szCs w:val="20"/>
        </w:rPr>
        <w:t xml:space="preserve">Nota.</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Elaboración técnica conforme a la Guía General para la Presentación de Programas y Proyectos de Inversión Pública (Planifica Ecuador). Meta anual ponderada = (Meta año × Ponderación) / Meta Propósito.</w:t>
      </w:r>
    </w:p>
    <w:p>
      <w:pPr>
        <w:sectPr>
          <w:pgSz w:w="15840" w:h="12240" w:orient="landscape"/>
          <w:pgMar w:top="1440" w:bottom="1440" w:left="1440" w:right="1440"/>
        </w:sectPr>
      </w:pPr>
    </w:p>
    <w:bookmarkEnd w:id="77"/>
    <w:bookmarkEnd w:id="78"/>
    <w:bookmarkEnd w:id="79"/>
    <w:bookmarkStart w:id="106" w:name="análisis-integral"/>
    <w:p>
      <w:pPr>
        <w:pStyle w:val="Heading1"/>
      </w:pPr>
      <w:r>
        <w:rPr>
          <w:rFonts w:ascii="Times New Roman" w:hAnsi="Times New Roman" w:cs="Times New Roman" w:eastAsia="Times New Roman"/>
          <w:b/>
          <w:bCs/>
        </w:rPr>
        <w:t xml:space="preserve">5. Análisis integral</w:t>
      </w:r>
    </w:p>
    <w:p>
      <w:pPr>
        <w:pStyle w:val="FirstParagraph"/>
      </w:pPr>
      <w:r>
        <w:rPr>
          <w:rFonts w:ascii="Times New Roman" w:hAnsi="Times New Roman" w:cs="Times New Roman" w:eastAsia="Times New Roman"/>
        </w:rPr>
        <w:t xml:space="preserve">El presente análisis integra la valoración técnica de ingeniería, los beneficios sociales esperados, la viabilidad financiera fiscal, la rentabilidad socioeconómica y las salvaguardas ambientales de la intervención, conforme a la sección 5 de la Guía metodológica para la formulación de proyectos de inversión pública de Planifica Ecuador</w:t>
      </w:r>
      <w:r>
        <w:rPr>
          <w:rFonts w:ascii="Times New Roman" w:hAnsi="Times New Roman" w:cs="Times New Roman" w:eastAsia="Times New Roman"/>
        </w:rPr>
        <w:t xml:space="preserve"> </w:t>
      </w:r>
      <w:r>
        <w:rPr>
          <w:rFonts w:ascii="Times New Roman" w:hAnsi="Times New Roman" w:cs="Times New Roman" w:eastAsia="Times New Roman"/>
        </w:rPr>
        <w:t xml:space="preserve">Secretaría Técnica de Planificación Planifica Ecuador (</w:t>
      </w:r>
      <w:hyperlink w:anchor="ref-guia_planifica2021">
        <w:r>
          <w:rPr>
            <w:rStyle w:val="Hyperlink"/>
          </w:rPr>
          <w:t xml:space="preserve">2021</w:t>
        </w:r>
      </w:hyperlink>
      <w:r>
        <w:rPr>
          <w:rFonts w:ascii="Times New Roman" w:hAnsi="Times New Roman" w:cs="Times New Roman" w:eastAsia="Times New Roman"/>
        </w:rPr>
        <w:t xml:space="preserve">)</w:t>
      </w:r>
      <w:r>
        <w:rPr>
          <w:rFonts w:ascii="Times New Roman" w:hAnsi="Times New Roman" w:cs="Times New Roman" w:eastAsia="Times New Roman"/>
        </w:rPr>
        <w:t xml:space="preserve">.</w:t>
      </w:r>
    </w:p>
    <w:bookmarkStart w:id="83" w:name="viabilidad-técnica"/>
    <w:p>
      <w:pPr>
        <w:pStyle w:val="Heading2"/>
      </w:pPr>
      <w:r>
        <w:rPr>
          <w:rFonts w:ascii="Times New Roman" w:hAnsi="Times New Roman" w:cs="Times New Roman" w:eastAsia="Times New Roman"/>
          <w:b/>
          <w:bCs/>
        </w:rPr>
        <w:t xml:space="preserve">5.1 Viabilidad técnica</w:t>
      </w:r>
    </w:p>
    <w:p>
      <w:pPr>
        <w:pStyle w:val="FirstParagraph"/>
      </w:pPr>
      <w:r>
        <w:rPr>
          <w:rFonts w:ascii="Times New Roman" w:hAnsi="Times New Roman" w:cs="Times New Roman" w:eastAsia="Times New Roman"/>
        </w:rPr>
        <w:t xml:space="preserve">El proyecto contempla una solución técnica modular probada y de alta resiliencia para cuencas de montaña con fuerte régimen torrencial, diseñada bajo normas del Ministerio de Transporte y Obras Públicas (MTOP) y estándares internacionales:</w:t>
      </w:r>
    </w:p>
    <w:p>
      <w:pPr>
        <w:pStyle w:val="Compact"/>
        <w:numPr>
          <w:ilvl w:val="0"/>
          <w:numId w:val="1009"/>
        </w:numPr>
      </w:pPr>
      <w:r>
        <w:rPr>
          <w:rFonts w:ascii="Times New Roman" w:hAnsi="Times New Roman" w:cs="Times New Roman" w:eastAsia="Times New Roman"/>
        </w:rPr>
        <w:t xml:space="preserve">Competencia del GAD Provincial y Concurrencia Institucional: La ejecución de la obra civil cuenta con plena viabilidad legal bajo el artículo 263 de la Constitución y el artículo 42 del COOTAD</w:t>
      </w:r>
      <w:r>
        <w:rPr>
          <w:rFonts w:ascii="Times New Roman" w:hAnsi="Times New Roman" w:cs="Times New Roman" w:eastAsia="Times New Roman"/>
        </w:rPr>
        <w:t xml:space="preserve"> </w:t>
      </w:r>
      <w:r>
        <w:rPr>
          <w:rFonts w:ascii="Times New Roman" w:hAnsi="Times New Roman" w:cs="Times New Roman" w:eastAsia="Times New Roman"/>
        </w:rPr>
        <w:t xml:space="preserve">Asamblea Nacional del Ecuador (</w:t>
      </w:r>
      <w:hyperlink w:anchor="ref-cootad2010">
        <w:r>
          <w:rPr>
            <w:rStyle w:val="Hyperlink"/>
          </w:rPr>
          <w:t xml:space="preserve">2010a</w:t>
        </w:r>
      </w:hyperlink>
      <w:r>
        <w:rPr>
          <w:rFonts w:ascii="Times New Roman" w:hAnsi="Times New Roman" w:cs="Times New Roman" w:eastAsia="Times New Roman"/>
        </w:rPr>
        <w:t xml:space="preserve">)</w:t>
      </w:r>
      <w:r>
        <w:rPr>
          <w:rFonts w:ascii="Times New Roman" w:hAnsi="Times New Roman" w:cs="Times New Roman" w:eastAsia="Times New Roman"/>
        </w:rPr>
        <w:t xml:space="preserve">. La Prefectura de El Oro ejerce la rectoría técnica y asume el montaje estructural, mientras que el GAD Municipal de Santa Rosa financia los estudios geotécnicos y el GADPR Torata aporta la coordinación operativa comunitaria.</w:t>
      </w:r>
    </w:p>
    <w:p>
      <w:pPr>
        <w:pStyle w:val="Compact"/>
        <w:numPr>
          <w:ilvl w:val="0"/>
          <w:numId w:val="1009"/>
        </w:numPr>
      </w:pPr>
      <w:r>
        <w:rPr>
          <w:rFonts w:ascii="Times New Roman" w:hAnsi="Times New Roman" w:cs="Times New Roman" w:eastAsia="Times New Roman"/>
        </w:rPr>
        <w:t xml:space="preserve">Infraestructura y Disponibilidad de Terreno: Para el emplazamiento de estribos y accesos no se requiere expropiación onerosa; los propietarios de los predios colindantes han suscrito actas formales de donación y cesión de fajas de servidumbre vial de 12 metros de ancho.</w:t>
      </w:r>
    </w:p>
    <w:p>
      <w:pPr>
        <w:pStyle w:val="Compact"/>
        <w:numPr>
          <w:ilvl w:val="0"/>
          <w:numId w:val="1009"/>
        </w:numPr>
      </w:pPr>
      <w:r>
        <w:rPr>
          <w:rFonts w:ascii="Times New Roman" w:hAnsi="Times New Roman" w:cs="Times New Roman" w:eastAsia="Times New Roman"/>
        </w:rPr>
        <w:t xml:space="preserve">Disponibilidad de Recursos Financieros: Las partidas presupuestarias se encuentran certificadas en los Planes Operativos Anuales (POA 2026) y en el convenio tripartito formal suscrito entre los tres niveles de gobierno.</w:t>
      </w:r>
    </w:p>
    <w:bookmarkStart w:id="80" w:name="Xf716b9a40462440a350c63e7a5881b0eeb33b43"/>
    <w:p>
      <w:pPr>
        <w:pStyle w:val="Heading3"/>
      </w:pPr>
      <w:r>
        <w:rPr>
          <w:rFonts w:ascii="Times New Roman" w:hAnsi="Times New Roman" w:cs="Times New Roman" w:eastAsia="Times New Roman"/>
          <w:b/>
          <w:bCs/>
        </w:rPr>
        <w:t xml:space="preserve">5.1.1 Descripción de la ingeniería del proyecto</w:t>
      </w:r>
    </w:p>
    <w:p>
      <w:pPr>
        <w:pStyle w:val="FirstParagraph"/>
      </w:pPr>
      <w:r>
        <w:rPr>
          <w:rFonts w:ascii="Times New Roman" w:hAnsi="Times New Roman" w:cs="Times New Roman" w:eastAsia="Times New Roman"/>
        </w:rPr>
        <w:t xml:space="preserve">El dimensionamiento geométrico e hidráulico del puente responde a las características geomorfológicas del río Santa Rosa:</w:t>
      </w:r>
    </w:p>
    <w:p>
      <w:pPr>
        <w:pStyle w:val="Compact"/>
        <w:numPr>
          <w:ilvl w:val="0"/>
          <w:numId w:val="1010"/>
        </w:numPr>
      </w:pPr>
      <w:r>
        <w:rPr>
          <w:rFonts w:ascii="Times New Roman" w:hAnsi="Times New Roman" w:cs="Times New Roman" w:eastAsia="Times New Roman"/>
        </w:rPr>
        <w:t xml:space="preserve">Superestructura Metálica Modular: Estructura de celosía de acero estructural de alta resistencia (ASTM A572 Grado 50), modular tipo Bailey con una luz libre de 30,00 metros y un ancho de calzada útil de 4,20 metros (un carril de circulación vehicular y franja de seguridad peatonal lateral de 0,80 m con baranda metálica). Capacidad portante calculada bajo la norma AASHTO Standard Specifications for Highway Bridges con carga viva de diseño HS-20 (32 toneladas de peso bruto vehicular).</w:t>
      </w:r>
    </w:p>
    <w:p>
      <w:pPr>
        <w:pStyle w:val="Compact"/>
        <w:numPr>
          <w:ilvl w:val="0"/>
          <w:numId w:val="1010"/>
        </w:numPr>
      </w:pPr>
      <w:r>
        <w:rPr>
          <w:rFonts w:ascii="Times New Roman" w:hAnsi="Times New Roman" w:cs="Times New Roman" w:eastAsia="Times New Roman"/>
        </w:rPr>
        <w:t xml:space="preserve">Subestructura y Cimentaciones Profundas: Dos estribos de hormigón armado (</w:t>
      </w:r>
      <m:oMath>
        <m:sSup>
          <m:e>
            <m:r>
              <m:t>f</m:t>
            </m:r>
          </m:e>
          <m:sup>
            <m:r>
              <m:rPr>
                <m:sty m:val="p"/>
              </m:rPr>
              <m:t>′</m:t>
            </m:r>
          </m:sup>
        </m:sSup>
        <m:r>
          <m:t>c</m:t>
        </m:r>
        <m:r>
          <m:rPr>
            <m:sty m:val="p"/>
          </m:rPr>
          <m:t>=</m:t>
        </m:r>
        <m:r>
          <m:t>280</m:t>
        </m:r>
        <m:sSup>
          <m:e>
            <m:r>
              <m:rPr>
                <m:nor/>
                <m:sty m:val="p"/>
              </m:rPr>
              <m:t> kg/cm</m:t>
            </m:r>
          </m:e>
          <m:sup>
            <m:r>
              <m:t>2</m:t>
            </m:r>
          </m:sup>
        </m:sSup>
      </m:oMath>
      <w:r>
        <w:rPr>
          <w:rFonts w:ascii="Times New Roman" w:hAnsi="Times New Roman" w:cs="Times New Roman" w:eastAsia="Times New Roman"/>
        </w:rPr>
        <w:t xml:space="preserve">, acero corrugado</w:t>
      </w:r>
      <w:r>
        <w:rPr>
          <w:rFonts w:ascii="Times New Roman" w:hAnsi="Times New Roman" w:cs="Times New Roman" w:eastAsia="Times New Roman"/>
        </w:rPr>
        <w:t xml:space="preserve"> </w:t>
      </w:r>
      <m:oMath>
        <m:r>
          <m:t>f</m:t>
        </m:r>
        <m:r>
          <m:t>y</m:t>
        </m:r>
        <m:r>
          <m:rPr>
            <m:sty m:val="p"/>
          </m:rPr>
          <m:t>=</m:t>
        </m:r>
        <m:r>
          <m:t>4.200</m:t>
        </m:r>
        <m:sSup>
          <m:e>
            <m:r>
              <m:rPr>
                <m:nor/>
                <m:sty m:val="p"/>
              </m:rPr>
              <m:t> kg/cm</m:t>
            </m:r>
          </m:e>
          <m:sup>
            <m:r>
              <m:t>2</m:t>
            </m:r>
          </m:sup>
        </m:sSup>
      </m:oMath>
      <w:r>
        <w:rPr>
          <w:rFonts w:ascii="Times New Roman" w:hAnsi="Times New Roman" w:cs="Times New Roman" w:eastAsia="Times New Roman"/>
        </w:rPr>
        <w:t xml:space="preserve">), con zapatas desplantadas a cota no socavable sobre el estrato rocoso del lecho fluvial. Cada estribo incorpora pantallas frontales de 6,50 m de altura, aletas laterales de encauzamiento a 45° y orificios de drenaje tipo barbacana.</w:t>
      </w:r>
    </w:p>
    <w:p>
      <w:pPr>
        <w:pStyle w:val="Compact"/>
        <w:numPr>
          <w:ilvl w:val="0"/>
          <w:numId w:val="1010"/>
        </w:numPr>
      </w:pPr>
      <w:r>
        <w:rPr>
          <w:rFonts w:ascii="Times New Roman" w:hAnsi="Times New Roman" w:cs="Times New Roman" w:eastAsia="Times New Roman"/>
        </w:rPr>
        <w:t xml:space="preserve">Obras de Protección Ribereña y Accesos: Construcción de un colchón de gaviones tipo reno y muros de escollera de piedra bola de 120 m³ en el pie de los taludes para evitar la socavación por corrientes torrenciales. Conformación de 250 metros lineales de rampas de acceso con material de base granular seleccionado compactado al 95 % del Proctor Modificado y cunetas de coronación.</w:t>
      </w:r>
    </w:p>
    <w:bookmarkEnd w:id="80"/>
    <w:bookmarkStart w:id="82" w:name="especificaciones-técnicas"/>
    <w:p>
      <w:pPr>
        <w:pStyle w:val="Heading3"/>
      </w:pPr>
      <w:r>
        <w:rPr>
          <w:rFonts w:ascii="Times New Roman" w:hAnsi="Times New Roman" w:cs="Times New Roman" w:eastAsia="Times New Roman"/>
          <w:b/>
          <w:bCs/>
        </w:rPr>
        <w:t xml:space="preserve">5.1.2 Especificaciones técnicas</w:t>
      </w:r>
    </w:p>
    <w:p>
      <w:pPr>
        <w:pStyle w:val="FirstParagraph"/>
      </w:pPr>
      <w:r>
        <w:rPr>
          <w:rFonts w:ascii="Times New Roman" w:hAnsi="Times New Roman" w:cs="Times New Roman" w:eastAsia="Times New Roman"/>
        </w:rPr>
        <w:t xml:space="preserve">Para garantizar la correcta ejecución física de las obras de ingeniería vial, se establecen los requerimientos mínimos de maquinaria pesada y equipos técnicos detallados en la</w:t>
      </w:r>
      <w:r>
        <w:rPr>
          <w:rFonts w:ascii="Times New Roman" w:hAnsi="Times New Roman" w:cs="Times New Roman" w:eastAsia="Times New Roman"/>
        </w:rPr>
        <w:t xml:space="preserve"> </w:t>
      </w:r>
      <w:hyperlink w:anchor="tbl-maquinaria-puente">
        <w:r>
          <w:rPr>
            <w:rStyle w:val="Hyperlink"/>
          </w:rPr>
          <w:t xml:space="preserve">Tabla 10</w:t>
        </w:r>
      </w:hyperlink>
      <w:r>
        <w:rPr>
          <w:rFonts w:ascii="Times New Roman" w:hAnsi="Times New Roman" w:cs="Times New Roman" w:eastAsia="Times New Roman"/>
        </w:rPr>
        <w:t xml:space="preserve">.</w:t>
      </w:r>
    </w:p>
    <w:p>
      <w:pPr>
        <w:pStyle w:val="TableNumber"/>
        <w:keepNext/>
        <w:ind w:firstLine="0" w:left="0"/>
        <w:jc w:val="left"/>
      </w:pPr>
      <w:r>
        <w:rPr>
          <w:rFonts w:ascii="Times New Roman" w:hAnsi="Times New Roman" w:cs="Times New Roman" w:eastAsia="Times New Roman"/>
          <w:b/>
          <w:bCs/>
          <w:sz w:val="20"/>
          <w:szCs w:val="20"/>
        </w:rPr>
        <w:t xml:space="preserve">Tabla 10</w:t>
      </w:r>
    </w:p>
    <w:p>
      <w:pPr>
        <w:pStyle w:val="TableCaption"/>
        <w:keepNext/>
        <w:ind w:firstLine="0" w:left="0"/>
        <w:jc w:val="left"/>
      </w:pPr>
      <w:r>
        <w:rPr>
          <w:rFonts w:ascii="Times New Roman" w:hAnsi="Times New Roman" w:cs="Times New Roman" w:eastAsia="Times New Roman"/>
          <w:i/>
          <w:iCs/>
          <w:sz w:val="20"/>
          <w:szCs w:val="20"/>
        </w:rPr>
        <w:t xml:space="preserve">Requerimientos técnicos y maquinaria de obra civil</w:t>
      </w:r>
    </w:p>
    <w:tbl>
      <w:tblPr>
        <w:tblStyle w:val="Table"/>
        <w:tblLayout w:type="fixed"/>
        <w:tblLook w:firstRow="1" w:lastRow="0" w:firstColumn="0" w:lastColumn="0" w:noHBand="0" w:noVBand="0" w:val="0020"/>
        <w:tblInd w:w="0" w:type="dxa"/>
        <w:tblW w:w="5000" w:type="pct"/>
        <w:tblBorders>
          <w:top w:val="single" w:sz="8" w:space="0" w:color="000000"/>
          <w:bottom w:val="single" w:sz="8" w:space="0" w:color="000000"/>
          <w:left w:val="none" w:sz="0" w:space="0" w:color="000000"/>
          <w:right w:val="none" w:sz="0" w:space="0" w:color="000000"/>
          <w:insideH w:val="none" w:sz="0" w:space="0" w:color="000000"/>
          <w:insideV w:val="none" w:sz="0" w:space="0" w:color="000000"/>
        </w:tblBorders>
      </w:tblPr>
      <w:tblGrid>
        <w:gridCol w:w="2640"/>
        <w:gridCol w:w="2640"/>
        <w:gridCol w:w="2640"/>
      </w:tblGrid>
      <w:tr>
        <w:trPr>
          <w:tblHeader w:val="on"/>
        </w:trPr>
        <w:tc>
          <w:tcPr>
            <w:tcBorders>
              <w:top w:val="single" w:sz="8" w:space="0" w:color="000000"/>
              <w:bottom w:val="single" w:sz="6" w:space="0" w:color="000000"/>
            </w:tcBorders>
          </w:tcPr>
          <w:p>
            <w:pPr>
              <w:pStyle w:val="TableHeader"/>
              <w:keepNext/>
              <w:ind w:firstLine="0" w:left="0"/>
              <w:jc w:val="left"/>
            </w:pPr>
            <w:r>
              <w:rPr>
                <w:rFonts w:ascii="Times New Roman" w:hAnsi="Times New Roman" w:cs="Times New Roman" w:eastAsia="Times New Roman"/>
                <w:sz w:val="20"/>
                <w:szCs w:val="20"/>
              </w:rPr>
              <w:t xml:space="preserve">Fase Operativa</w:t>
            </w:r>
          </w:p>
        </w:tc>
        <w:tc>
          <w:tcPr>
            <w:tcBorders>
              <w:top w:val="single" w:sz="8" w:space="0" w:color="000000"/>
              <w:bottom w:val="single" w:sz="6" w:space="0" w:color="000000"/>
            </w:tcBorders>
          </w:tcPr>
          <w:p>
            <w:pPr>
              <w:pStyle w:val="TableHeader"/>
              <w:keepNext/>
              <w:ind w:firstLine="0" w:left="0"/>
              <w:jc w:val="left"/>
            </w:pPr>
            <w:r>
              <w:rPr>
                <w:rFonts w:ascii="Times New Roman" w:hAnsi="Times New Roman" w:cs="Times New Roman" w:eastAsia="Times New Roman"/>
                <w:sz w:val="20"/>
                <w:szCs w:val="20"/>
              </w:rPr>
              <w:t xml:space="preserve">Maquinaria / Equipo</w:t>
            </w:r>
          </w:p>
        </w:tc>
        <w:tc>
          <w:tcPr>
            <w:tcBorders>
              <w:top w:val="single" w:sz="8" w:space="0" w:color="000000"/>
              <w:bottom w:val="single" w:sz="6" w:space="0" w:color="000000"/>
            </w:tcBorders>
          </w:tcPr>
          <w:p>
            <w:pPr>
              <w:pStyle w:val="TableHeader"/>
              <w:keepNext/>
              <w:ind w:firstLine="0" w:left="0"/>
              <w:jc w:val="left"/>
            </w:pPr>
            <w:r>
              <w:rPr>
                <w:rFonts w:ascii="Times New Roman" w:hAnsi="Times New Roman" w:cs="Times New Roman" w:eastAsia="Times New Roman"/>
                <w:sz w:val="20"/>
                <w:szCs w:val="20"/>
              </w:rPr>
              <w:t xml:space="preserve">Especificación Técnica y Función</w:t>
            </w:r>
          </w:p>
        </w:tc>
      </w:tr>
      <w:tr>
        <w:tc>
          <w:tcPr/>
          <w:p>
            <w:pPr>
              <w:pStyle w:val="TableText"/>
              <w:ind w:firstLine="0" w:left="0"/>
              <w:jc w:val="left"/>
            </w:pPr>
            <w:r>
              <w:rPr>
                <w:rFonts w:ascii="Times New Roman" w:hAnsi="Times New Roman" w:cs="Times New Roman" w:eastAsia="Times New Roman"/>
                <w:sz w:val="20"/>
                <w:szCs w:val="20"/>
              </w:rPr>
              <w:t xml:space="preserve">Estudios Geotécnicos</w:t>
            </w:r>
          </w:p>
        </w:tc>
        <w:tc>
          <w:tcPr/>
          <w:p>
            <w:pPr>
              <w:pStyle w:val="TableText"/>
              <w:ind w:firstLine="0" w:left="0"/>
              <w:jc w:val="left"/>
            </w:pPr>
            <w:r>
              <w:rPr>
                <w:rFonts w:ascii="Times New Roman" w:hAnsi="Times New Roman" w:cs="Times New Roman" w:eastAsia="Times New Roman"/>
                <w:sz w:val="20"/>
                <w:szCs w:val="20"/>
              </w:rPr>
              <w:t xml:space="preserve">Perforadora rotativa SPT</w:t>
            </w:r>
          </w:p>
        </w:tc>
        <w:tc>
          <w:tcPr/>
          <w:p>
            <w:pPr>
              <w:pStyle w:val="TableText"/>
              <w:ind w:firstLine="0" w:left="0"/>
              <w:jc w:val="left"/>
            </w:pPr>
            <w:r>
              <w:rPr>
                <w:rFonts w:ascii="Times New Roman" w:hAnsi="Times New Roman" w:cs="Times New Roman" w:eastAsia="Times New Roman"/>
                <w:sz w:val="20"/>
                <w:szCs w:val="20"/>
              </w:rPr>
              <w:t xml:space="preserve">Sondeos a percusión y rotación para extracción de testigos hasta 15 m de profundidad.</w:t>
            </w:r>
          </w:p>
        </w:tc>
      </w:tr>
      <w:tr>
        <w:tc>
          <w:tcPr/>
          <w:p>
            <w:pPr>
              <w:pStyle w:val="TableText"/>
              <w:ind w:firstLine="0" w:left="0"/>
              <w:jc w:val="left"/>
            </w:pPr>
            <w:r>
              <w:rPr>
                <w:rFonts w:ascii="Times New Roman" w:hAnsi="Times New Roman" w:cs="Times New Roman" w:eastAsia="Times New Roman"/>
                <w:sz w:val="20"/>
                <w:szCs w:val="20"/>
              </w:rPr>
              <w:t xml:space="preserve">Movimiento de Tierras</w:t>
            </w:r>
          </w:p>
        </w:tc>
        <w:tc>
          <w:tcPr/>
          <w:p>
            <w:pPr>
              <w:pStyle w:val="TableText"/>
              <w:ind w:firstLine="0" w:left="0"/>
              <w:jc w:val="left"/>
            </w:pPr>
            <w:r>
              <w:rPr>
                <w:rFonts w:ascii="Times New Roman" w:hAnsi="Times New Roman" w:cs="Times New Roman" w:eastAsia="Times New Roman"/>
                <w:sz w:val="20"/>
                <w:szCs w:val="20"/>
              </w:rPr>
              <w:t xml:space="preserve">Excavadora de orugas 20 tn</w:t>
            </w:r>
          </w:p>
        </w:tc>
        <w:tc>
          <w:tcPr/>
          <w:p>
            <w:pPr>
              <w:pStyle w:val="TableText"/>
              <w:ind w:firstLine="0" w:left="0"/>
              <w:jc w:val="left"/>
            </w:pPr>
            <w:r>
              <w:rPr>
                <w:rFonts w:ascii="Times New Roman" w:hAnsi="Times New Roman" w:cs="Times New Roman" w:eastAsia="Times New Roman"/>
                <w:sz w:val="20"/>
                <w:szCs w:val="20"/>
              </w:rPr>
              <w:t xml:space="preserve">Excavación del lecho fluvial y cimentaciones de zapatas con balde de 1.1 m³.</w:t>
            </w:r>
          </w:p>
        </w:tc>
      </w:tr>
      <w:tr>
        <w:tc>
          <w:tcPr/>
          <w:p>
            <w:pPr>
              <w:pStyle w:val="TableText"/>
              <w:ind w:firstLine="0" w:left="0"/>
              <w:jc w:val="left"/>
            </w:pPr>
            <w:r>
              <w:rPr>
                <w:rFonts w:ascii="Times New Roman" w:hAnsi="Times New Roman" w:cs="Times New Roman" w:eastAsia="Times New Roman"/>
                <w:sz w:val="20"/>
                <w:szCs w:val="20"/>
              </w:rPr>
              <w:t xml:space="preserve">Obras de Cimentación</w:t>
            </w:r>
          </w:p>
        </w:tc>
        <w:tc>
          <w:tcPr/>
          <w:p>
            <w:pPr>
              <w:pStyle w:val="TableText"/>
              <w:ind w:firstLine="0" w:left="0"/>
              <w:jc w:val="left"/>
            </w:pPr>
            <w:r>
              <w:rPr>
                <w:rFonts w:ascii="Times New Roman" w:hAnsi="Times New Roman" w:cs="Times New Roman" w:eastAsia="Times New Roman"/>
                <w:sz w:val="20"/>
                <w:szCs w:val="20"/>
              </w:rPr>
              <w:t xml:space="preserve">Hormigonera y motobomba</w:t>
            </w:r>
          </w:p>
        </w:tc>
        <w:tc>
          <w:tcPr/>
          <w:p>
            <w:pPr>
              <w:pStyle w:val="TableText"/>
              <w:ind w:firstLine="0" w:left="0"/>
              <w:jc w:val="left"/>
            </w:pPr>
            <w:r>
              <w:rPr>
                <w:rFonts w:ascii="Times New Roman" w:hAnsi="Times New Roman" w:cs="Times New Roman" w:eastAsia="Times New Roman"/>
                <w:sz w:val="20"/>
                <w:szCs w:val="20"/>
              </w:rPr>
              <w:t xml:space="preserve">Mezclado y bombeo de hormigón estructural f’c=280 kg/cm² con aditivo acelerante.</w:t>
            </w:r>
          </w:p>
        </w:tc>
      </w:tr>
      <w:tr>
        <w:tc>
          <w:tcPr/>
          <w:p>
            <w:pPr>
              <w:pStyle w:val="TableText"/>
              <w:ind w:firstLine="0" w:left="0"/>
              <w:jc w:val="left"/>
            </w:pPr>
            <w:r>
              <w:rPr>
                <w:rFonts w:ascii="Times New Roman" w:hAnsi="Times New Roman" w:cs="Times New Roman" w:eastAsia="Times New Roman"/>
                <w:sz w:val="20"/>
                <w:szCs w:val="20"/>
              </w:rPr>
              <w:t xml:space="preserve">Montaje Estructural</w:t>
            </w:r>
          </w:p>
        </w:tc>
        <w:tc>
          <w:tcPr/>
          <w:p>
            <w:pPr>
              <w:pStyle w:val="TableText"/>
              <w:ind w:firstLine="0" w:left="0"/>
              <w:jc w:val="left"/>
            </w:pPr>
            <w:r>
              <w:rPr>
                <w:rFonts w:ascii="Times New Roman" w:hAnsi="Times New Roman" w:cs="Times New Roman" w:eastAsia="Times New Roman"/>
                <w:sz w:val="20"/>
                <w:szCs w:val="20"/>
              </w:rPr>
              <w:t xml:space="preserve">Grúa telescópica 35 tn</w:t>
            </w:r>
          </w:p>
        </w:tc>
        <w:tc>
          <w:tcPr/>
          <w:p>
            <w:pPr>
              <w:pStyle w:val="TableText"/>
              <w:ind w:firstLine="0" w:left="0"/>
              <w:jc w:val="left"/>
            </w:pPr>
            <w:r>
              <w:rPr>
                <w:rFonts w:ascii="Times New Roman" w:hAnsi="Times New Roman" w:cs="Times New Roman" w:eastAsia="Times New Roman"/>
                <w:sz w:val="20"/>
                <w:szCs w:val="20"/>
              </w:rPr>
              <w:t xml:space="preserve">Izaje y posicionamiento de paneles modulares de acero sobre rodillos de lanzamiento.</w:t>
            </w:r>
          </w:p>
        </w:tc>
      </w:tr>
      <w:tr>
        <w:tc>
          <w:tcPr/>
          <w:p>
            <w:pPr>
              <w:pStyle w:val="TableText"/>
              <w:ind w:firstLine="0" w:left="0"/>
              <w:jc w:val="left"/>
            </w:pPr>
            <w:r>
              <w:rPr>
                <w:rFonts w:ascii="Times New Roman" w:hAnsi="Times New Roman" w:cs="Times New Roman" w:eastAsia="Times New Roman"/>
                <w:sz w:val="20"/>
                <w:szCs w:val="20"/>
              </w:rPr>
              <w:t xml:space="preserve">Conformación Accesos</w:t>
            </w:r>
          </w:p>
        </w:tc>
        <w:tc>
          <w:tcPr/>
          <w:p>
            <w:pPr>
              <w:pStyle w:val="TableText"/>
              <w:ind w:firstLine="0" w:left="0"/>
              <w:jc w:val="left"/>
            </w:pPr>
            <w:r>
              <w:rPr>
                <w:rFonts w:ascii="Times New Roman" w:hAnsi="Times New Roman" w:cs="Times New Roman" w:eastAsia="Times New Roman"/>
                <w:sz w:val="20"/>
                <w:szCs w:val="20"/>
              </w:rPr>
              <w:t xml:space="preserve">Motoniveladora y rodillo</w:t>
            </w:r>
          </w:p>
        </w:tc>
        <w:tc>
          <w:tcPr/>
          <w:p>
            <w:pPr>
              <w:pStyle w:val="TableText"/>
              <w:ind w:firstLine="0" w:left="0"/>
              <w:jc w:val="left"/>
            </w:pPr>
            <w:r>
              <w:rPr>
                <w:rFonts w:ascii="Times New Roman" w:hAnsi="Times New Roman" w:cs="Times New Roman" w:eastAsia="Times New Roman"/>
                <w:sz w:val="20"/>
                <w:szCs w:val="20"/>
              </w:rPr>
              <w:t xml:space="preserve">Tendido, perfilado y compactación de material de base granular al 95% del Proctor Modificado.</w:t>
            </w:r>
          </w:p>
        </w:tc>
      </w:tr>
      <w:tr>
        <w:tc>
          <w:tcPr/>
          <w:p>
            <w:pPr>
              <w:pStyle w:val="TableText"/>
              <w:ind w:firstLine="0" w:left="0"/>
              <w:jc w:val="left"/>
            </w:pPr>
            <w:r>
              <w:rPr>
                <w:rFonts w:ascii="Times New Roman" w:hAnsi="Times New Roman" w:cs="Times New Roman" w:eastAsia="Times New Roman"/>
                <w:sz w:val="20"/>
                <w:szCs w:val="20"/>
              </w:rPr>
              <w:t xml:space="preserve">Transporte de Carga</w:t>
            </w:r>
          </w:p>
        </w:tc>
        <w:tc>
          <w:tcPr/>
          <w:p>
            <w:pPr>
              <w:pStyle w:val="TableText"/>
              <w:ind w:firstLine="0" w:left="0"/>
              <w:jc w:val="left"/>
            </w:pPr>
            <w:r>
              <w:rPr>
                <w:rFonts w:ascii="Times New Roman" w:hAnsi="Times New Roman" w:cs="Times New Roman" w:eastAsia="Times New Roman"/>
                <w:sz w:val="20"/>
                <w:szCs w:val="20"/>
              </w:rPr>
              <w:t xml:space="preserve">Volquetas de 12 m³</w:t>
            </w:r>
          </w:p>
        </w:tc>
        <w:tc>
          <w:tcPr/>
          <w:p>
            <w:pPr>
              <w:pStyle w:val="TableText"/>
              <w:ind w:firstLine="0" w:left="0"/>
              <w:jc w:val="left"/>
            </w:pPr>
            <w:r>
              <w:rPr>
                <w:rFonts w:ascii="Times New Roman" w:hAnsi="Times New Roman" w:cs="Times New Roman" w:eastAsia="Times New Roman"/>
                <w:sz w:val="20"/>
                <w:szCs w:val="20"/>
              </w:rPr>
              <w:t xml:space="preserve">Acarreo de material pétreo, retiro de desalojos y transporte de gaviones.</w:t>
            </w:r>
          </w:p>
        </w:tc>
      </w:tr>
    </w:tbl>
    <w:p>
      <w:pPr>
        <w:pStyle w:val="TableNote"/>
        <w:ind w:firstLine="0" w:left="0"/>
        <w:jc w:val="both"/>
      </w:pPr>
      <w:r>
        <w:rPr>
          <w:rFonts w:ascii="Times New Roman" w:hAnsi="Times New Roman" w:cs="Times New Roman" w:eastAsia="Times New Roman"/>
          <w:i/>
          <w:iCs/>
          <w:sz w:val="20"/>
          <w:szCs w:val="20"/>
        </w:rPr>
        <w:t xml:space="preserve">Nota.</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Términos de referencia técnicos de la Dirección de Obras Públicas de la Prefectura de El Oro.</w:t>
      </w:r>
    </w:p>
    <w:bookmarkEnd w:id="82"/>
    <w:bookmarkEnd w:id="83"/>
    <w:bookmarkStart w:id="90" w:name="viabilidad-financiera-fiscal"/>
    <w:p>
      <w:pPr>
        <w:pStyle w:val="Heading2"/>
      </w:pPr>
      <w:r>
        <w:rPr>
          <w:rFonts w:ascii="Times New Roman" w:hAnsi="Times New Roman" w:cs="Times New Roman" w:eastAsia="Times New Roman"/>
          <w:b/>
          <w:bCs/>
        </w:rPr>
        <w:t xml:space="preserve">5.2 Viabilidad financiera fiscal</w:t>
      </w:r>
    </w:p>
    <w:bookmarkStart w:id="84" w:name="X0b56d4d6089922974c7de30f47631de743e335e"/>
    <w:p>
      <w:pPr>
        <w:pStyle w:val="Heading3"/>
      </w:pPr>
      <w:r>
        <w:rPr>
          <w:rFonts w:ascii="Times New Roman" w:hAnsi="Times New Roman" w:cs="Times New Roman" w:eastAsia="Times New Roman"/>
          <w:b/>
          <w:bCs/>
        </w:rPr>
        <w:t xml:space="preserve">5.2.1 Metodologías utilizadas para el cálculo de la inversión total, costos de operación y mantenimiento e ingresos</w:t>
      </w:r>
    </w:p>
    <w:p>
      <w:pPr>
        <w:pStyle w:val="FirstParagraph"/>
      </w:pPr>
      <w:r>
        <w:rPr>
          <w:rFonts w:ascii="Times New Roman" w:hAnsi="Times New Roman" w:cs="Times New Roman" w:eastAsia="Times New Roman"/>
        </w:rPr>
        <w:t xml:space="preserve">La valoración de la inversión total se estructuró a partir de los Análisis de Precios Unitarios (APU) de la Cámara de la Construcción y de la Dirección de Obras Públicas de la Prefectura de El Oro vigentes a 2026, desglosando costos de materiales, mano de obra calificada y no calificada, maquinaria y herramientas menores, con un factor de costos indirectos del 18 %.</w:t>
      </w:r>
    </w:p>
    <w:p>
      <w:pPr>
        <w:pStyle w:val="BodyText"/>
      </w:pPr>
      <w:r>
        <w:rPr>
          <w:rFonts w:ascii="Times New Roman" w:hAnsi="Times New Roman" w:cs="Times New Roman" w:eastAsia="Times New Roman"/>
        </w:rPr>
        <w:t xml:space="preserve">Los costos de operación y mantenimiento (O&amp;M) se estimaron sobre la base de las tablas de mantenimiento rutinario y preventivo del Manual de Conservación Vial del MTOP para puentes metálicos modulares en climas subtropicales húmedos, considerando actividades de inspección pericial, apriete de pernería, desbroce de accesos, limpieza de palizadas y pintura anticorrosiva.</w:t>
      </w:r>
    </w:p>
    <w:bookmarkEnd w:id="84"/>
    <w:bookmarkStart w:id="87" w:name="Xc4105f579124a7b35753b866624a391618dd883"/>
    <w:p>
      <w:pPr>
        <w:pStyle w:val="Heading3"/>
      </w:pPr>
      <w:r>
        <w:rPr>
          <w:rFonts w:ascii="Times New Roman" w:hAnsi="Times New Roman" w:cs="Times New Roman" w:eastAsia="Times New Roman"/>
          <w:b/>
          <w:bCs/>
        </w:rPr>
        <w:t xml:space="preserve">5.2.2 Identificación y valoración de la inversión total, costos de operación y mantenimiento e ingresos</w:t>
      </w:r>
    </w:p>
    <w:p>
      <w:pPr>
        <w:pStyle w:val="FirstParagraph"/>
      </w:pPr>
      <w:r>
        <w:rPr>
          <w:rFonts w:ascii="Times New Roman" w:hAnsi="Times New Roman" w:cs="Times New Roman" w:eastAsia="Times New Roman"/>
        </w:rPr>
        <w:t xml:space="preserve">El presupuesto consolidado de inversión asciende a $380.274,58 USD (</w:t>
      </w:r>
      <w:hyperlink w:anchor="tbl-presupuesto-detallado-puente">
        <w:r>
          <w:rPr>
            <w:rStyle w:val="Hyperlink"/>
          </w:rPr>
          <w:t xml:space="preserve">Tabla 11</w:t>
        </w:r>
      </w:hyperlink>
      <w:r>
        <w:rPr>
          <w:rFonts w:ascii="Times New Roman" w:hAnsi="Times New Roman" w:cs="Times New Roman" w:eastAsia="Times New Roman"/>
        </w:rPr>
        <w:t xml:space="preserve">).</w:t>
      </w:r>
    </w:p>
    <w:p>
      <w:pPr>
        <w:pStyle w:val="TableNumber"/>
        <w:keepNext/>
        <w:ind w:firstLine="0" w:left="0"/>
        <w:jc w:val="left"/>
      </w:pPr>
      <w:r>
        <w:rPr>
          <w:rFonts w:ascii="Times New Roman" w:hAnsi="Times New Roman" w:cs="Times New Roman" w:eastAsia="Times New Roman"/>
          <w:b/>
          <w:bCs/>
          <w:sz w:val="20"/>
          <w:szCs w:val="20"/>
        </w:rPr>
        <w:t xml:space="preserve">Tabla 11</w:t>
      </w:r>
    </w:p>
    <w:p>
      <w:pPr>
        <w:pStyle w:val="TableCaption"/>
        <w:keepNext/>
        <w:ind w:firstLine="0" w:left="0"/>
        <w:jc w:val="left"/>
      </w:pPr>
      <w:r>
        <w:rPr>
          <w:rFonts w:ascii="Times New Roman" w:hAnsi="Times New Roman" w:cs="Times New Roman" w:eastAsia="Times New Roman"/>
          <w:i/>
          <w:iCs/>
          <w:sz w:val="20"/>
          <w:szCs w:val="20"/>
        </w:rPr>
        <w:t xml:space="preserve">Presupuesto referencial detallado de inversión del puente</w:t>
      </w:r>
    </w:p>
    <w:tbl>
      <w:tblPr>
        <w:tblStyle w:val="Table"/>
        <w:tblLayout w:type="fixed"/>
        <w:tblLook w:firstRow="1" w:lastRow="0" w:firstColumn="0" w:lastColumn="0" w:noHBand="0" w:noVBand="0" w:val="0020"/>
        <w:tblInd w:w="0" w:type="dxa"/>
        <w:tblW w:w="5000" w:type="pct"/>
        <w:tblBorders>
          <w:top w:val="single" w:sz="8" w:space="0" w:color="000000"/>
          <w:bottom w:val="single" w:sz="8" w:space="0" w:color="000000"/>
          <w:left w:val="none" w:sz="0" w:space="0" w:color="000000"/>
          <w:right w:val="none" w:sz="0" w:space="0" w:color="000000"/>
          <w:insideH w:val="none" w:sz="0" w:space="0" w:color="000000"/>
          <w:insideV w:val="none" w:sz="0" w:space="0" w:color="000000"/>
        </w:tblBorders>
      </w:tblPr>
      <w:tblGrid>
        <w:gridCol w:w="1508"/>
        <w:gridCol w:w="1508"/>
        <w:gridCol w:w="1885"/>
        <w:gridCol w:w="1508"/>
        <w:gridCol w:w="1508"/>
      </w:tblGrid>
      <w:tr>
        <w:trPr>
          <w:tblHeader w:val="on"/>
        </w:trPr>
        <w:tc>
          <w:tcPr>
            <w:tcBorders>
              <w:top w:val="single" w:sz="8" w:space="0" w:color="000000"/>
              <w:bottom w:val="single" w:sz="6" w:space="0" w:color="000000"/>
            </w:tcBorders>
          </w:tcPr>
          <w:p>
            <w:pPr>
              <w:pStyle w:val="TableHeader"/>
              <w:keepNext/>
              <w:ind w:firstLine="0" w:left="0"/>
              <w:jc w:val="right"/>
            </w:pPr>
            <w:r>
              <w:rPr>
                <w:rFonts w:ascii="Times New Roman" w:hAnsi="Times New Roman" w:cs="Times New Roman" w:eastAsia="Times New Roman"/>
                <w:sz w:val="20"/>
                <w:szCs w:val="20"/>
              </w:rPr>
              <w:t xml:space="preserve">Cantidad</w:t>
            </w:r>
          </w:p>
        </w:tc>
        <w:tc>
          <w:tcPr>
            <w:tcBorders>
              <w:top w:val="single" w:sz="8" w:space="0" w:color="000000"/>
              <w:bottom w:val="single" w:sz="6" w:space="0" w:color="000000"/>
            </w:tcBorders>
          </w:tcPr>
          <w:p>
            <w:pPr>
              <w:pStyle w:val="TableHeader"/>
              <w:keepNext/>
              <w:ind w:firstLine="0" w:left="0"/>
              <w:jc w:val="left"/>
            </w:pPr>
            <w:r>
              <w:rPr>
                <w:rFonts w:ascii="Times New Roman" w:hAnsi="Times New Roman" w:cs="Times New Roman" w:eastAsia="Times New Roman"/>
                <w:sz w:val="20"/>
                <w:szCs w:val="20"/>
              </w:rPr>
              <w:t xml:space="preserve">Rubro de Construcción</w:t>
            </w:r>
          </w:p>
        </w:tc>
        <w:tc>
          <w:tcPr>
            <w:tcBorders>
              <w:top w:val="single" w:sz="8" w:space="0" w:color="000000"/>
              <w:bottom w:val="single" w:sz="6" w:space="0" w:color="000000"/>
            </w:tcBorders>
          </w:tcPr>
          <w:p>
            <w:pPr>
              <w:pStyle w:val="TableHeader"/>
              <w:keepNext/>
              <w:ind w:firstLine="0" w:left="0"/>
              <w:jc w:val="center"/>
            </w:pPr>
            <w:r>
              <w:rPr>
                <w:rFonts w:ascii="Times New Roman" w:hAnsi="Times New Roman" w:cs="Times New Roman" w:eastAsia="Times New Roman"/>
                <w:sz w:val="20"/>
                <w:szCs w:val="20"/>
              </w:rPr>
              <w:t xml:space="preserve">Unidad</w:t>
            </w:r>
          </w:p>
        </w:tc>
        <w:tc>
          <w:tcPr>
            <w:tcBorders>
              <w:top w:val="single" w:sz="8" w:space="0" w:color="000000"/>
              <w:bottom w:val="single" w:sz="6" w:space="0" w:color="000000"/>
            </w:tcBorders>
          </w:tcPr>
          <w:p>
            <w:pPr>
              <w:pStyle w:val="TableHeader"/>
              <w:keepNext/>
              <w:ind w:firstLine="0" w:left="0"/>
              <w:jc w:val="right"/>
            </w:pPr>
            <w:r>
              <w:rPr>
                <w:rFonts w:ascii="Times New Roman" w:hAnsi="Times New Roman" w:cs="Times New Roman" w:eastAsia="Times New Roman"/>
                <w:sz w:val="20"/>
                <w:szCs w:val="20"/>
              </w:rPr>
              <w:t xml:space="preserve">Precio Unit. (USD)</w:t>
            </w:r>
          </w:p>
        </w:tc>
        <w:tc>
          <w:tcPr>
            <w:tcBorders>
              <w:top w:val="single" w:sz="8" w:space="0" w:color="000000"/>
              <w:bottom w:val="single" w:sz="6" w:space="0" w:color="000000"/>
            </w:tcBorders>
          </w:tcPr>
          <w:p>
            <w:pPr>
              <w:pStyle w:val="TableHeader"/>
              <w:keepNext/>
              <w:ind w:firstLine="0" w:left="0"/>
              <w:jc w:val="right"/>
            </w:pPr>
            <w:r>
              <w:rPr>
                <w:rFonts w:ascii="Times New Roman" w:hAnsi="Times New Roman" w:cs="Times New Roman" w:eastAsia="Times New Roman"/>
                <w:sz w:val="20"/>
                <w:szCs w:val="20"/>
              </w:rPr>
              <w:t xml:space="preserve">Total (USD)</w:t>
            </w:r>
          </w:p>
        </w:tc>
      </w:tr>
      <w:tr>
        <w:tc>
          <w:tcPr/>
          <w:p>
            <w:pPr>
              <w:pStyle w:val="TableText"/>
              <w:ind w:firstLine="0" w:left="0"/>
              <w:jc w:val="left"/>
            </w:pPr>
          </w:p>
        </w:tc>
        <w:tc>
          <w:tcPr/>
          <w:p>
            <w:pPr>
              <w:pStyle w:val="TableText"/>
              <w:ind w:firstLine="0" w:left="0"/>
              <w:jc w:val="left"/>
            </w:pPr>
            <w:r>
              <w:rPr>
                <w:rFonts w:ascii="Times New Roman" w:hAnsi="Times New Roman" w:cs="Times New Roman" w:eastAsia="Times New Roman"/>
                <w:b/>
                <w:bCs/>
                <w:sz w:val="20"/>
                <w:szCs w:val="20"/>
              </w:rPr>
              <w:t xml:space="preserve">Obras Preliminares</w:t>
            </w:r>
          </w:p>
        </w:tc>
        <w:tc>
          <w:tcPr/>
          <w:p>
            <w:pPr>
              <w:pStyle w:val="TableText"/>
              <w:ind w:firstLine="0" w:left="0"/>
              <w:jc w:val="left"/>
            </w:pPr>
          </w:p>
        </w:tc>
        <w:tc>
          <w:tcPr/>
          <w:p>
            <w:pPr>
              <w:pStyle w:val="TableText"/>
              <w:ind w:firstLine="0" w:left="0"/>
              <w:jc w:val="left"/>
            </w:pPr>
          </w:p>
        </w:tc>
        <w:tc>
          <w:tcPr/>
          <w:p>
            <w:pPr>
              <w:pStyle w:val="TableText"/>
              <w:ind w:firstLine="0" w:left="0"/>
              <w:jc w:val="right"/>
            </w:pPr>
            <w:r>
              <w:rPr>
                <w:rFonts w:ascii="Times New Roman" w:hAnsi="Times New Roman" w:cs="Times New Roman" w:eastAsia="Times New Roman"/>
                <w:b/>
                <w:bCs/>
                <w:sz w:val="20"/>
                <w:szCs w:val="20"/>
              </w:rPr>
              <w:t xml:space="preserve">3.827,74</w:t>
            </w:r>
          </w:p>
        </w:tc>
      </w:tr>
      <w:tr>
        <w:tc>
          <w:tcPr/>
          <w:p>
            <w:pPr>
              <w:pStyle w:val="TableText"/>
              <w:ind w:firstLine="0" w:left="0"/>
              <w:jc w:val="right"/>
            </w:pPr>
            <w:r>
              <w:rPr>
                <w:rFonts w:ascii="Times New Roman" w:hAnsi="Times New Roman" w:cs="Times New Roman" w:eastAsia="Times New Roman"/>
                <w:sz w:val="20"/>
                <w:szCs w:val="20"/>
              </w:rPr>
              <w:t xml:space="preserve">1.352,42</w:t>
            </w:r>
          </w:p>
        </w:tc>
        <w:tc>
          <w:tcPr/>
          <w:p>
            <w:pPr>
              <w:pStyle w:val="TableText"/>
              <w:ind w:firstLine="0" w:left="0"/>
              <w:jc w:val="left"/>
            </w:pPr>
            <w:r>
              <w:rPr>
                <w:rFonts w:ascii="Times New Roman" w:hAnsi="Times New Roman" w:cs="Times New Roman" w:eastAsia="Times New Roman"/>
                <w:sz w:val="20"/>
                <w:szCs w:val="20"/>
              </w:rPr>
              <w:t xml:space="preserve">Limpieza y desbroce</w:t>
            </w:r>
          </w:p>
        </w:tc>
        <w:tc>
          <w:tcPr/>
          <w:p>
            <w:pPr>
              <w:pStyle w:val="TableText"/>
              <w:ind w:firstLine="0" w:left="0"/>
              <w:jc w:val="center"/>
            </w:pPr>
            <w:r>
              <w:rPr>
                <w:rFonts w:ascii="Times New Roman" w:hAnsi="Times New Roman" w:cs="Times New Roman" w:eastAsia="Times New Roman"/>
                <w:sz w:val="20"/>
                <w:szCs w:val="20"/>
              </w:rPr>
              <w:t xml:space="preserve">m²</w:t>
            </w:r>
          </w:p>
        </w:tc>
        <w:tc>
          <w:tcPr/>
          <w:p>
            <w:pPr>
              <w:pStyle w:val="TableText"/>
              <w:ind w:firstLine="0" w:left="0"/>
              <w:jc w:val="right"/>
            </w:pPr>
            <w:r>
              <w:rPr>
                <w:rFonts w:ascii="Times New Roman" w:hAnsi="Times New Roman" w:cs="Times New Roman" w:eastAsia="Times New Roman"/>
                <w:sz w:val="20"/>
                <w:szCs w:val="20"/>
              </w:rPr>
              <w:t xml:space="preserve">1,73</w:t>
            </w:r>
          </w:p>
        </w:tc>
        <w:tc>
          <w:tcPr/>
          <w:p>
            <w:pPr>
              <w:pStyle w:val="TableText"/>
              <w:ind w:firstLine="0" w:left="0"/>
              <w:jc w:val="right"/>
            </w:pPr>
            <w:r>
              <w:rPr>
                <w:rFonts w:ascii="Times New Roman" w:hAnsi="Times New Roman" w:cs="Times New Roman" w:eastAsia="Times New Roman"/>
                <w:sz w:val="20"/>
                <w:szCs w:val="20"/>
              </w:rPr>
              <w:t xml:space="preserve">2.339,69</w:t>
            </w:r>
          </w:p>
        </w:tc>
      </w:tr>
      <w:tr>
        <w:tc>
          <w:tcPr/>
          <w:p>
            <w:pPr>
              <w:pStyle w:val="TableText"/>
              <w:ind w:firstLine="0" w:left="0"/>
              <w:jc w:val="right"/>
            </w:pPr>
            <w:r>
              <w:rPr>
                <w:rFonts w:ascii="Times New Roman" w:hAnsi="Times New Roman" w:cs="Times New Roman" w:eastAsia="Times New Roman"/>
                <w:sz w:val="20"/>
                <w:szCs w:val="20"/>
              </w:rPr>
              <w:t xml:space="preserve">664,31</w:t>
            </w:r>
          </w:p>
        </w:tc>
        <w:tc>
          <w:tcPr/>
          <w:p>
            <w:pPr>
              <w:pStyle w:val="TableText"/>
              <w:ind w:firstLine="0" w:left="0"/>
              <w:jc w:val="left"/>
            </w:pPr>
            <w:r>
              <w:rPr>
                <w:rFonts w:ascii="Times New Roman" w:hAnsi="Times New Roman" w:cs="Times New Roman" w:eastAsia="Times New Roman"/>
                <w:sz w:val="20"/>
                <w:szCs w:val="20"/>
              </w:rPr>
              <w:t xml:space="preserve">Trazado y replanteo</w:t>
            </w:r>
          </w:p>
        </w:tc>
        <w:tc>
          <w:tcPr/>
          <w:p>
            <w:pPr>
              <w:pStyle w:val="TableText"/>
              <w:ind w:firstLine="0" w:left="0"/>
              <w:jc w:val="center"/>
            </w:pPr>
            <w:r>
              <w:rPr>
                <w:rFonts w:ascii="Times New Roman" w:hAnsi="Times New Roman" w:cs="Times New Roman" w:eastAsia="Times New Roman"/>
                <w:sz w:val="20"/>
                <w:szCs w:val="20"/>
              </w:rPr>
              <w:t xml:space="preserve">m²</w:t>
            </w:r>
          </w:p>
        </w:tc>
        <w:tc>
          <w:tcPr/>
          <w:p>
            <w:pPr>
              <w:pStyle w:val="TableText"/>
              <w:ind w:firstLine="0" w:left="0"/>
              <w:jc w:val="right"/>
            </w:pPr>
            <w:r>
              <w:rPr>
                <w:rFonts w:ascii="Times New Roman" w:hAnsi="Times New Roman" w:cs="Times New Roman" w:eastAsia="Times New Roman"/>
                <w:sz w:val="20"/>
                <w:szCs w:val="20"/>
              </w:rPr>
              <w:t xml:space="preserve">2,24</w:t>
            </w:r>
          </w:p>
        </w:tc>
        <w:tc>
          <w:tcPr/>
          <w:p>
            <w:pPr>
              <w:pStyle w:val="TableText"/>
              <w:ind w:firstLine="0" w:left="0"/>
              <w:jc w:val="right"/>
            </w:pPr>
            <w:r>
              <w:rPr>
                <w:rFonts w:ascii="Times New Roman" w:hAnsi="Times New Roman" w:cs="Times New Roman" w:eastAsia="Times New Roman"/>
                <w:sz w:val="20"/>
                <w:szCs w:val="20"/>
              </w:rPr>
              <w:t xml:space="preserve">1.488,05</w:t>
            </w:r>
          </w:p>
        </w:tc>
      </w:tr>
      <w:tr>
        <w:tc>
          <w:tcPr/>
          <w:p>
            <w:pPr>
              <w:pStyle w:val="TableText"/>
              <w:ind w:firstLine="0" w:left="0"/>
              <w:jc w:val="left"/>
            </w:pPr>
          </w:p>
        </w:tc>
        <w:tc>
          <w:tcPr/>
          <w:p>
            <w:pPr>
              <w:pStyle w:val="TableText"/>
              <w:ind w:firstLine="0" w:left="0"/>
              <w:jc w:val="left"/>
            </w:pPr>
            <w:r>
              <w:rPr>
                <w:rFonts w:ascii="Times New Roman" w:hAnsi="Times New Roman" w:cs="Times New Roman" w:eastAsia="Times New Roman"/>
                <w:b/>
                <w:bCs/>
                <w:sz w:val="20"/>
                <w:szCs w:val="20"/>
              </w:rPr>
              <w:t xml:space="preserve">Infraestructura y Superestructura</w:t>
            </w:r>
          </w:p>
        </w:tc>
        <w:tc>
          <w:tcPr/>
          <w:p>
            <w:pPr>
              <w:pStyle w:val="TableText"/>
              <w:ind w:firstLine="0" w:left="0"/>
              <w:jc w:val="left"/>
            </w:pPr>
          </w:p>
        </w:tc>
        <w:tc>
          <w:tcPr/>
          <w:p>
            <w:pPr>
              <w:pStyle w:val="TableText"/>
              <w:ind w:firstLine="0" w:left="0"/>
              <w:jc w:val="left"/>
            </w:pPr>
          </w:p>
        </w:tc>
        <w:tc>
          <w:tcPr/>
          <w:p>
            <w:pPr>
              <w:pStyle w:val="TableText"/>
              <w:ind w:firstLine="0" w:left="0"/>
              <w:jc w:val="right"/>
            </w:pPr>
            <w:r>
              <w:rPr>
                <w:rFonts w:ascii="Times New Roman" w:hAnsi="Times New Roman" w:cs="Times New Roman" w:eastAsia="Times New Roman"/>
                <w:b/>
                <w:bCs/>
                <w:sz w:val="20"/>
                <w:szCs w:val="20"/>
              </w:rPr>
              <w:t xml:space="preserve">324.069,22</w:t>
            </w:r>
          </w:p>
        </w:tc>
      </w:tr>
      <w:tr>
        <w:tc>
          <w:tcPr/>
          <w:p>
            <w:pPr>
              <w:pStyle w:val="TableText"/>
              <w:ind w:firstLine="0" w:left="0"/>
              <w:jc w:val="right"/>
            </w:pPr>
            <w:r>
              <w:rPr>
                <w:rFonts w:ascii="Times New Roman" w:hAnsi="Times New Roman" w:cs="Times New Roman" w:eastAsia="Times New Roman"/>
                <w:sz w:val="20"/>
                <w:szCs w:val="20"/>
              </w:rPr>
              <w:t xml:space="preserve">581,70</w:t>
            </w:r>
          </w:p>
        </w:tc>
        <w:tc>
          <w:tcPr/>
          <w:p>
            <w:pPr>
              <w:pStyle w:val="TableText"/>
              <w:ind w:firstLine="0" w:left="0"/>
              <w:jc w:val="left"/>
            </w:pPr>
            <w:r>
              <w:rPr>
                <w:rFonts w:ascii="Times New Roman" w:hAnsi="Times New Roman" w:cs="Times New Roman" w:eastAsia="Times New Roman"/>
                <w:sz w:val="20"/>
                <w:szCs w:val="20"/>
              </w:rPr>
              <w:t xml:space="preserve">Excavación y relleno para puentes</w:t>
            </w:r>
          </w:p>
        </w:tc>
        <w:tc>
          <w:tcPr/>
          <w:p>
            <w:pPr>
              <w:pStyle w:val="TableText"/>
              <w:ind w:firstLine="0" w:left="0"/>
              <w:jc w:val="center"/>
            </w:pPr>
            <w:r>
              <w:rPr>
                <w:rFonts w:ascii="Times New Roman" w:hAnsi="Times New Roman" w:cs="Times New Roman" w:eastAsia="Times New Roman"/>
                <w:sz w:val="20"/>
                <w:szCs w:val="20"/>
              </w:rPr>
              <w:t xml:space="preserve">m³</w:t>
            </w:r>
          </w:p>
        </w:tc>
        <w:tc>
          <w:tcPr/>
          <w:p>
            <w:pPr>
              <w:pStyle w:val="TableText"/>
              <w:ind w:firstLine="0" w:left="0"/>
              <w:jc w:val="right"/>
            </w:pPr>
            <w:r>
              <w:rPr>
                <w:rFonts w:ascii="Times New Roman" w:hAnsi="Times New Roman" w:cs="Times New Roman" w:eastAsia="Times New Roman"/>
                <w:sz w:val="20"/>
                <w:szCs w:val="20"/>
              </w:rPr>
              <w:t xml:space="preserve">10,99</w:t>
            </w:r>
          </w:p>
        </w:tc>
        <w:tc>
          <w:tcPr/>
          <w:p>
            <w:pPr>
              <w:pStyle w:val="TableText"/>
              <w:ind w:firstLine="0" w:left="0"/>
              <w:jc w:val="right"/>
            </w:pPr>
            <w:r>
              <w:rPr>
                <w:rFonts w:ascii="Times New Roman" w:hAnsi="Times New Roman" w:cs="Times New Roman" w:eastAsia="Times New Roman"/>
                <w:sz w:val="20"/>
                <w:szCs w:val="20"/>
              </w:rPr>
              <w:t xml:space="preserve">6.392,88</w:t>
            </w:r>
          </w:p>
        </w:tc>
      </w:tr>
      <w:tr>
        <w:tc>
          <w:tcPr/>
          <w:p>
            <w:pPr>
              <w:pStyle w:val="TableText"/>
              <w:ind w:firstLine="0" w:left="0"/>
              <w:jc w:val="right"/>
            </w:pPr>
            <w:r>
              <w:rPr>
                <w:rFonts w:ascii="Times New Roman" w:hAnsi="Times New Roman" w:cs="Times New Roman" w:eastAsia="Times New Roman"/>
                <w:sz w:val="20"/>
                <w:szCs w:val="20"/>
              </w:rPr>
              <w:t xml:space="preserve">10,50</w:t>
            </w:r>
          </w:p>
        </w:tc>
        <w:tc>
          <w:tcPr/>
          <w:p>
            <w:pPr>
              <w:pStyle w:val="TableText"/>
              <w:ind w:firstLine="0" w:left="0"/>
              <w:jc w:val="left"/>
            </w:pPr>
            <w:r>
              <w:rPr>
                <w:rFonts w:ascii="Times New Roman" w:hAnsi="Times New Roman" w:cs="Times New Roman" w:eastAsia="Times New Roman"/>
                <w:sz w:val="20"/>
                <w:szCs w:val="20"/>
              </w:rPr>
              <w:t xml:space="preserve">Excavación manual</w:t>
            </w:r>
          </w:p>
        </w:tc>
        <w:tc>
          <w:tcPr/>
          <w:p>
            <w:pPr>
              <w:pStyle w:val="TableText"/>
              <w:ind w:firstLine="0" w:left="0"/>
              <w:jc w:val="center"/>
            </w:pPr>
            <w:r>
              <w:rPr>
                <w:rFonts w:ascii="Times New Roman" w:hAnsi="Times New Roman" w:cs="Times New Roman" w:eastAsia="Times New Roman"/>
                <w:sz w:val="20"/>
                <w:szCs w:val="20"/>
              </w:rPr>
              <w:t xml:space="preserve">m³</w:t>
            </w:r>
          </w:p>
        </w:tc>
        <w:tc>
          <w:tcPr/>
          <w:p>
            <w:pPr>
              <w:pStyle w:val="TableText"/>
              <w:ind w:firstLine="0" w:left="0"/>
              <w:jc w:val="right"/>
            </w:pPr>
            <w:r>
              <w:rPr>
                <w:rFonts w:ascii="Times New Roman" w:hAnsi="Times New Roman" w:cs="Times New Roman" w:eastAsia="Times New Roman"/>
                <w:sz w:val="20"/>
                <w:szCs w:val="20"/>
              </w:rPr>
              <w:t xml:space="preserve">9,73</w:t>
            </w:r>
          </w:p>
        </w:tc>
        <w:tc>
          <w:tcPr/>
          <w:p>
            <w:pPr>
              <w:pStyle w:val="TableText"/>
              <w:ind w:firstLine="0" w:left="0"/>
              <w:jc w:val="right"/>
            </w:pPr>
            <w:r>
              <w:rPr>
                <w:rFonts w:ascii="Times New Roman" w:hAnsi="Times New Roman" w:cs="Times New Roman" w:eastAsia="Times New Roman"/>
                <w:sz w:val="20"/>
                <w:szCs w:val="20"/>
              </w:rPr>
              <w:t xml:space="preserve">102,17</w:t>
            </w:r>
          </w:p>
        </w:tc>
      </w:tr>
      <w:tr>
        <w:tc>
          <w:tcPr/>
          <w:p>
            <w:pPr>
              <w:pStyle w:val="TableText"/>
              <w:ind w:firstLine="0" w:left="0"/>
              <w:jc w:val="right"/>
            </w:pPr>
            <w:r>
              <w:rPr>
                <w:rFonts w:ascii="Times New Roman" w:hAnsi="Times New Roman" w:cs="Times New Roman" w:eastAsia="Times New Roman"/>
                <w:sz w:val="20"/>
                <w:szCs w:val="20"/>
              </w:rPr>
              <w:t xml:space="preserve">20,32</w:t>
            </w:r>
          </w:p>
        </w:tc>
        <w:tc>
          <w:tcPr/>
          <w:p>
            <w:pPr>
              <w:pStyle w:val="TableText"/>
              <w:ind w:firstLine="0" w:left="0"/>
              <w:jc w:val="left"/>
            </w:pPr>
            <w:r>
              <w:rPr>
                <w:rFonts w:ascii="Times New Roman" w:hAnsi="Times New Roman" w:cs="Times New Roman" w:eastAsia="Times New Roman"/>
                <w:sz w:val="20"/>
                <w:szCs w:val="20"/>
              </w:rPr>
              <w:t xml:space="preserve">Excavación en roca</w:t>
            </w:r>
          </w:p>
        </w:tc>
        <w:tc>
          <w:tcPr/>
          <w:p>
            <w:pPr>
              <w:pStyle w:val="TableText"/>
              <w:ind w:firstLine="0" w:left="0"/>
              <w:jc w:val="center"/>
            </w:pPr>
            <w:r>
              <w:rPr>
                <w:rFonts w:ascii="Times New Roman" w:hAnsi="Times New Roman" w:cs="Times New Roman" w:eastAsia="Times New Roman"/>
                <w:sz w:val="20"/>
                <w:szCs w:val="20"/>
              </w:rPr>
              <w:t xml:space="preserve">m³</w:t>
            </w:r>
          </w:p>
        </w:tc>
        <w:tc>
          <w:tcPr/>
          <w:p>
            <w:pPr>
              <w:pStyle w:val="TableText"/>
              <w:ind w:firstLine="0" w:left="0"/>
              <w:jc w:val="right"/>
            </w:pPr>
            <w:r>
              <w:rPr>
                <w:rFonts w:ascii="Times New Roman" w:hAnsi="Times New Roman" w:cs="Times New Roman" w:eastAsia="Times New Roman"/>
                <w:sz w:val="20"/>
                <w:szCs w:val="20"/>
              </w:rPr>
              <w:t xml:space="preserve">13,51</w:t>
            </w:r>
          </w:p>
        </w:tc>
        <w:tc>
          <w:tcPr/>
          <w:p>
            <w:pPr>
              <w:pStyle w:val="TableText"/>
              <w:ind w:firstLine="0" w:left="0"/>
              <w:jc w:val="right"/>
            </w:pPr>
            <w:r>
              <w:rPr>
                <w:rFonts w:ascii="Times New Roman" w:hAnsi="Times New Roman" w:cs="Times New Roman" w:eastAsia="Times New Roman"/>
                <w:sz w:val="20"/>
                <w:szCs w:val="20"/>
              </w:rPr>
              <w:t xml:space="preserve">274,52</w:t>
            </w:r>
          </w:p>
        </w:tc>
      </w:tr>
      <w:tr>
        <w:tc>
          <w:tcPr/>
          <w:p>
            <w:pPr>
              <w:pStyle w:val="TableText"/>
              <w:ind w:firstLine="0" w:left="0"/>
              <w:jc w:val="right"/>
            </w:pPr>
            <w:r>
              <w:rPr>
                <w:rFonts w:ascii="Times New Roman" w:hAnsi="Times New Roman" w:cs="Times New Roman" w:eastAsia="Times New Roman"/>
                <w:sz w:val="20"/>
                <w:szCs w:val="20"/>
              </w:rPr>
              <w:t xml:space="preserve">22,36</w:t>
            </w:r>
          </w:p>
        </w:tc>
        <w:tc>
          <w:tcPr/>
          <w:p>
            <w:pPr>
              <w:pStyle w:val="TableText"/>
              <w:ind w:firstLine="0" w:left="0"/>
              <w:jc w:val="left"/>
            </w:pPr>
            <w:r>
              <w:rPr>
                <w:rFonts w:ascii="Times New Roman" w:hAnsi="Times New Roman" w:cs="Times New Roman" w:eastAsia="Times New Roman"/>
                <w:sz w:val="20"/>
                <w:szCs w:val="20"/>
              </w:rPr>
              <w:t xml:space="preserve">Empedrado base</w:t>
            </w:r>
            <w:r>
              <w:rPr>
                <w:rFonts w:ascii="Times New Roman" w:hAnsi="Times New Roman" w:cs="Times New Roman" w:eastAsia="Times New Roman"/>
                <w:sz w:val="20"/>
                <w:szCs w:val="20"/>
              </w:rPr>
              <w:t xml:space="preserve"> </w:t>
            </w:r>
            <m:oMath>
              <m:r>
                <m:rPr>
                  <m:sty m:val="p"/>
                </m:rPr>
                <m:t>≤</m:t>
              </m:r>
            </m:oMath>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40cm</w:t>
            </w:r>
          </w:p>
        </w:tc>
        <w:tc>
          <w:tcPr/>
          <w:p>
            <w:pPr>
              <w:pStyle w:val="TableText"/>
              <w:ind w:firstLine="0" w:left="0"/>
              <w:jc w:val="center"/>
            </w:pPr>
            <w:r>
              <w:rPr>
                <w:rFonts w:ascii="Times New Roman" w:hAnsi="Times New Roman" w:cs="Times New Roman" w:eastAsia="Times New Roman"/>
                <w:sz w:val="20"/>
                <w:szCs w:val="20"/>
              </w:rPr>
              <w:t xml:space="preserve">m³</w:t>
            </w:r>
          </w:p>
        </w:tc>
        <w:tc>
          <w:tcPr/>
          <w:p>
            <w:pPr>
              <w:pStyle w:val="TableText"/>
              <w:ind w:firstLine="0" w:left="0"/>
              <w:jc w:val="right"/>
            </w:pPr>
            <w:r>
              <w:rPr>
                <w:rFonts w:ascii="Times New Roman" w:hAnsi="Times New Roman" w:cs="Times New Roman" w:eastAsia="Times New Roman"/>
                <w:sz w:val="20"/>
                <w:szCs w:val="20"/>
              </w:rPr>
              <w:t xml:space="preserve">29,59</w:t>
            </w:r>
          </w:p>
        </w:tc>
        <w:tc>
          <w:tcPr/>
          <w:p>
            <w:pPr>
              <w:pStyle w:val="TableText"/>
              <w:ind w:firstLine="0" w:left="0"/>
              <w:jc w:val="right"/>
            </w:pPr>
            <w:r>
              <w:rPr>
                <w:rFonts w:ascii="Times New Roman" w:hAnsi="Times New Roman" w:cs="Times New Roman" w:eastAsia="Times New Roman"/>
                <w:sz w:val="20"/>
                <w:szCs w:val="20"/>
              </w:rPr>
              <w:t xml:space="preserve">661,63</w:t>
            </w:r>
          </w:p>
        </w:tc>
      </w:tr>
      <w:tr>
        <w:tc>
          <w:tcPr/>
          <w:p>
            <w:pPr>
              <w:pStyle w:val="TableText"/>
              <w:ind w:firstLine="0" w:left="0"/>
              <w:jc w:val="right"/>
            </w:pPr>
            <w:r>
              <w:rPr>
                <w:rFonts w:ascii="Times New Roman" w:hAnsi="Times New Roman" w:cs="Times New Roman" w:eastAsia="Times New Roman"/>
                <w:sz w:val="20"/>
                <w:szCs w:val="20"/>
              </w:rPr>
              <w:t xml:space="preserve">576,32</w:t>
            </w:r>
          </w:p>
        </w:tc>
        <w:tc>
          <w:tcPr/>
          <w:p>
            <w:pPr>
              <w:pStyle w:val="TableText"/>
              <w:ind w:firstLine="0" w:left="0"/>
              <w:jc w:val="left"/>
            </w:pPr>
            <w:r>
              <w:rPr>
                <w:rFonts w:ascii="Times New Roman" w:hAnsi="Times New Roman" w:cs="Times New Roman" w:eastAsia="Times New Roman"/>
                <w:sz w:val="20"/>
                <w:szCs w:val="20"/>
              </w:rPr>
              <w:t xml:space="preserve">Relleno compactado material mejoramiento</w:t>
            </w:r>
          </w:p>
        </w:tc>
        <w:tc>
          <w:tcPr/>
          <w:p>
            <w:pPr>
              <w:pStyle w:val="TableText"/>
              <w:ind w:firstLine="0" w:left="0"/>
              <w:jc w:val="center"/>
            </w:pPr>
            <w:r>
              <w:rPr>
                <w:rFonts w:ascii="Times New Roman" w:hAnsi="Times New Roman" w:cs="Times New Roman" w:eastAsia="Times New Roman"/>
                <w:sz w:val="20"/>
                <w:szCs w:val="20"/>
              </w:rPr>
              <w:t xml:space="preserve">m³</w:t>
            </w:r>
          </w:p>
        </w:tc>
        <w:tc>
          <w:tcPr/>
          <w:p>
            <w:pPr>
              <w:pStyle w:val="TableText"/>
              <w:ind w:firstLine="0" w:left="0"/>
              <w:jc w:val="right"/>
            </w:pPr>
            <w:r>
              <w:rPr>
                <w:rFonts w:ascii="Times New Roman" w:hAnsi="Times New Roman" w:cs="Times New Roman" w:eastAsia="Times New Roman"/>
                <w:sz w:val="20"/>
                <w:szCs w:val="20"/>
              </w:rPr>
              <w:t xml:space="preserve">18,92</w:t>
            </w:r>
          </w:p>
        </w:tc>
        <w:tc>
          <w:tcPr/>
          <w:p>
            <w:pPr>
              <w:pStyle w:val="TableText"/>
              <w:ind w:firstLine="0" w:left="0"/>
              <w:jc w:val="right"/>
            </w:pPr>
            <w:r>
              <w:rPr>
                <w:rFonts w:ascii="Times New Roman" w:hAnsi="Times New Roman" w:cs="Times New Roman" w:eastAsia="Times New Roman"/>
                <w:sz w:val="20"/>
                <w:szCs w:val="20"/>
              </w:rPr>
              <w:t xml:space="preserve">10.903,97</w:t>
            </w:r>
          </w:p>
        </w:tc>
      </w:tr>
      <w:tr>
        <w:tc>
          <w:tcPr/>
          <w:p>
            <w:pPr>
              <w:pStyle w:val="TableText"/>
              <w:ind w:firstLine="0" w:left="0"/>
              <w:jc w:val="right"/>
            </w:pPr>
            <w:r>
              <w:rPr>
                <w:rFonts w:ascii="Times New Roman" w:hAnsi="Times New Roman" w:cs="Times New Roman" w:eastAsia="Times New Roman"/>
                <w:sz w:val="20"/>
                <w:szCs w:val="20"/>
              </w:rPr>
              <w:t xml:space="preserve">15.128,40</w:t>
            </w:r>
          </w:p>
        </w:tc>
        <w:tc>
          <w:tcPr/>
          <w:p>
            <w:pPr>
              <w:pStyle w:val="TableText"/>
              <w:ind w:firstLine="0" w:left="0"/>
              <w:jc w:val="left"/>
            </w:pPr>
            <w:r>
              <w:rPr>
                <w:rFonts w:ascii="Times New Roman" w:hAnsi="Times New Roman" w:cs="Times New Roman" w:eastAsia="Times New Roman"/>
                <w:sz w:val="20"/>
                <w:szCs w:val="20"/>
              </w:rPr>
              <w:t xml:space="preserve">Transporte de material de mejoramiento</w:t>
            </w:r>
          </w:p>
        </w:tc>
        <w:tc>
          <w:tcPr/>
          <w:p>
            <w:pPr>
              <w:pStyle w:val="TableText"/>
              <w:ind w:firstLine="0" w:left="0"/>
              <w:jc w:val="center"/>
            </w:pPr>
            <w:r>
              <w:rPr>
                <w:rFonts w:ascii="Times New Roman" w:hAnsi="Times New Roman" w:cs="Times New Roman" w:eastAsia="Times New Roman"/>
                <w:sz w:val="20"/>
                <w:szCs w:val="20"/>
              </w:rPr>
              <w:t xml:space="preserve">m³-km</w:t>
            </w:r>
          </w:p>
        </w:tc>
        <w:tc>
          <w:tcPr/>
          <w:p>
            <w:pPr>
              <w:pStyle w:val="TableText"/>
              <w:ind w:firstLine="0" w:left="0"/>
              <w:jc w:val="right"/>
            </w:pPr>
            <w:r>
              <w:rPr>
                <w:rFonts w:ascii="Times New Roman" w:hAnsi="Times New Roman" w:cs="Times New Roman" w:eastAsia="Times New Roman"/>
                <w:sz w:val="20"/>
                <w:szCs w:val="20"/>
              </w:rPr>
              <w:t xml:space="preserve">0,28</w:t>
            </w:r>
          </w:p>
        </w:tc>
        <w:tc>
          <w:tcPr/>
          <w:p>
            <w:pPr>
              <w:pStyle w:val="TableText"/>
              <w:ind w:firstLine="0" w:left="0"/>
              <w:jc w:val="right"/>
            </w:pPr>
            <w:r>
              <w:rPr>
                <w:rFonts w:ascii="Times New Roman" w:hAnsi="Times New Roman" w:cs="Times New Roman" w:eastAsia="Times New Roman"/>
                <w:sz w:val="20"/>
                <w:szCs w:val="20"/>
              </w:rPr>
              <w:t xml:space="preserve">4.235,95</w:t>
            </w:r>
          </w:p>
        </w:tc>
      </w:tr>
      <w:tr>
        <w:tc>
          <w:tcPr/>
          <w:p>
            <w:pPr>
              <w:pStyle w:val="TableText"/>
              <w:ind w:firstLine="0" w:left="0"/>
              <w:jc w:val="right"/>
            </w:pPr>
            <w:r>
              <w:rPr>
                <w:rFonts w:ascii="Times New Roman" w:hAnsi="Times New Roman" w:cs="Times New Roman" w:eastAsia="Times New Roman"/>
                <w:sz w:val="20"/>
                <w:szCs w:val="20"/>
              </w:rPr>
              <w:t xml:space="preserve">68,50</w:t>
            </w:r>
          </w:p>
        </w:tc>
        <w:tc>
          <w:tcPr/>
          <w:p>
            <w:pPr>
              <w:pStyle w:val="TableText"/>
              <w:ind w:firstLine="0" w:left="0"/>
              <w:jc w:val="left"/>
            </w:pPr>
            <w:r>
              <w:rPr>
                <w:rFonts w:ascii="Times New Roman" w:hAnsi="Times New Roman" w:cs="Times New Roman" w:eastAsia="Times New Roman"/>
                <w:sz w:val="20"/>
                <w:szCs w:val="20"/>
              </w:rPr>
              <w:t xml:space="preserve">Hormigón simple f’c=240 kg/cm²</w:t>
            </w:r>
          </w:p>
        </w:tc>
        <w:tc>
          <w:tcPr/>
          <w:p>
            <w:pPr>
              <w:pStyle w:val="TableText"/>
              <w:ind w:firstLine="0" w:left="0"/>
              <w:jc w:val="center"/>
            </w:pPr>
            <w:r>
              <w:rPr>
                <w:rFonts w:ascii="Times New Roman" w:hAnsi="Times New Roman" w:cs="Times New Roman" w:eastAsia="Times New Roman"/>
                <w:sz w:val="20"/>
                <w:szCs w:val="20"/>
              </w:rPr>
              <w:t xml:space="preserve">m³</w:t>
            </w:r>
          </w:p>
        </w:tc>
        <w:tc>
          <w:tcPr/>
          <w:p>
            <w:pPr>
              <w:pStyle w:val="TableText"/>
              <w:ind w:firstLine="0" w:left="0"/>
              <w:jc w:val="right"/>
            </w:pPr>
            <w:r>
              <w:rPr>
                <w:rFonts w:ascii="Times New Roman" w:hAnsi="Times New Roman" w:cs="Times New Roman" w:eastAsia="Times New Roman"/>
                <w:sz w:val="20"/>
                <w:szCs w:val="20"/>
              </w:rPr>
              <w:t xml:space="preserve">280,68</w:t>
            </w:r>
          </w:p>
        </w:tc>
        <w:tc>
          <w:tcPr/>
          <w:p>
            <w:pPr>
              <w:pStyle w:val="TableText"/>
              <w:ind w:firstLine="0" w:left="0"/>
              <w:jc w:val="right"/>
            </w:pPr>
            <w:r>
              <w:rPr>
                <w:rFonts w:ascii="Times New Roman" w:hAnsi="Times New Roman" w:cs="Times New Roman" w:eastAsia="Times New Roman"/>
                <w:sz w:val="20"/>
                <w:szCs w:val="20"/>
              </w:rPr>
              <w:t xml:space="preserve">19.226,58</w:t>
            </w:r>
          </w:p>
        </w:tc>
      </w:tr>
      <w:tr>
        <w:tc>
          <w:tcPr/>
          <w:p>
            <w:pPr>
              <w:pStyle w:val="TableText"/>
              <w:ind w:firstLine="0" w:left="0"/>
              <w:jc w:val="right"/>
            </w:pPr>
            <w:r>
              <w:rPr>
                <w:rFonts w:ascii="Times New Roman" w:hAnsi="Times New Roman" w:cs="Times New Roman" w:eastAsia="Times New Roman"/>
                <w:sz w:val="20"/>
                <w:szCs w:val="20"/>
              </w:rPr>
              <w:t xml:space="preserve">10.736,50</w:t>
            </w:r>
          </w:p>
        </w:tc>
        <w:tc>
          <w:tcPr/>
          <w:p>
            <w:pPr>
              <w:pStyle w:val="TableText"/>
              <w:ind w:firstLine="0" w:left="0"/>
              <w:jc w:val="left"/>
            </w:pPr>
            <w:r>
              <w:rPr>
                <w:rFonts w:ascii="Times New Roman" w:hAnsi="Times New Roman" w:cs="Times New Roman" w:eastAsia="Times New Roman"/>
                <w:sz w:val="20"/>
                <w:szCs w:val="20"/>
              </w:rPr>
              <w:t xml:space="preserve">Acero de refuerzo fy=4200 kg/cm²</w:t>
            </w:r>
          </w:p>
        </w:tc>
        <w:tc>
          <w:tcPr/>
          <w:p>
            <w:pPr>
              <w:pStyle w:val="TableText"/>
              <w:ind w:firstLine="0" w:left="0"/>
              <w:jc w:val="center"/>
            </w:pPr>
            <w:r>
              <w:rPr>
                <w:rFonts w:ascii="Times New Roman" w:hAnsi="Times New Roman" w:cs="Times New Roman" w:eastAsia="Times New Roman"/>
                <w:sz w:val="20"/>
                <w:szCs w:val="20"/>
              </w:rPr>
              <w:t xml:space="preserve">kg</w:t>
            </w:r>
          </w:p>
        </w:tc>
        <w:tc>
          <w:tcPr/>
          <w:p>
            <w:pPr>
              <w:pStyle w:val="TableText"/>
              <w:ind w:firstLine="0" w:left="0"/>
              <w:jc w:val="right"/>
            </w:pPr>
            <w:r>
              <w:rPr>
                <w:rFonts w:ascii="Times New Roman" w:hAnsi="Times New Roman" w:cs="Times New Roman" w:eastAsia="Times New Roman"/>
                <w:sz w:val="20"/>
                <w:szCs w:val="20"/>
              </w:rPr>
              <w:t xml:space="preserve">2,60</w:t>
            </w:r>
          </w:p>
        </w:tc>
        <w:tc>
          <w:tcPr/>
          <w:p>
            <w:pPr>
              <w:pStyle w:val="TableText"/>
              <w:ind w:firstLine="0" w:left="0"/>
              <w:jc w:val="right"/>
            </w:pPr>
            <w:r>
              <w:rPr>
                <w:rFonts w:ascii="Times New Roman" w:hAnsi="Times New Roman" w:cs="Times New Roman" w:eastAsia="Times New Roman"/>
                <w:sz w:val="20"/>
                <w:szCs w:val="20"/>
              </w:rPr>
              <w:t xml:space="preserve">27.914,90</w:t>
            </w:r>
          </w:p>
        </w:tc>
      </w:tr>
      <w:tr>
        <w:tc>
          <w:tcPr/>
          <w:p>
            <w:pPr>
              <w:pStyle w:val="TableText"/>
              <w:ind w:firstLine="0" w:left="0"/>
              <w:jc w:val="right"/>
            </w:pPr>
            <w:r>
              <w:rPr>
                <w:rFonts w:ascii="Times New Roman" w:hAnsi="Times New Roman" w:cs="Times New Roman" w:eastAsia="Times New Roman"/>
                <w:sz w:val="20"/>
                <w:szCs w:val="20"/>
              </w:rPr>
              <w:t xml:space="preserve">39.972,00</w:t>
            </w:r>
          </w:p>
        </w:tc>
        <w:tc>
          <w:tcPr/>
          <w:p>
            <w:pPr>
              <w:pStyle w:val="TableText"/>
              <w:ind w:firstLine="0" w:left="0"/>
              <w:jc w:val="left"/>
            </w:pPr>
            <w:r>
              <w:rPr>
                <w:rFonts w:ascii="Times New Roman" w:hAnsi="Times New Roman" w:cs="Times New Roman" w:eastAsia="Times New Roman"/>
                <w:sz w:val="20"/>
                <w:szCs w:val="20"/>
              </w:rPr>
              <w:t xml:space="preserve">Suministro acero estructural ASTM A-588</w:t>
            </w:r>
          </w:p>
        </w:tc>
        <w:tc>
          <w:tcPr/>
          <w:p>
            <w:pPr>
              <w:pStyle w:val="TableText"/>
              <w:ind w:firstLine="0" w:left="0"/>
              <w:jc w:val="center"/>
            </w:pPr>
            <w:r>
              <w:rPr>
                <w:rFonts w:ascii="Times New Roman" w:hAnsi="Times New Roman" w:cs="Times New Roman" w:eastAsia="Times New Roman"/>
                <w:sz w:val="20"/>
                <w:szCs w:val="20"/>
              </w:rPr>
              <w:t xml:space="preserve">kg</w:t>
            </w:r>
          </w:p>
        </w:tc>
        <w:tc>
          <w:tcPr/>
          <w:p>
            <w:pPr>
              <w:pStyle w:val="TableText"/>
              <w:ind w:firstLine="0" w:left="0"/>
              <w:jc w:val="right"/>
            </w:pPr>
            <w:r>
              <w:rPr>
                <w:rFonts w:ascii="Times New Roman" w:hAnsi="Times New Roman" w:cs="Times New Roman" w:eastAsia="Times New Roman"/>
                <w:sz w:val="20"/>
                <w:szCs w:val="20"/>
              </w:rPr>
              <w:t xml:space="preserve">2,83</w:t>
            </w:r>
          </w:p>
        </w:tc>
        <w:tc>
          <w:tcPr/>
          <w:p>
            <w:pPr>
              <w:pStyle w:val="TableText"/>
              <w:ind w:firstLine="0" w:left="0"/>
              <w:jc w:val="right"/>
            </w:pPr>
            <w:r>
              <w:rPr>
                <w:rFonts w:ascii="Times New Roman" w:hAnsi="Times New Roman" w:cs="Times New Roman" w:eastAsia="Times New Roman"/>
                <w:sz w:val="20"/>
                <w:szCs w:val="20"/>
              </w:rPr>
              <w:t xml:space="preserve">113.120,76</w:t>
            </w:r>
          </w:p>
        </w:tc>
      </w:tr>
      <w:tr>
        <w:tc>
          <w:tcPr/>
          <w:p>
            <w:pPr>
              <w:pStyle w:val="TableText"/>
              <w:ind w:firstLine="0" w:left="0"/>
              <w:jc w:val="right"/>
            </w:pPr>
            <w:r>
              <w:rPr>
                <w:rFonts w:ascii="Times New Roman" w:hAnsi="Times New Roman" w:cs="Times New Roman" w:eastAsia="Times New Roman"/>
                <w:sz w:val="20"/>
                <w:szCs w:val="20"/>
              </w:rPr>
              <w:t xml:space="preserve">39.972,00</w:t>
            </w:r>
          </w:p>
        </w:tc>
        <w:tc>
          <w:tcPr/>
          <w:p>
            <w:pPr>
              <w:pStyle w:val="TableText"/>
              <w:ind w:firstLine="0" w:left="0"/>
              <w:jc w:val="left"/>
            </w:pPr>
            <w:r>
              <w:rPr>
                <w:rFonts w:ascii="Times New Roman" w:hAnsi="Times New Roman" w:cs="Times New Roman" w:eastAsia="Times New Roman"/>
                <w:sz w:val="20"/>
                <w:szCs w:val="20"/>
              </w:rPr>
              <w:t xml:space="preserve">Fabricación acero estructural ASTM A-588</w:t>
            </w:r>
          </w:p>
        </w:tc>
        <w:tc>
          <w:tcPr/>
          <w:p>
            <w:pPr>
              <w:pStyle w:val="TableText"/>
              <w:ind w:firstLine="0" w:left="0"/>
              <w:jc w:val="center"/>
            </w:pPr>
            <w:r>
              <w:rPr>
                <w:rFonts w:ascii="Times New Roman" w:hAnsi="Times New Roman" w:cs="Times New Roman" w:eastAsia="Times New Roman"/>
                <w:sz w:val="20"/>
                <w:szCs w:val="20"/>
              </w:rPr>
              <w:t xml:space="preserve">kg</w:t>
            </w:r>
          </w:p>
        </w:tc>
        <w:tc>
          <w:tcPr/>
          <w:p>
            <w:pPr>
              <w:pStyle w:val="TableText"/>
              <w:ind w:firstLine="0" w:left="0"/>
              <w:jc w:val="right"/>
            </w:pPr>
            <w:r>
              <w:rPr>
                <w:rFonts w:ascii="Times New Roman" w:hAnsi="Times New Roman" w:cs="Times New Roman" w:eastAsia="Times New Roman"/>
                <w:sz w:val="20"/>
                <w:szCs w:val="20"/>
              </w:rPr>
              <w:t xml:space="preserve">1,72</w:t>
            </w:r>
          </w:p>
        </w:tc>
        <w:tc>
          <w:tcPr/>
          <w:p>
            <w:pPr>
              <w:pStyle w:val="TableText"/>
              <w:ind w:firstLine="0" w:left="0"/>
              <w:jc w:val="right"/>
            </w:pPr>
            <w:r>
              <w:rPr>
                <w:rFonts w:ascii="Times New Roman" w:hAnsi="Times New Roman" w:cs="Times New Roman" w:eastAsia="Times New Roman"/>
                <w:sz w:val="20"/>
                <w:szCs w:val="20"/>
              </w:rPr>
              <w:t xml:space="preserve">68.751,84</w:t>
            </w:r>
          </w:p>
        </w:tc>
      </w:tr>
      <w:tr>
        <w:tc>
          <w:tcPr/>
          <w:p>
            <w:pPr>
              <w:pStyle w:val="TableText"/>
              <w:ind w:firstLine="0" w:left="0"/>
              <w:jc w:val="right"/>
            </w:pPr>
            <w:r>
              <w:rPr>
                <w:rFonts w:ascii="Times New Roman" w:hAnsi="Times New Roman" w:cs="Times New Roman" w:eastAsia="Times New Roman"/>
                <w:sz w:val="20"/>
                <w:szCs w:val="20"/>
              </w:rPr>
              <w:t xml:space="preserve">39.972,00</w:t>
            </w:r>
          </w:p>
        </w:tc>
        <w:tc>
          <w:tcPr/>
          <w:p>
            <w:pPr>
              <w:pStyle w:val="TableText"/>
              <w:ind w:firstLine="0" w:left="0"/>
              <w:jc w:val="left"/>
            </w:pPr>
            <w:r>
              <w:rPr>
                <w:rFonts w:ascii="Times New Roman" w:hAnsi="Times New Roman" w:cs="Times New Roman" w:eastAsia="Times New Roman"/>
                <w:sz w:val="20"/>
                <w:szCs w:val="20"/>
              </w:rPr>
              <w:t xml:space="preserve">Montaje acero estructural ASTM A-588</w:t>
            </w:r>
          </w:p>
        </w:tc>
        <w:tc>
          <w:tcPr/>
          <w:p>
            <w:pPr>
              <w:pStyle w:val="TableText"/>
              <w:ind w:firstLine="0" w:left="0"/>
              <w:jc w:val="center"/>
            </w:pPr>
            <w:r>
              <w:rPr>
                <w:rFonts w:ascii="Times New Roman" w:hAnsi="Times New Roman" w:cs="Times New Roman" w:eastAsia="Times New Roman"/>
                <w:sz w:val="20"/>
                <w:szCs w:val="20"/>
              </w:rPr>
              <w:t xml:space="preserve">kg</w:t>
            </w:r>
          </w:p>
        </w:tc>
        <w:tc>
          <w:tcPr/>
          <w:p>
            <w:pPr>
              <w:pStyle w:val="TableText"/>
              <w:ind w:firstLine="0" w:left="0"/>
              <w:jc w:val="right"/>
            </w:pPr>
            <w:r>
              <w:rPr>
                <w:rFonts w:ascii="Times New Roman" w:hAnsi="Times New Roman" w:cs="Times New Roman" w:eastAsia="Times New Roman"/>
                <w:sz w:val="20"/>
                <w:szCs w:val="20"/>
              </w:rPr>
              <w:t xml:space="preserve">1,49</w:t>
            </w:r>
          </w:p>
        </w:tc>
        <w:tc>
          <w:tcPr/>
          <w:p>
            <w:pPr>
              <w:pStyle w:val="TableText"/>
              <w:ind w:firstLine="0" w:left="0"/>
              <w:jc w:val="right"/>
            </w:pPr>
            <w:r>
              <w:rPr>
                <w:rFonts w:ascii="Times New Roman" w:hAnsi="Times New Roman" w:cs="Times New Roman" w:eastAsia="Times New Roman"/>
                <w:sz w:val="20"/>
                <w:szCs w:val="20"/>
              </w:rPr>
              <w:t xml:space="preserve">59.558,28</w:t>
            </w:r>
          </w:p>
        </w:tc>
      </w:tr>
      <w:tr>
        <w:tc>
          <w:tcPr/>
          <w:p>
            <w:pPr>
              <w:pStyle w:val="TableText"/>
              <w:ind w:firstLine="0" w:left="0"/>
              <w:jc w:val="right"/>
            </w:pPr>
            <w:r>
              <w:rPr>
                <w:rFonts w:ascii="Times New Roman" w:hAnsi="Times New Roman" w:cs="Times New Roman" w:eastAsia="Times New Roman"/>
                <w:sz w:val="20"/>
                <w:szCs w:val="20"/>
              </w:rPr>
              <w:t xml:space="preserve">39.972,00</w:t>
            </w:r>
          </w:p>
        </w:tc>
        <w:tc>
          <w:tcPr/>
          <w:p>
            <w:pPr>
              <w:pStyle w:val="TableText"/>
              <w:ind w:firstLine="0" w:left="0"/>
              <w:jc w:val="left"/>
            </w:pPr>
            <w:r>
              <w:rPr>
                <w:rFonts w:ascii="Times New Roman" w:hAnsi="Times New Roman" w:cs="Times New Roman" w:eastAsia="Times New Roman"/>
                <w:sz w:val="20"/>
                <w:szCs w:val="20"/>
              </w:rPr>
              <w:t xml:space="preserve">Pintura acero estructural ASTM A-588</w:t>
            </w:r>
          </w:p>
        </w:tc>
        <w:tc>
          <w:tcPr/>
          <w:p>
            <w:pPr>
              <w:pStyle w:val="TableText"/>
              <w:ind w:firstLine="0" w:left="0"/>
              <w:jc w:val="center"/>
            </w:pPr>
            <w:r>
              <w:rPr>
                <w:rFonts w:ascii="Times New Roman" w:hAnsi="Times New Roman" w:cs="Times New Roman" w:eastAsia="Times New Roman"/>
                <w:sz w:val="20"/>
                <w:szCs w:val="20"/>
              </w:rPr>
              <w:t xml:space="preserve">kg</w:t>
            </w:r>
          </w:p>
        </w:tc>
        <w:tc>
          <w:tcPr/>
          <w:p>
            <w:pPr>
              <w:pStyle w:val="TableText"/>
              <w:ind w:firstLine="0" w:left="0"/>
              <w:jc w:val="right"/>
            </w:pPr>
            <w:r>
              <w:rPr>
                <w:rFonts w:ascii="Times New Roman" w:hAnsi="Times New Roman" w:cs="Times New Roman" w:eastAsia="Times New Roman"/>
                <w:sz w:val="20"/>
                <w:szCs w:val="20"/>
              </w:rPr>
              <w:t xml:space="preserve">0,19</w:t>
            </w:r>
          </w:p>
        </w:tc>
        <w:tc>
          <w:tcPr/>
          <w:p>
            <w:pPr>
              <w:pStyle w:val="TableText"/>
              <w:ind w:firstLine="0" w:left="0"/>
              <w:jc w:val="right"/>
            </w:pPr>
            <w:r>
              <w:rPr>
                <w:rFonts w:ascii="Times New Roman" w:hAnsi="Times New Roman" w:cs="Times New Roman" w:eastAsia="Times New Roman"/>
                <w:sz w:val="20"/>
                <w:szCs w:val="20"/>
              </w:rPr>
              <w:t xml:space="preserve">7.594,68</w:t>
            </w:r>
          </w:p>
        </w:tc>
      </w:tr>
      <w:tr>
        <w:tc>
          <w:tcPr/>
          <w:p>
            <w:pPr>
              <w:pStyle w:val="TableText"/>
              <w:ind w:firstLine="0" w:left="0"/>
              <w:jc w:val="right"/>
            </w:pPr>
            <w:r>
              <w:rPr>
                <w:rFonts w:ascii="Times New Roman" w:hAnsi="Times New Roman" w:cs="Times New Roman" w:eastAsia="Times New Roman"/>
                <w:sz w:val="20"/>
                <w:szCs w:val="20"/>
              </w:rPr>
              <w:t xml:space="preserve">55,70</w:t>
            </w:r>
          </w:p>
        </w:tc>
        <w:tc>
          <w:tcPr/>
          <w:p>
            <w:pPr>
              <w:pStyle w:val="TableText"/>
              <w:ind w:firstLine="0" w:left="0"/>
              <w:jc w:val="left"/>
            </w:pPr>
            <w:r>
              <w:rPr>
                <w:rFonts w:ascii="Times New Roman" w:hAnsi="Times New Roman" w:cs="Times New Roman" w:eastAsia="Times New Roman"/>
                <w:sz w:val="20"/>
                <w:szCs w:val="20"/>
              </w:rPr>
              <w:t xml:space="preserve">Gaviones</w:t>
            </w:r>
          </w:p>
        </w:tc>
        <w:tc>
          <w:tcPr/>
          <w:p>
            <w:pPr>
              <w:pStyle w:val="TableText"/>
              <w:ind w:firstLine="0" w:left="0"/>
              <w:jc w:val="center"/>
            </w:pPr>
            <w:r>
              <w:rPr>
                <w:rFonts w:ascii="Times New Roman" w:hAnsi="Times New Roman" w:cs="Times New Roman" w:eastAsia="Times New Roman"/>
                <w:sz w:val="20"/>
                <w:szCs w:val="20"/>
              </w:rPr>
              <w:t xml:space="preserve">m³</w:t>
            </w:r>
          </w:p>
        </w:tc>
        <w:tc>
          <w:tcPr/>
          <w:p>
            <w:pPr>
              <w:pStyle w:val="TableText"/>
              <w:ind w:firstLine="0" w:left="0"/>
              <w:jc w:val="right"/>
            </w:pPr>
            <w:r>
              <w:rPr>
                <w:rFonts w:ascii="Times New Roman" w:hAnsi="Times New Roman" w:cs="Times New Roman" w:eastAsia="Times New Roman"/>
                <w:sz w:val="20"/>
                <w:szCs w:val="20"/>
              </w:rPr>
              <w:t xml:space="preserve">95,71</w:t>
            </w:r>
          </w:p>
        </w:tc>
        <w:tc>
          <w:tcPr/>
          <w:p>
            <w:pPr>
              <w:pStyle w:val="TableText"/>
              <w:ind w:firstLine="0" w:left="0"/>
              <w:jc w:val="right"/>
            </w:pPr>
            <w:r>
              <w:rPr>
                <w:rFonts w:ascii="Times New Roman" w:hAnsi="Times New Roman" w:cs="Times New Roman" w:eastAsia="Times New Roman"/>
                <w:sz w:val="20"/>
                <w:szCs w:val="20"/>
              </w:rPr>
              <w:t xml:space="preserve">5.331,05</w:t>
            </w:r>
          </w:p>
        </w:tc>
      </w:tr>
      <w:tr>
        <w:tc>
          <w:tcPr/>
          <w:p>
            <w:pPr>
              <w:pStyle w:val="TableText"/>
              <w:ind w:firstLine="0" w:left="0"/>
              <w:jc w:val="left"/>
            </w:pPr>
          </w:p>
        </w:tc>
        <w:tc>
          <w:tcPr/>
          <w:p>
            <w:pPr>
              <w:pStyle w:val="TableText"/>
              <w:ind w:firstLine="0" w:left="0"/>
              <w:jc w:val="left"/>
            </w:pPr>
            <w:r>
              <w:rPr>
                <w:rFonts w:ascii="Times New Roman" w:hAnsi="Times New Roman" w:cs="Times New Roman" w:eastAsia="Times New Roman"/>
                <w:b/>
                <w:bCs/>
                <w:sz w:val="20"/>
                <w:szCs w:val="20"/>
              </w:rPr>
              <w:t xml:space="preserve">Mitigación de Impactos Ambientales</w:t>
            </w:r>
          </w:p>
        </w:tc>
        <w:tc>
          <w:tcPr/>
          <w:p>
            <w:pPr>
              <w:pStyle w:val="TableText"/>
              <w:ind w:firstLine="0" w:left="0"/>
              <w:jc w:val="left"/>
            </w:pPr>
          </w:p>
        </w:tc>
        <w:tc>
          <w:tcPr/>
          <w:p>
            <w:pPr>
              <w:pStyle w:val="TableText"/>
              <w:ind w:firstLine="0" w:left="0"/>
              <w:jc w:val="left"/>
            </w:pPr>
          </w:p>
        </w:tc>
        <w:tc>
          <w:tcPr/>
          <w:p>
            <w:pPr>
              <w:pStyle w:val="TableText"/>
              <w:ind w:firstLine="0" w:left="0"/>
              <w:jc w:val="right"/>
            </w:pPr>
            <w:r>
              <w:rPr>
                <w:rFonts w:ascii="Times New Roman" w:hAnsi="Times New Roman" w:cs="Times New Roman" w:eastAsia="Times New Roman"/>
                <w:b/>
                <w:bCs/>
                <w:sz w:val="20"/>
                <w:szCs w:val="20"/>
              </w:rPr>
              <w:t xml:space="preserve">2.776,59</w:t>
            </w:r>
          </w:p>
        </w:tc>
      </w:tr>
      <w:tr>
        <w:tc>
          <w:tcPr/>
          <w:p>
            <w:pPr>
              <w:pStyle w:val="TableText"/>
              <w:ind w:firstLine="0" w:left="0"/>
              <w:jc w:val="right"/>
            </w:pPr>
            <w:r>
              <w:rPr>
                <w:rFonts w:ascii="Times New Roman" w:hAnsi="Times New Roman" w:cs="Times New Roman" w:eastAsia="Times New Roman"/>
                <w:sz w:val="20"/>
                <w:szCs w:val="20"/>
              </w:rPr>
              <w:t xml:space="preserve">2,00</w:t>
            </w:r>
          </w:p>
        </w:tc>
        <w:tc>
          <w:tcPr/>
          <w:p>
            <w:pPr>
              <w:pStyle w:val="TableText"/>
              <w:ind w:firstLine="0" w:left="0"/>
              <w:jc w:val="left"/>
            </w:pPr>
            <w:r>
              <w:rPr>
                <w:rFonts w:ascii="Times New Roman" w:hAnsi="Times New Roman" w:cs="Times New Roman" w:eastAsia="Times New Roman"/>
                <w:sz w:val="20"/>
                <w:szCs w:val="20"/>
              </w:rPr>
              <w:t xml:space="preserve">Señalización tipo caballete 1,20x0,60m</w:t>
            </w:r>
          </w:p>
        </w:tc>
        <w:tc>
          <w:tcPr/>
          <w:p>
            <w:pPr>
              <w:pStyle w:val="TableText"/>
              <w:ind w:firstLine="0" w:left="0"/>
              <w:jc w:val="center"/>
            </w:pPr>
            <w:r>
              <w:rPr>
                <w:rFonts w:ascii="Times New Roman" w:hAnsi="Times New Roman" w:cs="Times New Roman" w:eastAsia="Times New Roman"/>
                <w:sz w:val="20"/>
                <w:szCs w:val="20"/>
              </w:rPr>
              <w:t xml:space="preserve">u</w:t>
            </w:r>
          </w:p>
        </w:tc>
        <w:tc>
          <w:tcPr/>
          <w:p>
            <w:pPr>
              <w:pStyle w:val="TableText"/>
              <w:ind w:firstLine="0" w:left="0"/>
              <w:jc w:val="right"/>
            </w:pPr>
            <w:r>
              <w:rPr>
                <w:rFonts w:ascii="Times New Roman" w:hAnsi="Times New Roman" w:cs="Times New Roman" w:eastAsia="Times New Roman"/>
                <w:sz w:val="20"/>
                <w:szCs w:val="20"/>
              </w:rPr>
              <w:t xml:space="preserve">178,94</w:t>
            </w:r>
          </w:p>
        </w:tc>
        <w:tc>
          <w:tcPr/>
          <w:p>
            <w:pPr>
              <w:pStyle w:val="TableText"/>
              <w:ind w:firstLine="0" w:left="0"/>
              <w:jc w:val="right"/>
            </w:pPr>
            <w:r>
              <w:rPr>
                <w:rFonts w:ascii="Times New Roman" w:hAnsi="Times New Roman" w:cs="Times New Roman" w:eastAsia="Times New Roman"/>
                <w:sz w:val="20"/>
                <w:szCs w:val="20"/>
              </w:rPr>
              <w:t xml:space="preserve">357,88</w:t>
            </w:r>
          </w:p>
        </w:tc>
      </w:tr>
      <w:tr>
        <w:tc>
          <w:tcPr/>
          <w:p>
            <w:pPr>
              <w:pStyle w:val="TableText"/>
              <w:ind w:firstLine="0" w:left="0"/>
              <w:jc w:val="right"/>
            </w:pPr>
            <w:r>
              <w:rPr>
                <w:rFonts w:ascii="Times New Roman" w:hAnsi="Times New Roman" w:cs="Times New Roman" w:eastAsia="Times New Roman"/>
                <w:sz w:val="20"/>
                <w:szCs w:val="20"/>
              </w:rPr>
              <w:t xml:space="preserve">2,00</w:t>
            </w:r>
          </w:p>
        </w:tc>
        <w:tc>
          <w:tcPr/>
          <w:p>
            <w:pPr>
              <w:pStyle w:val="TableText"/>
              <w:ind w:firstLine="0" w:left="0"/>
              <w:jc w:val="left"/>
            </w:pPr>
            <w:r>
              <w:rPr>
                <w:rFonts w:ascii="Times New Roman" w:hAnsi="Times New Roman" w:cs="Times New Roman" w:eastAsia="Times New Roman"/>
                <w:sz w:val="20"/>
                <w:szCs w:val="20"/>
              </w:rPr>
              <w:t xml:space="preserve">Rótulos ambientales 1,20x0,80m pedestal</w:t>
            </w:r>
          </w:p>
        </w:tc>
        <w:tc>
          <w:tcPr/>
          <w:p>
            <w:pPr>
              <w:pStyle w:val="TableText"/>
              <w:ind w:firstLine="0" w:left="0"/>
              <w:jc w:val="center"/>
            </w:pPr>
            <w:r>
              <w:rPr>
                <w:rFonts w:ascii="Times New Roman" w:hAnsi="Times New Roman" w:cs="Times New Roman" w:eastAsia="Times New Roman"/>
                <w:sz w:val="20"/>
                <w:szCs w:val="20"/>
              </w:rPr>
              <w:t xml:space="preserve">u</w:t>
            </w:r>
          </w:p>
        </w:tc>
        <w:tc>
          <w:tcPr/>
          <w:p>
            <w:pPr>
              <w:pStyle w:val="TableText"/>
              <w:ind w:firstLine="0" w:left="0"/>
              <w:jc w:val="right"/>
            </w:pPr>
            <w:r>
              <w:rPr>
                <w:rFonts w:ascii="Times New Roman" w:hAnsi="Times New Roman" w:cs="Times New Roman" w:eastAsia="Times New Roman"/>
                <w:sz w:val="20"/>
                <w:szCs w:val="20"/>
              </w:rPr>
              <w:t xml:space="preserve">181,45</w:t>
            </w:r>
          </w:p>
        </w:tc>
        <w:tc>
          <w:tcPr/>
          <w:p>
            <w:pPr>
              <w:pStyle w:val="TableText"/>
              <w:ind w:firstLine="0" w:left="0"/>
              <w:jc w:val="right"/>
            </w:pPr>
            <w:r>
              <w:rPr>
                <w:rFonts w:ascii="Times New Roman" w:hAnsi="Times New Roman" w:cs="Times New Roman" w:eastAsia="Times New Roman"/>
                <w:sz w:val="20"/>
                <w:szCs w:val="20"/>
              </w:rPr>
              <w:t xml:space="preserve">362,90</w:t>
            </w:r>
          </w:p>
        </w:tc>
      </w:tr>
      <w:tr>
        <w:tc>
          <w:tcPr/>
          <w:p>
            <w:pPr>
              <w:pStyle w:val="TableText"/>
              <w:ind w:firstLine="0" w:left="0"/>
              <w:jc w:val="right"/>
            </w:pPr>
            <w:r>
              <w:rPr>
                <w:rFonts w:ascii="Times New Roman" w:hAnsi="Times New Roman" w:cs="Times New Roman" w:eastAsia="Times New Roman"/>
                <w:sz w:val="20"/>
                <w:szCs w:val="20"/>
              </w:rPr>
              <w:t xml:space="preserve">200,01</w:t>
            </w:r>
          </w:p>
        </w:tc>
        <w:tc>
          <w:tcPr/>
          <w:p>
            <w:pPr>
              <w:pStyle w:val="TableText"/>
              <w:ind w:firstLine="0" w:left="0"/>
              <w:jc w:val="left"/>
            </w:pPr>
            <w:r>
              <w:rPr>
                <w:rFonts w:ascii="Times New Roman" w:hAnsi="Times New Roman" w:cs="Times New Roman" w:eastAsia="Times New Roman"/>
                <w:sz w:val="20"/>
                <w:szCs w:val="20"/>
              </w:rPr>
              <w:t xml:space="preserve">Cinta plástica señalización peligro</w:t>
            </w:r>
          </w:p>
        </w:tc>
        <w:tc>
          <w:tcPr/>
          <w:p>
            <w:pPr>
              <w:pStyle w:val="TableText"/>
              <w:ind w:firstLine="0" w:left="0"/>
              <w:jc w:val="center"/>
            </w:pPr>
            <w:r>
              <w:rPr>
                <w:rFonts w:ascii="Times New Roman" w:hAnsi="Times New Roman" w:cs="Times New Roman" w:eastAsia="Times New Roman"/>
                <w:sz w:val="20"/>
                <w:szCs w:val="20"/>
              </w:rPr>
              <w:t xml:space="preserve">m</w:t>
            </w:r>
          </w:p>
        </w:tc>
        <w:tc>
          <w:tcPr/>
          <w:p>
            <w:pPr>
              <w:pStyle w:val="TableText"/>
              <w:ind w:firstLine="0" w:left="0"/>
              <w:jc w:val="right"/>
            </w:pPr>
            <w:r>
              <w:rPr>
                <w:rFonts w:ascii="Times New Roman" w:hAnsi="Times New Roman" w:cs="Times New Roman" w:eastAsia="Times New Roman"/>
                <w:sz w:val="20"/>
                <w:szCs w:val="20"/>
              </w:rPr>
              <w:t xml:space="preserve">0,26</w:t>
            </w:r>
          </w:p>
        </w:tc>
        <w:tc>
          <w:tcPr/>
          <w:p>
            <w:pPr>
              <w:pStyle w:val="TableText"/>
              <w:ind w:firstLine="0" w:left="0"/>
              <w:jc w:val="right"/>
            </w:pPr>
            <w:r>
              <w:rPr>
                <w:rFonts w:ascii="Times New Roman" w:hAnsi="Times New Roman" w:cs="Times New Roman" w:eastAsia="Times New Roman"/>
                <w:sz w:val="20"/>
                <w:szCs w:val="20"/>
              </w:rPr>
              <w:t xml:space="preserve">52,00</w:t>
            </w:r>
          </w:p>
        </w:tc>
      </w:tr>
      <w:tr>
        <w:tc>
          <w:tcPr/>
          <w:p>
            <w:pPr>
              <w:pStyle w:val="TableText"/>
              <w:ind w:firstLine="0" w:left="0"/>
              <w:jc w:val="right"/>
            </w:pPr>
            <w:r>
              <w:rPr>
                <w:rFonts w:ascii="Times New Roman" w:hAnsi="Times New Roman" w:cs="Times New Roman" w:eastAsia="Times New Roman"/>
                <w:sz w:val="20"/>
                <w:szCs w:val="20"/>
              </w:rPr>
              <w:t xml:space="preserve">6,00</w:t>
            </w:r>
          </w:p>
        </w:tc>
        <w:tc>
          <w:tcPr/>
          <w:p>
            <w:pPr>
              <w:pStyle w:val="TableText"/>
              <w:ind w:firstLine="0" w:left="0"/>
              <w:jc w:val="left"/>
            </w:pPr>
            <w:r>
              <w:rPr>
                <w:rFonts w:ascii="Times New Roman" w:hAnsi="Times New Roman" w:cs="Times New Roman" w:eastAsia="Times New Roman"/>
                <w:sz w:val="20"/>
                <w:szCs w:val="20"/>
              </w:rPr>
              <w:t xml:space="preserve">Pitutos delimitación con cinta reflectiva</w:t>
            </w:r>
          </w:p>
        </w:tc>
        <w:tc>
          <w:tcPr/>
          <w:p>
            <w:pPr>
              <w:pStyle w:val="TableText"/>
              <w:ind w:firstLine="0" w:left="0"/>
              <w:jc w:val="center"/>
            </w:pPr>
            <w:r>
              <w:rPr>
                <w:rFonts w:ascii="Times New Roman" w:hAnsi="Times New Roman" w:cs="Times New Roman" w:eastAsia="Times New Roman"/>
                <w:sz w:val="20"/>
                <w:szCs w:val="20"/>
              </w:rPr>
              <w:t xml:space="preserve">u</w:t>
            </w:r>
          </w:p>
        </w:tc>
        <w:tc>
          <w:tcPr/>
          <w:p>
            <w:pPr>
              <w:pStyle w:val="TableText"/>
              <w:ind w:firstLine="0" w:left="0"/>
              <w:jc w:val="right"/>
            </w:pPr>
            <w:r>
              <w:rPr>
                <w:rFonts w:ascii="Times New Roman" w:hAnsi="Times New Roman" w:cs="Times New Roman" w:eastAsia="Times New Roman"/>
                <w:sz w:val="20"/>
                <w:szCs w:val="20"/>
              </w:rPr>
              <w:t xml:space="preserve">9,32</w:t>
            </w:r>
          </w:p>
        </w:tc>
        <w:tc>
          <w:tcPr/>
          <w:p>
            <w:pPr>
              <w:pStyle w:val="TableText"/>
              <w:ind w:firstLine="0" w:left="0"/>
              <w:jc w:val="right"/>
            </w:pPr>
            <w:r>
              <w:rPr>
                <w:rFonts w:ascii="Times New Roman" w:hAnsi="Times New Roman" w:cs="Times New Roman" w:eastAsia="Times New Roman"/>
                <w:sz w:val="20"/>
                <w:szCs w:val="20"/>
              </w:rPr>
              <w:t xml:space="preserve">55,92</w:t>
            </w:r>
          </w:p>
        </w:tc>
      </w:tr>
      <w:tr>
        <w:tc>
          <w:tcPr/>
          <w:p>
            <w:pPr>
              <w:pStyle w:val="TableText"/>
              <w:ind w:firstLine="0" w:left="0"/>
              <w:jc w:val="right"/>
            </w:pPr>
            <w:r>
              <w:rPr>
                <w:rFonts w:ascii="Times New Roman" w:hAnsi="Times New Roman" w:cs="Times New Roman" w:eastAsia="Times New Roman"/>
                <w:sz w:val="20"/>
                <w:szCs w:val="20"/>
              </w:rPr>
              <w:t xml:space="preserve">4,00</w:t>
            </w:r>
          </w:p>
        </w:tc>
        <w:tc>
          <w:tcPr/>
          <w:p>
            <w:pPr>
              <w:pStyle w:val="TableText"/>
              <w:ind w:firstLine="0" w:left="0"/>
              <w:jc w:val="left"/>
            </w:pPr>
            <w:r>
              <w:rPr>
                <w:rFonts w:ascii="Times New Roman" w:hAnsi="Times New Roman" w:cs="Times New Roman" w:eastAsia="Times New Roman"/>
                <w:sz w:val="20"/>
                <w:szCs w:val="20"/>
              </w:rPr>
              <w:t xml:space="preserve">Conos en polietileno</w:t>
            </w:r>
          </w:p>
        </w:tc>
        <w:tc>
          <w:tcPr/>
          <w:p>
            <w:pPr>
              <w:pStyle w:val="TableText"/>
              <w:ind w:firstLine="0" w:left="0"/>
              <w:jc w:val="center"/>
            </w:pPr>
            <w:r>
              <w:rPr>
                <w:rFonts w:ascii="Times New Roman" w:hAnsi="Times New Roman" w:cs="Times New Roman" w:eastAsia="Times New Roman"/>
                <w:sz w:val="20"/>
                <w:szCs w:val="20"/>
              </w:rPr>
              <w:t xml:space="preserve">u</w:t>
            </w:r>
          </w:p>
        </w:tc>
        <w:tc>
          <w:tcPr/>
          <w:p>
            <w:pPr>
              <w:pStyle w:val="TableText"/>
              <w:ind w:firstLine="0" w:left="0"/>
              <w:jc w:val="right"/>
            </w:pPr>
            <w:r>
              <w:rPr>
                <w:rFonts w:ascii="Times New Roman" w:hAnsi="Times New Roman" w:cs="Times New Roman" w:eastAsia="Times New Roman"/>
                <w:sz w:val="20"/>
                <w:szCs w:val="20"/>
              </w:rPr>
              <w:t xml:space="preserve">21,88</w:t>
            </w:r>
          </w:p>
        </w:tc>
        <w:tc>
          <w:tcPr/>
          <w:p>
            <w:pPr>
              <w:pStyle w:val="TableText"/>
              <w:ind w:firstLine="0" w:left="0"/>
              <w:jc w:val="right"/>
            </w:pPr>
            <w:r>
              <w:rPr>
                <w:rFonts w:ascii="Times New Roman" w:hAnsi="Times New Roman" w:cs="Times New Roman" w:eastAsia="Times New Roman"/>
                <w:sz w:val="20"/>
                <w:szCs w:val="20"/>
              </w:rPr>
              <w:t xml:space="preserve">87,52</w:t>
            </w:r>
          </w:p>
        </w:tc>
      </w:tr>
      <w:tr>
        <w:tc>
          <w:tcPr/>
          <w:p>
            <w:pPr>
              <w:pStyle w:val="TableText"/>
              <w:ind w:firstLine="0" w:left="0"/>
              <w:jc w:val="right"/>
            </w:pPr>
            <w:r>
              <w:rPr>
                <w:rFonts w:ascii="Times New Roman" w:hAnsi="Times New Roman" w:cs="Times New Roman" w:eastAsia="Times New Roman"/>
                <w:sz w:val="20"/>
                <w:szCs w:val="20"/>
              </w:rPr>
              <w:t xml:space="preserve">2,00</w:t>
            </w:r>
          </w:p>
        </w:tc>
        <w:tc>
          <w:tcPr/>
          <w:p>
            <w:pPr>
              <w:pStyle w:val="TableText"/>
              <w:ind w:firstLine="0" w:left="0"/>
              <w:jc w:val="left"/>
            </w:pPr>
            <w:r>
              <w:rPr>
                <w:rFonts w:ascii="Times New Roman" w:hAnsi="Times New Roman" w:cs="Times New Roman" w:eastAsia="Times New Roman"/>
                <w:sz w:val="20"/>
                <w:szCs w:val="20"/>
              </w:rPr>
              <w:t xml:space="preserve">Paletas de siga y pare</w:t>
            </w:r>
          </w:p>
        </w:tc>
        <w:tc>
          <w:tcPr/>
          <w:p>
            <w:pPr>
              <w:pStyle w:val="TableText"/>
              <w:ind w:firstLine="0" w:left="0"/>
              <w:jc w:val="center"/>
            </w:pPr>
            <w:r>
              <w:rPr>
                <w:rFonts w:ascii="Times New Roman" w:hAnsi="Times New Roman" w:cs="Times New Roman" w:eastAsia="Times New Roman"/>
                <w:sz w:val="20"/>
                <w:szCs w:val="20"/>
              </w:rPr>
              <w:t xml:space="preserve">u</w:t>
            </w:r>
          </w:p>
        </w:tc>
        <w:tc>
          <w:tcPr/>
          <w:p>
            <w:pPr>
              <w:pStyle w:val="TableText"/>
              <w:ind w:firstLine="0" w:left="0"/>
              <w:jc w:val="right"/>
            </w:pPr>
            <w:r>
              <w:rPr>
                <w:rFonts w:ascii="Times New Roman" w:hAnsi="Times New Roman" w:cs="Times New Roman" w:eastAsia="Times New Roman"/>
                <w:sz w:val="20"/>
                <w:szCs w:val="20"/>
              </w:rPr>
              <w:t xml:space="preserve">14,42</w:t>
            </w:r>
          </w:p>
        </w:tc>
        <w:tc>
          <w:tcPr/>
          <w:p>
            <w:pPr>
              <w:pStyle w:val="TableText"/>
              <w:ind w:firstLine="0" w:left="0"/>
              <w:jc w:val="right"/>
            </w:pPr>
            <w:r>
              <w:rPr>
                <w:rFonts w:ascii="Times New Roman" w:hAnsi="Times New Roman" w:cs="Times New Roman" w:eastAsia="Times New Roman"/>
                <w:sz w:val="20"/>
                <w:szCs w:val="20"/>
              </w:rPr>
              <w:t xml:space="preserve">28,84</w:t>
            </w:r>
          </w:p>
        </w:tc>
      </w:tr>
      <w:tr>
        <w:tc>
          <w:tcPr/>
          <w:p>
            <w:pPr>
              <w:pStyle w:val="TableText"/>
              <w:ind w:firstLine="0" w:left="0"/>
              <w:jc w:val="right"/>
            </w:pPr>
            <w:r>
              <w:rPr>
                <w:rFonts w:ascii="Times New Roman" w:hAnsi="Times New Roman" w:cs="Times New Roman" w:eastAsia="Times New Roman"/>
                <w:sz w:val="20"/>
                <w:szCs w:val="20"/>
              </w:rPr>
              <w:t xml:space="preserve">1,00</w:t>
            </w:r>
          </w:p>
        </w:tc>
        <w:tc>
          <w:tcPr/>
          <w:p>
            <w:pPr>
              <w:pStyle w:val="TableText"/>
              <w:ind w:firstLine="0" w:left="0"/>
              <w:jc w:val="left"/>
            </w:pPr>
            <w:r>
              <w:rPr>
                <w:rFonts w:ascii="Times New Roman" w:hAnsi="Times New Roman" w:cs="Times New Roman" w:eastAsia="Times New Roman"/>
                <w:sz w:val="20"/>
                <w:szCs w:val="20"/>
              </w:rPr>
              <w:t xml:space="preserve">Batería sanitaria móvil (u/mes)</w:t>
            </w:r>
          </w:p>
        </w:tc>
        <w:tc>
          <w:tcPr/>
          <w:p>
            <w:pPr>
              <w:pStyle w:val="TableText"/>
              <w:ind w:firstLine="0" w:left="0"/>
              <w:jc w:val="center"/>
            </w:pPr>
            <w:r>
              <w:rPr>
                <w:rFonts w:ascii="Times New Roman" w:hAnsi="Times New Roman" w:cs="Times New Roman" w:eastAsia="Times New Roman"/>
                <w:sz w:val="20"/>
                <w:szCs w:val="20"/>
              </w:rPr>
              <w:t xml:space="preserve">u</w:t>
            </w:r>
          </w:p>
        </w:tc>
        <w:tc>
          <w:tcPr/>
          <w:p>
            <w:pPr>
              <w:pStyle w:val="TableText"/>
              <w:ind w:firstLine="0" w:left="0"/>
              <w:jc w:val="right"/>
            </w:pPr>
            <w:r>
              <w:rPr>
                <w:rFonts w:ascii="Times New Roman" w:hAnsi="Times New Roman" w:cs="Times New Roman" w:eastAsia="Times New Roman"/>
                <w:sz w:val="20"/>
                <w:szCs w:val="20"/>
              </w:rPr>
              <w:t xml:space="preserve">349,64</w:t>
            </w:r>
          </w:p>
        </w:tc>
        <w:tc>
          <w:tcPr/>
          <w:p>
            <w:pPr>
              <w:pStyle w:val="TableText"/>
              <w:ind w:firstLine="0" w:left="0"/>
              <w:jc w:val="right"/>
            </w:pPr>
            <w:r>
              <w:rPr>
                <w:rFonts w:ascii="Times New Roman" w:hAnsi="Times New Roman" w:cs="Times New Roman" w:eastAsia="Times New Roman"/>
                <w:sz w:val="20"/>
                <w:szCs w:val="20"/>
              </w:rPr>
              <w:t xml:space="preserve">349,64</w:t>
            </w:r>
          </w:p>
        </w:tc>
      </w:tr>
      <w:tr>
        <w:tc>
          <w:tcPr/>
          <w:p>
            <w:pPr>
              <w:pStyle w:val="TableText"/>
              <w:ind w:firstLine="0" w:left="0"/>
              <w:jc w:val="right"/>
            </w:pPr>
            <w:r>
              <w:rPr>
                <w:rFonts w:ascii="Times New Roman" w:hAnsi="Times New Roman" w:cs="Times New Roman" w:eastAsia="Times New Roman"/>
                <w:sz w:val="20"/>
                <w:szCs w:val="20"/>
              </w:rPr>
              <w:t xml:space="preserve">1,00</w:t>
            </w:r>
          </w:p>
        </w:tc>
        <w:tc>
          <w:tcPr/>
          <w:p>
            <w:pPr>
              <w:pStyle w:val="TableText"/>
              <w:ind w:firstLine="0" w:left="0"/>
              <w:jc w:val="left"/>
            </w:pPr>
            <w:r>
              <w:rPr>
                <w:rFonts w:ascii="Times New Roman" w:hAnsi="Times New Roman" w:cs="Times New Roman" w:eastAsia="Times New Roman"/>
                <w:sz w:val="20"/>
                <w:szCs w:val="20"/>
              </w:rPr>
              <w:t xml:space="preserve">Letrero de obra 6,00x4,00m con estructura</w:t>
            </w:r>
          </w:p>
        </w:tc>
        <w:tc>
          <w:tcPr/>
          <w:p>
            <w:pPr>
              <w:pStyle w:val="TableText"/>
              <w:ind w:firstLine="0" w:left="0"/>
              <w:jc w:val="center"/>
            </w:pPr>
            <w:r>
              <w:rPr>
                <w:rFonts w:ascii="Times New Roman" w:hAnsi="Times New Roman" w:cs="Times New Roman" w:eastAsia="Times New Roman"/>
                <w:sz w:val="20"/>
                <w:szCs w:val="20"/>
              </w:rPr>
              <w:t xml:space="preserve">u</w:t>
            </w:r>
          </w:p>
        </w:tc>
        <w:tc>
          <w:tcPr/>
          <w:p>
            <w:pPr>
              <w:pStyle w:val="TableText"/>
              <w:ind w:firstLine="0" w:left="0"/>
              <w:jc w:val="right"/>
            </w:pPr>
            <w:r>
              <w:rPr>
                <w:rFonts w:ascii="Times New Roman" w:hAnsi="Times New Roman" w:cs="Times New Roman" w:eastAsia="Times New Roman"/>
                <w:sz w:val="20"/>
                <w:szCs w:val="20"/>
              </w:rPr>
              <w:t xml:space="preserve">1.481,89</w:t>
            </w:r>
          </w:p>
        </w:tc>
        <w:tc>
          <w:tcPr/>
          <w:p>
            <w:pPr>
              <w:pStyle w:val="TableText"/>
              <w:ind w:firstLine="0" w:left="0"/>
              <w:jc w:val="right"/>
            </w:pPr>
            <w:r>
              <w:rPr>
                <w:rFonts w:ascii="Times New Roman" w:hAnsi="Times New Roman" w:cs="Times New Roman" w:eastAsia="Times New Roman"/>
                <w:sz w:val="20"/>
                <w:szCs w:val="20"/>
              </w:rPr>
              <w:t xml:space="preserve">1.481,89</w:t>
            </w:r>
          </w:p>
        </w:tc>
      </w:tr>
      <w:tr>
        <w:tc>
          <w:tcPr/>
          <w:p>
            <w:pPr>
              <w:pStyle w:val="TableText"/>
              <w:ind w:firstLine="0" w:left="0"/>
              <w:jc w:val="left"/>
            </w:pPr>
          </w:p>
        </w:tc>
        <w:tc>
          <w:tcPr/>
          <w:p>
            <w:pPr>
              <w:pStyle w:val="TableText"/>
              <w:ind w:firstLine="0" w:left="0"/>
              <w:jc w:val="left"/>
            </w:pPr>
            <w:r>
              <w:rPr>
                <w:rFonts w:ascii="Times New Roman" w:hAnsi="Times New Roman" w:cs="Times New Roman" w:eastAsia="Times New Roman"/>
                <w:b/>
                <w:bCs/>
                <w:sz w:val="20"/>
                <w:szCs w:val="20"/>
              </w:rPr>
              <w:t xml:space="preserve">Subtotal Costo Directo e Indirecto</w:t>
            </w:r>
          </w:p>
        </w:tc>
        <w:tc>
          <w:tcPr/>
          <w:p>
            <w:pPr>
              <w:pStyle w:val="TableText"/>
              <w:ind w:firstLine="0" w:left="0"/>
              <w:jc w:val="left"/>
            </w:pPr>
          </w:p>
        </w:tc>
        <w:tc>
          <w:tcPr/>
          <w:p>
            <w:pPr>
              <w:pStyle w:val="TableText"/>
              <w:ind w:firstLine="0" w:left="0"/>
              <w:jc w:val="left"/>
            </w:pPr>
          </w:p>
        </w:tc>
        <w:tc>
          <w:tcPr/>
          <w:p>
            <w:pPr>
              <w:pStyle w:val="TableText"/>
              <w:ind w:firstLine="0" w:left="0"/>
              <w:jc w:val="right"/>
            </w:pPr>
            <w:r>
              <w:rPr>
                <w:rFonts w:ascii="Times New Roman" w:hAnsi="Times New Roman" w:cs="Times New Roman" w:eastAsia="Times New Roman"/>
                <w:b/>
                <w:bCs/>
                <w:sz w:val="20"/>
                <w:szCs w:val="20"/>
              </w:rPr>
              <w:t xml:space="preserve">330.673,55</w:t>
            </w:r>
          </w:p>
        </w:tc>
      </w:tr>
      <w:tr>
        <w:tc>
          <w:tcPr/>
          <w:p>
            <w:pPr>
              <w:pStyle w:val="TableText"/>
              <w:ind w:firstLine="0" w:left="0"/>
              <w:jc w:val="left"/>
            </w:pPr>
          </w:p>
        </w:tc>
        <w:tc>
          <w:tcPr/>
          <w:p>
            <w:pPr>
              <w:pStyle w:val="TableText"/>
              <w:ind w:firstLine="0" w:left="0"/>
              <w:jc w:val="left"/>
            </w:pPr>
            <w:r>
              <w:rPr>
                <w:rFonts w:ascii="Times New Roman" w:hAnsi="Times New Roman" w:cs="Times New Roman" w:eastAsia="Times New Roman"/>
                <w:b/>
                <w:bCs/>
                <w:sz w:val="20"/>
                <w:szCs w:val="20"/>
              </w:rPr>
              <w:t xml:space="preserve">Impuesto al Valor Agregado (IVA 15%)</w:t>
            </w:r>
          </w:p>
        </w:tc>
        <w:tc>
          <w:tcPr/>
          <w:p>
            <w:pPr>
              <w:pStyle w:val="TableText"/>
              <w:ind w:firstLine="0" w:left="0"/>
              <w:jc w:val="left"/>
            </w:pPr>
          </w:p>
        </w:tc>
        <w:tc>
          <w:tcPr/>
          <w:p>
            <w:pPr>
              <w:pStyle w:val="TableText"/>
              <w:ind w:firstLine="0" w:left="0"/>
              <w:jc w:val="left"/>
            </w:pPr>
          </w:p>
        </w:tc>
        <w:tc>
          <w:tcPr/>
          <w:p>
            <w:pPr>
              <w:pStyle w:val="TableText"/>
              <w:ind w:firstLine="0" w:left="0"/>
              <w:jc w:val="right"/>
            </w:pPr>
            <w:r>
              <w:rPr>
                <w:rFonts w:ascii="Times New Roman" w:hAnsi="Times New Roman" w:cs="Times New Roman" w:eastAsia="Times New Roman"/>
                <w:b/>
                <w:bCs/>
                <w:sz w:val="20"/>
                <w:szCs w:val="20"/>
              </w:rPr>
              <w:t xml:space="preserve">49.601,03</w:t>
            </w:r>
          </w:p>
        </w:tc>
      </w:tr>
      <w:tr>
        <w:tc>
          <w:tcPr/>
          <w:p>
            <w:pPr>
              <w:pStyle w:val="TableText"/>
              <w:ind w:firstLine="0" w:left="0"/>
              <w:jc w:val="left"/>
            </w:pPr>
          </w:p>
        </w:tc>
        <w:tc>
          <w:tcPr/>
          <w:p>
            <w:pPr>
              <w:pStyle w:val="TableText"/>
              <w:ind w:firstLine="0" w:left="0"/>
              <w:jc w:val="left"/>
            </w:pPr>
            <w:r>
              <w:rPr>
                <w:rFonts w:ascii="Times New Roman" w:hAnsi="Times New Roman" w:cs="Times New Roman" w:eastAsia="Times New Roman"/>
                <w:b/>
                <w:bCs/>
                <w:sz w:val="20"/>
                <w:szCs w:val="20"/>
              </w:rPr>
              <w:t xml:space="preserve">Presupuesto Total de Inversión Referencial</w:t>
            </w:r>
          </w:p>
        </w:tc>
        <w:tc>
          <w:tcPr/>
          <w:p>
            <w:pPr>
              <w:pStyle w:val="TableText"/>
              <w:ind w:firstLine="0" w:left="0"/>
              <w:jc w:val="left"/>
            </w:pPr>
          </w:p>
        </w:tc>
        <w:tc>
          <w:tcPr/>
          <w:p>
            <w:pPr>
              <w:pStyle w:val="TableText"/>
              <w:ind w:firstLine="0" w:left="0"/>
              <w:jc w:val="left"/>
            </w:pPr>
          </w:p>
        </w:tc>
        <w:tc>
          <w:tcPr/>
          <w:p>
            <w:pPr>
              <w:pStyle w:val="TableText"/>
              <w:ind w:firstLine="0" w:left="0"/>
              <w:jc w:val="right"/>
            </w:pPr>
            <w:r>
              <w:rPr>
                <w:rFonts w:ascii="Times New Roman" w:hAnsi="Times New Roman" w:cs="Times New Roman" w:eastAsia="Times New Roman"/>
                <w:b/>
                <w:bCs/>
                <w:sz w:val="20"/>
                <w:szCs w:val="20"/>
              </w:rPr>
              <w:t xml:space="preserve">380.274,58</w:t>
            </w:r>
          </w:p>
        </w:tc>
      </w:tr>
    </w:tbl>
    <w:p>
      <w:pPr>
        <w:pStyle w:val="TableNote"/>
        <w:ind w:firstLine="0" w:left="0"/>
        <w:jc w:val="both"/>
      </w:pPr>
      <w:r>
        <w:rPr>
          <w:rFonts w:ascii="Times New Roman" w:hAnsi="Times New Roman" w:cs="Times New Roman" w:eastAsia="Times New Roman"/>
          <w:i/>
          <w:iCs/>
          <w:sz w:val="20"/>
          <w:szCs w:val="20"/>
        </w:rPr>
        <w:t xml:space="preserve">Nota.</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Expediente técnico oficial y presupuesto de obra del GAD Provincial de El Oro.</w:t>
      </w:r>
    </w:p>
    <w:p>
      <w:pPr>
        <w:pStyle w:val="BodyText"/>
      </w:pPr>
      <w:r>
        <w:rPr>
          <w:rFonts w:ascii="Times New Roman" w:hAnsi="Times New Roman" w:cs="Times New Roman" w:eastAsia="Times New Roman"/>
        </w:rPr>
        <w:t xml:space="preserve">Los costos anuales de mantenimiento vial suman $3.500,00 USD durante el primer año (</w:t>
      </w:r>
      <w:hyperlink w:anchor="tbl-costos-mantenimiento-puente">
        <w:r>
          <w:rPr>
            <w:rStyle w:val="Hyperlink"/>
          </w:rPr>
          <w:t xml:space="preserve">Tabla 12</w:t>
        </w:r>
      </w:hyperlink>
      <w:r>
        <w:rPr>
          <w:rFonts w:ascii="Times New Roman" w:hAnsi="Times New Roman" w:cs="Times New Roman" w:eastAsia="Times New Roman"/>
        </w:rPr>
        <w:t xml:space="preserve">).</w:t>
      </w:r>
    </w:p>
    <w:p>
      <w:pPr>
        <w:pStyle w:val="TableNumber"/>
        <w:keepNext/>
        <w:ind w:firstLine="0" w:left="0"/>
        <w:jc w:val="left"/>
      </w:pPr>
      <w:r>
        <w:rPr>
          <w:rFonts w:ascii="Times New Roman" w:hAnsi="Times New Roman" w:cs="Times New Roman" w:eastAsia="Times New Roman"/>
          <w:b/>
          <w:bCs/>
          <w:sz w:val="20"/>
          <w:szCs w:val="20"/>
        </w:rPr>
        <w:t xml:space="preserve">Tabla 12</w:t>
      </w:r>
    </w:p>
    <w:p>
      <w:pPr>
        <w:pStyle w:val="TableCaption"/>
        <w:keepNext/>
        <w:ind w:firstLine="0" w:left="0"/>
        <w:jc w:val="left"/>
      </w:pPr>
      <w:r>
        <w:rPr>
          <w:rFonts w:ascii="Times New Roman" w:hAnsi="Times New Roman" w:cs="Times New Roman" w:eastAsia="Times New Roman"/>
          <w:i/>
          <w:iCs/>
          <w:sz w:val="20"/>
          <w:szCs w:val="20"/>
        </w:rPr>
        <w:t xml:space="preserve">Costos anuales referenciales de operación y mantenimiento (O&amp;M)</w:t>
      </w:r>
    </w:p>
    <w:tbl>
      <w:tblPr>
        <w:tblStyle w:val="Table"/>
        <w:tblLayout w:type="fixed"/>
        <w:tblLook w:firstRow="1" w:lastRow="0" w:firstColumn="0" w:lastColumn="0" w:noHBand="0" w:noVBand="0" w:val="0020"/>
        <w:tblInd w:w="0" w:type="dxa"/>
        <w:tblW w:w="5000" w:type="pct"/>
        <w:tblBorders>
          <w:top w:val="single" w:sz="8" w:space="0" w:color="000000"/>
          <w:bottom w:val="single" w:sz="8" w:space="0" w:color="000000"/>
          <w:left w:val="none" w:sz="0" w:space="0" w:color="000000"/>
          <w:right w:val="none" w:sz="0" w:space="0" w:color="000000"/>
          <w:insideH w:val="none" w:sz="0" w:space="0" w:color="000000"/>
          <w:insideV w:val="none" w:sz="0" w:space="0" w:color="000000"/>
        </w:tblBorders>
      </w:tblPr>
      <w:tblGrid>
        <w:gridCol w:w="1760"/>
        <w:gridCol w:w="2200"/>
        <w:gridCol w:w="2200"/>
        <w:gridCol w:w="1760"/>
      </w:tblGrid>
      <w:tr>
        <w:trPr>
          <w:tblHeader w:val="on"/>
        </w:trPr>
        <w:tc>
          <w:tcPr>
            <w:tcBorders>
              <w:top w:val="single" w:sz="8" w:space="0" w:color="000000"/>
              <w:bottom w:val="single" w:sz="6" w:space="0" w:color="000000"/>
            </w:tcBorders>
          </w:tcPr>
          <w:p>
            <w:pPr>
              <w:pStyle w:val="TableHeader"/>
              <w:keepNext/>
              <w:ind w:firstLine="0" w:left="0"/>
              <w:jc w:val="left"/>
            </w:pPr>
            <w:r>
              <w:rPr>
                <w:rFonts w:ascii="Times New Roman" w:hAnsi="Times New Roman" w:cs="Times New Roman" w:eastAsia="Times New Roman"/>
                <w:sz w:val="20"/>
                <w:szCs w:val="20"/>
              </w:rPr>
              <w:t xml:space="preserve">Rubro de Mantenimiento Vial</w:t>
            </w:r>
          </w:p>
        </w:tc>
        <w:tc>
          <w:tcPr>
            <w:tcBorders>
              <w:top w:val="single" w:sz="8" w:space="0" w:color="000000"/>
              <w:bottom w:val="single" w:sz="6" w:space="0" w:color="000000"/>
            </w:tcBorders>
          </w:tcPr>
          <w:p>
            <w:pPr>
              <w:pStyle w:val="TableHeader"/>
              <w:keepNext/>
              <w:ind w:firstLine="0" w:left="0"/>
              <w:jc w:val="center"/>
            </w:pPr>
            <w:r>
              <w:rPr>
                <w:rFonts w:ascii="Times New Roman" w:hAnsi="Times New Roman" w:cs="Times New Roman" w:eastAsia="Times New Roman"/>
                <w:sz w:val="20"/>
                <w:szCs w:val="20"/>
              </w:rPr>
              <w:t xml:space="preserve">Unidad</w:t>
            </w:r>
          </w:p>
        </w:tc>
        <w:tc>
          <w:tcPr>
            <w:tcBorders>
              <w:top w:val="single" w:sz="8" w:space="0" w:color="000000"/>
              <w:bottom w:val="single" w:sz="6" w:space="0" w:color="000000"/>
            </w:tcBorders>
          </w:tcPr>
          <w:p>
            <w:pPr>
              <w:pStyle w:val="TableHeader"/>
              <w:keepNext/>
              <w:ind w:firstLine="0" w:left="0"/>
              <w:jc w:val="center"/>
            </w:pPr>
            <w:r>
              <w:rPr>
                <w:rFonts w:ascii="Times New Roman" w:hAnsi="Times New Roman" w:cs="Times New Roman" w:eastAsia="Times New Roman"/>
                <w:sz w:val="20"/>
                <w:szCs w:val="20"/>
              </w:rPr>
              <w:t xml:space="preserve">Frecuencia</w:t>
            </w:r>
          </w:p>
        </w:tc>
        <w:tc>
          <w:tcPr>
            <w:tcBorders>
              <w:top w:val="single" w:sz="8" w:space="0" w:color="000000"/>
              <w:bottom w:val="single" w:sz="6" w:space="0" w:color="000000"/>
            </w:tcBorders>
          </w:tcPr>
          <w:p>
            <w:pPr>
              <w:pStyle w:val="TableHeader"/>
              <w:keepNext/>
              <w:ind w:firstLine="0" w:left="0"/>
              <w:jc w:val="right"/>
            </w:pPr>
            <w:r>
              <w:rPr>
                <w:rFonts w:ascii="Times New Roman" w:hAnsi="Times New Roman" w:cs="Times New Roman" w:eastAsia="Times New Roman"/>
                <w:sz w:val="20"/>
                <w:szCs w:val="20"/>
              </w:rPr>
              <w:t xml:space="preserve">Valor Anual (USD)</w:t>
            </w:r>
          </w:p>
        </w:tc>
      </w:tr>
      <w:tr>
        <w:tc>
          <w:tcPr/>
          <w:p>
            <w:pPr>
              <w:pStyle w:val="TableText"/>
              <w:ind w:firstLine="0" w:left="0"/>
              <w:jc w:val="left"/>
            </w:pPr>
            <w:r>
              <w:rPr>
                <w:rFonts w:ascii="Times New Roman" w:hAnsi="Times New Roman" w:cs="Times New Roman" w:eastAsia="Times New Roman"/>
                <w:sz w:val="20"/>
                <w:szCs w:val="20"/>
              </w:rPr>
              <w:t xml:space="preserve">Ajuste de pernería y revisión de pasadores</w:t>
            </w:r>
          </w:p>
        </w:tc>
        <w:tc>
          <w:tcPr/>
          <w:p>
            <w:pPr>
              <w:pStyle w:val="TableText"/>
              <w:ind w:firstLine="0" w:left="0"/>
              <w:jc w:val="center"/>
            </w:pPr>
            <w:r>
              <w:rPr>
                <w:rFonts w:ascii="Times New Roman" w:hAnsi="Times New Roman" w:cs="Times New Roman" w:eastAsia="Times New Roman"/>
                <w:sz w:val="20"/>
                <w:szCs w:val="20"/>
              </w:rPr>
              <w:t xml:space="preserve">global</w:t>
            </w:r>
          </w:p>
        </w:tc>
        <w:tc>
          <w:tcPr/>
          <w:p>
            <w:pPr>
              <w:pStyle w:val="TableText"/>
              <w:ind w:firstLine="0" w:left="0"/>
              <w:jc w:val="center"/>
            </w:pPr>
            <w:r>
              <w:rPr>
                <w:rFonts w:ascii="Times New Roman" w:hAnsi="Times New Roman" w:cs="Times New Roman" w:eastAsia="Times New Roman"/>
                <w:sz w:val="20"/>
                <w:szCs w:val="20"/>
              </w:rPr>
              <w:t xml:space="preserve">Semestral</w:t>
            </w:r>
          </w:p>
        </w:tc>
        <w:tc>
          <w:tcPr/>
          <w:p>
            <w:pPr>
              <w:pStyle w:val="TableText"/>
              <w:ind w:firstLine="0" w:left="0"/>
              <w:jc w:val="right"/>
            </w:pPr>
            <w:r>
              <w:rPr>
                <w:rFonts w:ascii="Times New Roman" w:hAnsi="Times New Roman" w:cs="Times New Roman" w:eastAsia="Times New Roman"/>
                <w:sz w:val="20"/>
                <w:szCs w:val="20"/>
              </w:rPr>
              <w:t xml:space="preserve">800,00</w:t>
            </w:r>
          </w:p>
        </w:tc>
      </w:tr>
      <w:tr>
        <w:tc>
          <w:tcPr/>
          <w:p>
            <w:pPr>
              <w:pStyle w:val="TableText"/>
              <w:ind w:firstLine="0" w:left="0"/>
              <w:jc w:val="left"/>
            </w:pPr>
            <w:r>
              <w:rPr>
                <w:rFonts w:ascii="Times New Roman" w:hAnsi="Times New Roman" w:cs="Times New Roman" w:eastAsia="Times New Roman"/>
                <w:sz w:val="20"/>
                <w:szCs w:val="20"/>
              </w:rPr>
              <w:t xml:space="preserve">Limpieza de cunetas y desbroce de accesos</w:t>
            </w:r>
          </w:p>
        </w:tc>
        <w:tc>
          <w:tcPr/>
          <w:p>
            <w:pPr>
              <w:pStyle w:val="TableText"/>
              <w:ind w:firstLine="0" w:left="0"/>
              <w:jc w:val="center"/>
            </w:pPr>
            <w:r>
              <w:rPr>
                <w:rFonts w:ascii="Times New Roman" w:hAnsi="Times New Roman" w:cs="Times New Roman" w:eastAsia="Times New Roman"/>
                <w:sz w:val="20"/>
                <w:szCs w:val="20"/>
              </w:rPr>
              <w:t xml:space="preserve">global</w:t>
            </w:r>
          </w:p>
        </w:tc>
        <w:tc>
          <w:tcPr/>
          <w:p>
            <w:pPr>
              <w:pStyle w:val="TableText"/>
              <w:ind w:firstLine="0" w:left="0"/>
              <w:jc w:val="center"/>
            </w:pPr>
            <w:r>
              <w:rPr>
                <w:rFonts w:ascii="Times New Roman" w:hAnsi="Times New Roman" w:cs="Times New Roman" w:eastAsia="Times New Roman"/>
                <w:sz w:val="20"/>
                <w:szCs w:val="20"/>
              </w:rPr>
              <w:t xml:space="preserve">Trimestral</w:t>
            </w:r>
          </w:p>
        </w:tc>
        <w:tc>
          <w:tcPr/>
          <w:p>
            <w:pPr>
              <w:pStyle w:val="TableText"/>
              <w:ind w:firstLine="0" w:left="0"/>
              <w:jc w:val="right"/>
            </w:pPr>
            <w:r>
              <w:rPr>
                <w:rFonts w:ascii="Times New Roman" w:hAnsi="Times New Roman" w:cs="Times New Roman" w:eastAsia="Times New Roman"/>
                <w:sz w:val="20"/>
                <w:szCs w:val="20"/>
              </w:rPr>
              <w:t xml:space="preserve">1.200,00</w:t>
            </w:r>
          </w:p>
        </w:tc>
      </w:tr>
      <w:tr>
        <w:tc>
          <w:tcPr/>
          <w:p>
            <w:pPr>
              <w:pStyle w:val="TableText"/>
              <w:ind w:firstLine="0" w:left="0"/>
              <w:jc w:val="left"/>
            </w:pPr>
            <w:r>
              <w:rPr>
                <w:rFonts w:ascii="Times New Roman" w:hAnsi="Times New Roman" w:cs="Times New Roman" w:eastAsia="Times New Roman"/>
                <w:sz w:val="20"/>
                <w:szCs w:val="20"/>
              </w:rPr>
              <w:t xml:space="preserve">Pintura anticorrosiva y señalización reflectiva</w:t>
            </w:r>
          </w:p>
        </w:tc>
        <w:tc>
          <w:tcPr/>
          <w:p>
            <w:pPr>
              <w:pStyle w:val="TableText"/>
              <w:ind w:firstLine="0" w:left="0"/>
              <w:jc w:val="center"/>
            </w:pPr>
            <w:r>
              <w:rPr>
                <w:rFonts w:ascii="Times New Roman" w:hAnsi="Times New Roman" w:cs="Times New Roman" w:eastAsia="Times New Roman"/>
                <w:sz w:val="20"/>
                <w:szCs w:val="20"/>
              </w:rPr>
              <w:t xml:space="preserve">global</w:t>
            </w:r>
          </w:p>
        </w:tc>
        <w:tc>
          <w:tcPr/>
          <w:p>
            <w:pPr>
              <w:pStyle w:val="TableText"/>
              <w:ind w:firstLine="0" w:left="0"/>
              <w:jc w:val="center"/>
            </w:pPr>
            <w:r>
              <w:rPr>
                <w:rFonts w:ascii="Times New Roman" w:hAnsi="Times New Roman" w:cs="Times New Roman" w:eastAsia="Times New Roman"/>
                <w:sz w:val="20"/>
                <w:szCs w:val="20"/>
              </w:rPr>
              <w:t xml:space="preserve">Bianual (prorrateado)</w:t>
            </w:r>
          </w:p>
        </w:tc>
        <w:tc>
          <w:tcPr/>
          <w:p>
            <w:pPr>
              <w:pStyle w:val="TableText"/>
              <w:ind w:firstLine="0" w:left="0"/>
              <w:jc w:val="right"/>
            </w:pPr>
            <w:r>
              <w:rPr>
                <w:rFonts w:ascii="Times New Roman" w:hAnsi="Times New Roman" w:cs="Times New Roman" w:eastAsia="Times New Roman"/>
                <w:sz w:val="20"/>
                <w:szCs w:val="20"/>
              </w:rPr>
              <w:t xml:space="preserve">1.000,00</w:t>
            </w:r>
          </w:p>
        </w:tc>
      </w:tr>
      <w:tr>
        <w:tc>
          <w:tcPr/>
          <w:p>
            <w:pPr>
              <w:pStyle w:val="TableText"/>
              <w:ind w:firstLine="0" w:left="0"/>
              <w:jc w:val="left"/>
            </w:pPr>
            <w:r>
              <w:rPr>
                <w:rFonts w:ascii="Times New Roman" w:hAnsi="Times New Roman" w:cs="Times New Roman" w:eastAsia="Times New Roman"/>
                <w:sz w:val="20"/>
                <w:szCs w:val="20"/>
              </w:rPr>
              <w:t xml:space="preserve">Reposición de gaviones y limpieza de palizadas</w:t>
            </w:r>
          </w:p>
        </w:tc>
        <w:tc>
          <w:tcPr/>
          <w:p>
            <w:pPr>
              <w:pStyle w:val="TableText"/>
              <w:ind w:firstLine="0" w:left="0"/>
              <w:jc w:val="center"/>
            </w:pPr>
            <w:r>
              <w:rPr>
                <w:rFonts w:ascii="Times New Roman" w:hAnsi="Times New Roman" w:cs="Times New Roman" w:eastAsia="Times New Roman"/>
                <w:sz w:val="20"/>
                <w:szCs w:val="20"/>
              </w:rPr>
              <w:t xml:space="preserve">global</w:t>
            </w:r>
          </w:p>
        </w:tc>
        <w:tc>
          <w:tcPr/>
          <w:p>
            <w:pPr>
              <w:pStyle w:val="TableText"/>
              <w:ind w:firstLine="0" w:left="0"/>
              <w:jc w:val="center"/>
            </w:pPr>
            <w:r>
              <w:rPr>
                <w:rFonts w:ascii="Times New Roman" w:hAnsi="Times New Roman" w:cs="Times New Roman" w:eastAsia="Times New Roman"/>
                <w:sz w:val="20"/>
                <w:szCs w:val="20"/>
              </w:rPr>
              <w:t xml:space="preserve">Anual</w:t>
            </w:r>
          </w:p>
        </w:tc>
        <w:tc>
          <w:tcPr/>
          <w:p>
            <w:pPr>
              <w:pStyle w:val="TableText"/>
              <w:ind w:firstLine="0" w:left="0"/>
              <w:jc w:val="right"/>
            </w:pPr>
            <w:r>
              <w:rPr>
                <w:rFonts w:ascii="Times New Roman" w:hAnsi="Times New Roman" w:cs="Times New Roman" w:eastAsia="Times New Roman"/>
                <w:sz w:val="20"/>
                <w:szCs w:val="20"/>
              </w:rPr>
              <w:t xml:space="preserve">500,00</w:t>
            </w:r>
          </w:p>
        </w:tc>
      </w:tr>
      <w:tr>
        <w:tc>
          <w:tcPr/>
          <w:p>
            <w:pPr>
              <w:pStyle w:val="TableText"/>
              <w:ind w:firstLine="0" w:left="0"/>
              <w:jc w:val="left"/>
            </w:pPr>
            <w:r>
              <w:rPr>
                <w:rFonts w:ascii="Times New Roman" w:hAnsi="Times New Roman" w:cs="Times New Roman" w:eastAsia="Times New Roman"/>
                <w:b/>
                <w:bCs/>
                <w:sz w:val="20"/>
                <w:szCs w:val="20"/>
              </w:rPr>
              <w:t xml:space="preserve">Total Costos Anuales de Mantenimiento</w:t>
            </w:r>
          </w:p>
        </w:tc>
        <w:tc>
          <w:tcPr/>
          <w:p>
            <w:pPr>
              <w:pStyle w:val="TableText"/>
              <w:ind w:firstLine="0" w:left="0"/>
              <w:jc w:val="left"/>
            </w:pPr>
          </w:p>
        </w:tc>
        <w:tc>
          <w:tcPr/>
          <w:p>
            <w:pPr>
              <w:pStyle w:val="TableText"/>
              <w:ind w:firstLine="0" w:left="0"/>
              <w:jc w:val="left"/>
            </w:pPr>
          </w:p>
        </w:tc>
        <w:tc>
          <w:tcPr/>
          <w:p>
            <w:pPr>
              <w:pStyle w:val="TableText"/>
              <w:ind w:firstLine="0" w:left="0"/>
              <w:jc w:val="right"/>
            </w:pPr>
            <w:r>
              <w:rPr>
                <w:rFonts w:ascii="Times New Roman" w:hAnsi="Times New Roman" w:cs="Times New Roman" w:eastAsia="Times New Roman"/>
                <w:b/>
                <w:bCs/>
                <w:sz w:val="20"/>
                <w:szCs w:val="20"/>
              </w:rPr>
              <w:t xml:space="preserve">3.500,00</w:t>
            </w:r>
          </w:p>
        </w:tc>
      </w:tr>
    </w:tbl>
    <w:p>
      <w:pPr>
        <w:pStyle w:val="TableNote"/>
        <w:ind w:firstLine="0" w:left="0"/>
        <w:jc w:val="both"/>
      </w:pPr>
      <w:r>
        <w:rPr>
          <w:rFonts w:ascii="Times New Roman" w:hAnsi="Times New Roman" w:cs="Times New Roman" w:eastAsia="Times New Roman"/>
          <w:i/>
          <w:iCs/>
          <w:sz w:val="20"/>
          <w:szCs w:val="20"/>
        </w:rPr>
        <w:t xml:space="preserve">Nota.</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Manual de mantenimiento de puentes modulares del MTOP y Prefectura de El Oro.</w:t>
      </w:r>
    </w:p>
    <w:bookmarkEnd w:id="87"/>
    <w:bookmarkStart w:id="88" w:name="flujo-financiero-fiscal"/>
    <w:p>
      <w:pPr>
        <w:pStyle w:val="Heading3"/>
      </w:pPr>
      <w:r>
        <w:rPr>
          <w:rFonts w:ascii="Times New Roman" w:hAnsi="Times New Roman" w:cs="Times New Roman" w:eastAsia="Times New Roman"/>
          <w:b/>
          <w:bCs/>
        </w:rPr>
        <w:t xml:space="preserve">5.2.3 Flujo financiero fiscal</w:t>
      </w:r>
    </w:p>
    <w:p>
      <w:pPr>
        <w:pStyle w:val="FirstParagraph"/>
      </w:pPr>
      <w:r>
        <w:rPr>
          <w:rFonts w:ascii="Times New Roman" w:hAnsi="Times New Roman" w:cs="Times New Roman" w:eastAsia="Times New Roman"/>
        </w:rPr>
        <w:t xml:space="preserve">Desde la perspectiva financiera y fiscal pública, el flujo de desembolsos contempla la salida neta del aporte presupuestario de las entidades públicas en el Año 0 ($380.274,58 USD) y la provisión anual de $3.500,00 USD para O&amp;M por parte del GAD Parroquial y Municipal. Al tratarse de un bien público de libre acceso no arancelado mediante peaje, no genera ingresos de caja comercial directa, justificándose financieramente por el ahorro presupuestario en obras provisionales de emergencia y remediación de accesos fluviales que los GAD debían solventar anualmente ($12.000,00 USD al año).</w:t>
      </w:r>
    </w:p>
    <w:bookmarkEnd w:id="88"/>
    <w:bookmarkStart w:id="89" w:name="Xe222097faff35f48bf1ae40ec03e634ef8a84f1"/>
    <w:p>
      <w:pPr>
        <w:pStyle w:val="Heading3"/>
      </w:pPr>
      <w:r>
        <w:rPr>
          <w:rFonts w:ascii="Times New Roman" w:hAnsi="Times New Roman" w:cs="Times New Roman" w:eastAsia="Times New Roman"/>
          <w:b/>
          <w:bCs/>
        </w:rPr>
        <w:t xml:space="preserve">5.2.4 Indicadores financieros fiscales (TIR, VAN y otros)</w:t>
      </w:r>
    </w:p>
    <w:p>
      <w:pPr>
        <w:pStyle w:val="FirstParagraph"/>
      </w:pPr>
      <w:r>
        <w:rPr>
          <w:rFonts w:ascii="Times New Roman" w:hAnsi="Times New Roman" w:cs="Times New Roman" w:eastAsia="Times New Roman"/>
        </w:rPr>
        <w:t xml:space="preserve">Bajo el flujo fiscal de costos evitados al fisco local (reemplazo de gastos recurrentes de emergencia por mantenimiento ordinario planificado):</w:t>
      </w:r>
    </w:p>
    <w:p>
      <w:pPr>
        <w:pStyle w:val="Compact"/>
        <w:numPr>
          <w:ilvl w:val="0"/>
          <w:numId w:val="1011"/>
        </w:numPr>
      </w:pPr>
      <w:r>
        <w:rPr>
          <w:rFonts w:ascii="Times New Roman" w:hAnsi="Times New Roman" w:cs="Times New Roman" w:eastAsia="Times New Roman"/>
        </w:rPr>
        <w:t xml:space="preserve">VAN Financiero Fiscal (al 8,00 % de tasa de descuento fiscal): -$296.840,00 USD (indica necesidad de subsidio de capital típico en infraestructura de conectividad comunitaria rural).</w:t>
      </w:r>
    </w:p>
    <w:p>
      <w:pPr>
        <w:pStyle w:val="Compact"/>
        <w:numPr>
          <w:ilvl w:val="0"/>
          <w:numId w:val="1011"/>
        </w:numPr>
      </w:pPr>
      <w:r>
        <w:rPr>
          <w:rFonts w:ascii="Times New Roman" w:hAnsi="Times New Roman" w:cs="Times New Roman" w:eastAsia="Times New Roman"/>
        </w:rPr>
        <w:t xml:space="preserve">Cobertura Fiscal del Mantenimiento: 100 % garantizada mediante asignación del fondo vial ordinario del GADPR Torata y maquinaria provincial.</w:t>
      </w:r>
    </w:p>
    <w:bookmarkEnd w:id="89"/>
    <w:bookmarkEnd w:id="90"/>
    <w:bookmarkStart w:id="101" w:name="viabilidad-económica"/>
    <w:p>
      <w:pPr>
        <w:pStyle w:val="Heading2"/>
      </w:pPr>
      <w:r>
        <w:rPr>
          <w:rFonts w:ascii="Times New Roman" w:hAnsi="Times New Roman" w:cs="Times New Roman" w:eastAsia="Times New Roman"/>
          <w:b/>
          <w:bCs/>
        </w:rPr>
        <w:t xml:space="preserve">5.3 Viabilidad económica</w:t>
      </w:r>
    </w:p>
    <w:bookmarkStart w:id="91" w:name="X2d15b4cfdb33e75da7ffb808744aedbca72c12c"/>
    <w:p>
      <w:pPr>
        <w:pStyle w:val="Heading3"/>
      </w:pPr>
      <w:r>
        <w:rPr>
          <w:rFonts w:ascii="Times New Roman" w:hAnsi="Times New Roman" w:cs="Times New Roman" w:eastAsia="Times New Roman"/>
          <w:b/>
          <w:bCs/>
        </w:rPr>
        <w:t xml:space="preserve">5.3.1 Metodologías utilizadas para el cálculo de la inversión total, costos de operación y mantenimiento, ingresos y beneficios</w:t>
      </w:r>
    </w:p>
    <w:p>
      <w:pPr>
        <w:pStyle w:val="FirstParagraph"/>
      </w:pPr>
      <w:r>
        <w:rPr>
          <w:rFonts w:ascii="Times New Roman" w:hAnsi="Times New Roman" w:cs="Times New Roman" w:eastAsia="Times New Roman"/>
        </w:rPr>
        <w:t xml:space="preserve">Para la evaluación socioeconómica se aplicó la metodología de precios sociales o factores de corrección de precios sombra establecida por Planifica Ecuador</w:t>
      </w:r>
      <w:r>
        <w:rPr>
          <w:rFonts w:ascii="Times New Roman" w:hAnsi="Times New Roman" w:cs="Times New Roman" w:eastAsia="Times New Roman"/>
        </w:rPr>
        <w:t xml:space="preserve"> </w:t>
      </w:r>
      <w:r>
        <w:rPr>
          <w:rFonts w:ascii="Times New Roman" w:hAnsi="Times New Roman" w:cs="Times New Roman" w:eastAsia="Times New Roman"/>
        </w:rPr>
        <w:t xml:space="preserve">Secretaría Técnica de Planificación Planifica Ecuador (</w:t>
      </w:r>
      <w:hyperlink w:anchor="ref-guia_planifica2021">
        <w:r>
          <w:rPr>
            <w:rStyle w:val="Hyperlink"/>
          </w:rPr>
          <w:t xml:space="preserve">2021</w:t>
        </w:r>
      </w:hyperlink>
      <w:r>
        <w:rPr>
          <w:rFonts w:ascii="Times New Roman" w:hAnsi="Times New Roman" w:cs="Times New Roman" w:eastAsia="Times New Roman"/>
        </w:rPr>
        <w:t xml:space="preserve">)</w:t>
      </w:r>
      <w:r>
        <w:rPr>
          <w:rFonts w:ascii="Times New Roman" w:hAnsi="Times New Roman" w:cs="Times New Roman" w:eastAsia="Times New Roman"/>
        </w:rPr>
        <w:t xml:space="preserve">:</w:t>
      </w:r>
    </w:p>
    <w:p>
      <w:pPr>
        <w:pStyle w:val="Compact"/>
        <w:numPr>
          <w:ilvl w:val="0"/>
          <w:numId w:val="1012"/>
        </w:numPr>
      </w:pPr>
      <w:r>
        <w:rPr>
          <w:rFonts w:ascii="Times New Roman" w:hAnsi="Times New Roman" w:cs="Times New Roman" w:eastAsia="Times New Roman"/>
        </w:rPr>
        <w:t xml:space="preserve">Factor de Conversión de Bienes Nacionales y Materiales: 0,85 para corregir distorsiones arancelarias e impuestos indirectos.</w:t>
      </w:r>
    </w:p>
    <w:p>
      <w:pPr>
        <w:pStyle w:val="Compact"/>
        <w:numPr>
          <w:ilvl w:val="0"/>
          <w:numId w:val="1012"/>
        </w:numPr>
      </w:pPr>
      <w:r>
        <w:rPr>
          <w:rFonts w:ascii="Times New Roman" w:hAnsi="Times New Roman" w:cs="Times New Roman" w:eastAsia="Times New Roman"/>
        </w:rPr>
        <w:t xml:space="preserve">Factor de Conversión de Mano de Obra No Calificada: 0,60 para reflejar el costo de oportunidad social del empleo rural desempleado.</w:t>
      </w:r>
    </w:p>
    <w:p>
      <w:pPr>
        <w:pStyle w:val="Compact"/>
        <w:numPr>
          <w:ilvl w:val="0"/>
          <w:numId w:val="1012"/>
        </w:numPr>
      </w:pPr>
      <w:r>
        <w:rPr>
          <w:rFonts w:ascii="Times New Roman" w:hAnsi="Times New Roman" w:cs="Times New Roman" w:eastAsia="Times New Roman"/>
        </w:rPr>
        <w:t xml:space="preserve">Inversión Social Corregida (Año 0): $281.072,52 USD.</w:t>
      </w:r>
    </w:p>
    <w:p>
      <w:pPr>
        <w:pStyle w:val="Compact"/>
        <w:numPr>
          <w:ilvl w:val="0"/>
          <w:numId w:val="1012"/>
        </w:numPr>
      </w:pPr>
      <w:r>
        <w:rPr>
          <w:rFonts w:ascii="Times New Roman" w:hAnsi="Times New Roman" w:cs="Times New Roman" w:eastAsia="Times New Roman"/>
        </w:rPr>
        <w:t xml:space="preserve">Costos de O&amp;M Sociales: $2.975,00 USD anuales.</w:t>
      </w:r>
    </w:p>
    <w:p>
      <w:pPr>
        <w:pStyle w:val="FirstParagraph"/>
      </w:pPr>
      <w:r>
        <w:rPr>
          <w:rFonts w:ascii="Times New Roman" w:hAnsi="Times New Roman" w:cs="Times New Roman" w:eastAsia="Times New Roman"/>
        </w:rPr>
        <w:t xml:space="preserve">Los beneficios económicos sociales corresponden al excedente social generado en el territorio: (1) Ahorro de costos de operación vehicular (COV) derivado de menor desgaste de neumáticos y combustible; (2) Eliminación definitiva de pérdidas agropecuarias por leche derramada o fermentada y cosechas descompuestas; (3) Valor social del ahorro de tiempo de traslado de los productores hacia ferias cantonales.</w:t>
      </w:r>
    </w:p>
    <w:bookmarkEnd w:id="91"/>
    <w:bookmarkStart w:id="92" w:name="X3c54c01968245628b98b89ae39446ec44de9834"/>
    <w:p>
      <w:pPr>
        <w:pStyle w:val="Heading3"/>
      </w:pPr>
      <w:r>
        <w:rPr>
          <w:rFonts w:ascii="Times New Roman" w:hAnsi="Times New Roman" w:cs="Times New Roman" w:eastAsia="Times New Roman"/>
          <w:b/>
          <w:bCs/>
        </w:rPr>
        <w:t xml:space="preserve">5.3.2 Identificación y valoración de la inversión total, costos de operación y mantenimiento, ingresos y beneficios</w:t>
      </w:r>
    </w:p>
    <w:p>
      <w:pPr>
        <w:pStyle w:val="FirstParagraph"/>
      </w:pPr>
      <w:r>
        <w:rPr>
          <w:rFonts w:ascii="Times New Roman" w:hAnsi="Times New Roman" w:cs="Times New Roman" w:eastAsia="Times New Roman"/>
        </w:rPr>
        <w:t xml:space="preserve">Los beneficios económicos valorados anualmente ascienden en el Año 1 a:</w:t>
      </w:r>
    </w:p>
    <w:p>
      <w:pPr>
        <w:pStyle w:val="Compact"/>
        <w:numPr>
          <w:ilvl w:val="0"/>
          <w:numId w:val="1013"/>
        </w:numPr>
      </w:pPr>
      <w:r>
        <w:rPr>
          <w:rFonts w:ascii="Times New Roman" w:hAnsi="Times New Roman" w:cs="Times New Roman" w:eastAsia="Times New Roman"/>
        </w:rPr>
        <w:t xml:space="preserve">Ahorro de Costos de Operación Vehicular: $14.200,00 USD.</w:t>
      </w:r>
    </w:p>
    <w:p>
      <w:pPr>
        <w:pStyle w:val="Compact"/>
        <w:numPr>
          <w:ilvl w:val="0"/>
          <w:numId w:val="1013"/>
        </w:numPr>
      </w:pPr>
      <w:r>
        <w:rPr>
          <w:rFonts w:ascii="Times New Roman" w:hAnsi="Times New Roman" w:cs="Times New Roman" w:eastAsia="Times New Roman"/>
        </w:rPr>
        <w:t xml:space="preserve">Eliminación de Pérdidas Agropecuarias: $18.500,00 USD.</w:t>
      </w:r>
    </w:p>
    <w:p>
      <w:pPr>
        <w:pStyle w:val="Compact"/>
        <w:numPr>
          <w:ilvl w:val="0"/>
          <w:numId w:val="1013"/>
        </w:numPr>
      </w:pPr>
      <w:r>
        <w:rPr>
          <w:rFonts w:ascii="Times New Roman" w:hAnsi="Times New Roman" w:cs="Times New Roman" w:eastAsia="Times New Roman"/>
        </w:rPr>
        <w:t xml:space="preserve">Valoración del Ahorro de Tiempo de Viaje: $4.800,00 USD.</w:t>
      </w:r>
    </w:p>
    <w:p>
      <w:pPr>
        <w:pStyle w:val="Compact"/>
        <w:numPr>
          <w:ilvl w:val="0"/>
          <w:numId w:val="1013"/>
        </w:numPr>
      </w:pPr>
      <w:r>
        <w:rPr>
          <w:rFonts w:ascii="Times New Roman" w:hAnsi="Times New Roman" w:cs="Times New Roman" w:eastAsia="Times New Roman"/>
        </w:rPr>
        <w:t xml:space="preserve">Beneficio Social Total Anual (Año 1): $37.500,00 USD (con incremento proyectado del 2,50 % anual en función del crecimiento de la producción pecuaria).</w:t>
      </w:r>
    </w:p>
    <w:bookmarkEnd w:id="92"/>
    <w:bookmarkStart w:id="94" w:name="flujo-económico"/>
    <w:p>
      <w:pPr>
        <w:pStyle w:val="Heading3"/>
      </w:pPr>
      <w:r>
        <w:rPr>
          <w:rFonts w:ascii="Times New Roman" w:hAnsi="Times New Roman" w:cs="Times New Roman" w:eastAsia="Times New Roman"/>
          <w:b/>
          <w:bCs/>
        </w:rPr>
        <w:t xml:space="preserve">5.3.3 Flujo económico</w:t>
      </w:r>
    </w:p>
    <w:p>
      <w:pPr>
        <w:pStyle w:val="FirstParagraph"/>
      </w:pPr>
      <w:r>
        <w:rPr>
          <w:rFonts w:ascii="Times New Roman" w:hAnsi="Times New Roman" w:cs="Times New Roman" w:eastAsia="Times New Roman"/>
        </w:rPr>
        <w:t xml:space="preserve">El flujo económico social proyectado a un horizonte de 20 años bajo la metodología oficial de evaluación social se detalla en la</w:t>
      </w:r>
      <w:r>
        <w:rPr>
          <w:rFonts w:ascii="Times New Roman" w:hAnsi="Times New Roman" w:cs="Times New Roman" w:eastAsia="Times New Roman"/>
        </w:rPr>
        <w:t xml:space="preserve"> </w:t>
      </w:r>
      <w:hyperlink w:anchor="tbl-flujo-caja-social">
        <w:r>
          <w:rPr>
            <w:rStyle w:val="Hyperlink"/>
          </w:rPr>
          <w:t xml:space="preserve">Tabla 13</w:t>
        </w:r>
      </w:hyperlink>
      <w:r>
        <w:rPr>
          <w:rFonts w:ascii="Times New Roman" w:hAnsi="Times New Roman" w:cs="Times New Roman" w:eastAsia="Times New Roman"/>
        </w:rPr>
        <w:t xml:space="preserve">.</w:t>
      </w:r>
    </w:p>
    <w:p>
      <w:pPr>
        <w:pStyle w:val="TableNumber"/>
        <w:keepNext/>
        <w:ind w:firstLine="0" w:left="0"/>
        <w:jc w:val="left"/>
      </w:pPr>
      <w:r>
        <w:rPr>
          <w:rFonts w:ascii="Times New Roman" w:hAnsi="Times New Roman" w:cs="Times New Roman" w:eastAsia="Times New Roman"/>
          <w:b/>
          <w:bCs/>
          <w:sz w:val="20"/>
          <w:szCs w:val="20"/>
        </w:rPr>
        <w:t xml:space="preserve">Tabla 13</w:t>
      </w:r>
    </w:p>
    <w:p>
      <w:pPr>
        <w:pStyle w:val="TableCaption"/>
        <w:keepNext/>
        <w:ind w:firstLine="0" w:left="0"/>
        <w:jc w:val="left"/>
      </w:pPr>
      <w:r>
        <w:rPr>
          <w:rFonts w:ascii="Times New Roman" w:hAnsi="Times New Roman" w:cs="Times New Roman" w:eastAsia="Times New Roman"/>
          <w:i/>
          <w:iCs/>
          <w:sz w:val="20"/>
          <w:szCs w:val="20"/>
        </w:rPr>
        <w:t xml:space="preserve">Flujo de caja social proyectado a 20 años (quinquenalizado en USD)</w:t>
      </w:r>
    </w:p>
    <w:p>
      <w:pPr>
        <w:sectPr>
          <w:pgSz w:w="12240" w:h="15840" w:orient="portrait"/>
          <w:pgMar w:top="1440" w:bottom="1440" w:left="1440" w:right="1440"/>
        </w:sectPr>
      </w:pPr>
    </w:p>
    <w:tbl>
      <w:tblPr>
        <w:tblStyle w:val="Table"/>
        <w:tblLayout w:type="fixed"/>
        <w:tblLook w:firstRow="1" w:lastRow="0" w:firstColumn="0" w:lastColumn="0" w:noHBand="0" w:noVBand="0" w:val="0020"/>
        <w:tblInd w:w="0" w:type="dxa"/>
        <w:tblW w:w="5000" w:type="pct"/>
        <w:tblBorders>
          <w:top w:val="single" w:sz="8" w:space="0" w:color="000000"/>
          <w:bottom w:val="single" w:sz="8" w:space="0" w:color="000000"/>
          <w:left w:val="none" w:sz="0" w:space="0" w:color="000000"/>
          <w:right w:val="none" w:sz="0" w:space="0" w:color="000000"/>
          <w:insideH w:val="none" w:sz="0" w:space="0" w:color="000000"/>
          <w:insideV w:val="none" w:sz="0" w:space="0" w:color="000000"/>
        </w:tblBorders>
      </w:tblPr>
      <w:tblGrid>
        <w:gridCol w:w="1131"/>
        <w:gridCol w:w="1131"/>
        <w:gridCol w:w="1131"/>
        <w:gridCol w:w="1131"/>
        <w:gridCol w:w="1131"/>
        <w:gridCol w:w="1131"/>
        <w:gridCol w:w="1131"/>
      </w:tblGrid>
      <w:tr>
        <w:trPr>
          <w:tblHeader w:val="on"/>
        </w:trPr>
        <w:tc>
          <w:tcPr>
            <w:tcBorders>
              <w:top w:val="single" w:sz="8" w:space="0" w:color="000000"/>
              <w:bottom w:val="single" w:sz="6" w:space="0" w:color="000000"/>
            </w:tcBorders>
          </w:tcPr>
          <w:p>
            <w:pPr>
              <w:pStyle w:val="TableHeader"/>
              <w:keepNext/>
              <w:ind w:firstLine="0" w:left="0"/>
              <w:jc w:val="left"/>
            </w:pPr>
            <w:r>
              <w:rPr>
                <w:rFonts w:ascii="Times New Roman" w:hAnsi="Times New Roman" w:cs="Times New Roman" w:eastAsia="Times New Roman"/>
                <w:sz w:val="20"/>
                <w:szCs w:val="20"/>
              </w:rPr>
              <w:t xml:space="preserve">Rubro del Flujo Social (USD)</w:t>
            </w:r>
          </w:p>
        </w:tc>
        <w:tc>
          <w:tcPr>
            <w:tcBorders>
              <w:top w:val="single" w:sz="8" w:space="0" w:color="000000"/>
              <w:bottom w:val="single" w:sz="6" w:space="0" w:color="000000"/>
            </w:tcBorders>
          </w:tcPr>
          <w:p>
            <w:pPr>
              <w:pStyle w:val="TableHeader"/>
              <w:keepNext/>
              <w:ind w:firstLine="0" w:left="0"/>
              <w:jc w:val="right"/>
            </w:pPr>
            <w:r>
              <w:rPr>
                <w:rFonts w:ascii="Times New Roman" w:hAnsi="Times New Roman" w:cs="Times New Roman" w:eastAsia="Times New Roman"/>
                <w:sz w:val="20"/>
                <w:szCs w:val="20"/>
              </w:rPr>
              <w:t xml:space="preserve">Año 0</w:t>
            </w:r>
          </w:p>
        </w:tc>
        <w:tc>
          <w:tcPr>
            <w:tcBorders>
              <w:top w:val="single" w:sz="8" w:space="0" w:color="000000"/>
              <w:bottom w:val="single" w:sz="6" w:space="0" w:color="000000"/>
            </w:tcBorders>
          </w:tcPr>
          <w:p>
            <w:pPr>
              <w:pStyle w:val="TableHeader"/>
              <w:keepNext/>
              <w:ind w:firstLine="0" w:left="0"/>
              <w:jc w:val="right"/>
            </w:pPr>
            <w:r>
              <w:rPr>
                <w:rFonts w:ascii="Times New Roman" w:hAnsi="Times New Roman" w:cs="Times New Roman" w:eastAsia="Times New Roman"/>
                <w:sz w:val="20"/>
                <w:szCs w:val="20"/>
              </w:rPr>
              <w:t xml:space="preserve">Año 1</w:t>
            </w:r>
          </w:p>
        </w:tc>
        <w:tc>
          <w:tcPr>
            <w:tcBorders>
              <w:top w:val="single" w:sz="8" w:space="0" w:color="000000"/>
              <w:bottom w:val="single" w:sz="6" w:space="0" w:color="000000"/>
            </w:tcBorders>
          </w:tcPr>
          <w:p>
            <w:pPr>
              <w:pStyle w:val="TableHeader"/>
              <w:keepNext/>
              <w:ind w:firstLine="0" w:left="0"/>
              <w:jc w:val="right"/>
            </w:pPr>
            <w:r>
              <w:rPr>
                <w:rFonts w:ascii="Times New Roman" w:hAnsi="Times New Roman" w:cs="Times New Roman" w:eastAsia="Times New Roman"/>
                <w:sz w:val="20"/>
                <w:szCs w:val="20"/>
              </w:rPr>
              <w:t xml:space="preserve">Año 5</w:t>
            </w:r>
          </w:p>
        </w:tc>
        <w:tc>
          <w:tcPr>
            <w:tcBorders>
              <w:top w:val="single" w:sz="8" w:space="0" w:color="000000"/>
              <w:bottom w:val="single" w:sz="6" w:space="0" w:color="000000"/>
            </w:tcBorders>
          </w:tcPr>
          <w:p>
            <w:pPr>
              <w:pStyle w:val="TableHeader"/>
              <w:keepNext/>
              <w:ind w:firstLine="0" w:left="0"/>
              <w:jc w:val="right"/>
            </w:pPr>
            <w:r>
              <w:rPr>
                <w:rFonts w:ascii="Times New Roman" w:hAnsi="Times New Roman" w:cs="Times New Roman" w:eastAsia="Times New Roman"/>
                <w:sz w:val="20"/>
                <w:szCs w:val="20"/>
              </w:rPr>
              <w:t xml:space="preserve">Año 10</w:t>
            </w:r>
          </w:p>
        </w:tc>
        <w:tc>
          <w:tcPr>
            <w:tcBorders>
              <w:top w:val="single" w:sz="8" w:space="0" w:color="000000"/>
              <w:bottom w:val="single" w:sz="6" w:space="0" w:color="000000"/>
            </w:tcBorders>
          </w:tcPr>
          <w:p>
            <w:pPr>
              <w:pStyle w:val="TableHeader"/>
              <w:keepNext/>
              <w:ind w:firstLine="0" w:left="0"/>
              <w:jc w:val="right"/>
            </w:pPr>
            <w:r>
              <w:rPr>
                <w:rFonts w:ascii="Times New Roman" w:hAnsi="Times New Roman" w:cs="Times New Roman" w:eastAsia="Times New Roman"/>
                <w:sz w:val="20"/>
                <w:szCs w:val="20"/>
              </w:rPr>
              <w:t xml:space="preserve">Año 15</w:t>
            </w:r>
          </w:p>
        </w:tc>
        <w:tc>
          <w:tcPr>
            <w:tcBorders>
              <w:top w:val="single" w:sz="8" w:space="0" w:color="000000"/>
              <w:bottom w:val="single" w:sz="6" w:space="0" w:color="000000"/>
            </w:tcBorders>
          </w:tcPr>
          <w:p>
            <w:pPr>
              <w:pStyle w:val="TableHeader"/>
              <w:keepNext/>
              <w:ind w:firstLine="0" w:left="0"/>
              <w:jc w:val="right"/>
            </w:pPr>
            <w:r>
              <w:rPr>
                <w:rFonts w:ascii="Times New Roman" w:hAnsi="Times New Roman" w:cs="Times New Roman" w:eastAsia="Times New Roman"/>
                <w:sz w:val="20"/>
                <w:szCs w:val="20"/>
              </w:rPr>
              <w:t xml:space="preserve">Año 20</w:t>
            </w:r>
          </w:p>
        </w:tc>
      </w:tr>
      <w:tr>
        <w:tc>
          <w:tcPr/>
          <w:p>
            <w:pPr>
              <w:pStyle w:val="TableText"/>
              <w:ind w:firstLine="0" w:left="0"/>
              <w:jc w:val="left"/>
            </w:pPr>
            <w:r>
              <w:rPr>
                <w:rFonts w:ascii="Times New Roman" w:hAnsi="Times New Roman" w:cs="Times New Roman" w:eastAsia="Times New Roman"/>
                <w:sz w:val="20"/>
                <w:szCs w:val="20"/>
              </w:rPr>
              <w:t xml:space="preserve">Inversión Inicial Corregida</w:t>
            </w:r>
          </w:p>
        </w:tc>
        <w:tc>
          <w:tcPr/>
          <w:p>
            <w:pPr>
              <w:pStyle w:val="TableText"/>
              <w:ind w:firstLine="0" w:left="0"/>
              <w:jc w:val="right"/>
            </w:pPr>
            <w:r>
              <w:rPr>
                <w:rFonts w:ascii="Times New Roman" w:hAnsi="Times New Roman" w:cs="Times New Roman" w:eastAsia="Times New Roman"/>
                <w:sz w:val="20"/>
                <w:szCs w:val="20"/>
              </w:rPr>
              <w:t xml:space="preserve">-$281.073</w:t>
            </w:r>
          </w:p>
        </w:tc>
        <w:tc>
          <w:tcPr/>
          <w:p>
            <w:pPr>
              <w:pStyle w:val="TableText"/>
              <w:ind w:firstLine="0" w:left="0"/>
              <w:jc w:val="right"/>
            </w:pPr>
            <w:r>
              <w:rPr>
                <w:rFonts w:ascii="Times New Roman" w:hAnsi="Times New Roman" w:cs="Times New Roman" w:eastAsia="Times New Roman"/>
                <w:sz w:val="20"/>
                <w:szCs w:val="20"/>
              </w:rPr>
              <w:t xml:space="preserve">$0</w:t>
            </w:r>
          </w:p>
        </w:tc>
        <w:tc>
          <w:tcPr/>
          <w:p>
            <w:pPr>
              <w:pStyle w:val="TableText"/>
              <w:ind w:firstLine="0" w:left="0"/>
              <w:jc w:val="right"/>
            </w:pPr>
            <w:r>
              <w:rPr>
                <w:rFonts w:ascii="Times New Roman" w:hAnsi="Times New Roman" w:cs="Times New Roman" w:eastAsia="Times New Roman"/>
                <w:sz w:val="20"/>
                <w:szCs w:val="20"/>
              </w:rPr>
              <w:t xml:space="preserve">$0</w:t>
            </w:r>
          </w:p>
        </w:tc>
        <w:tc>
          <w:tcPr/>
          <w:p>
            <w:pPr>
              <w:pStyle w:val="TableText"/>
              <w:ind w:firstLine="0" w:left="0"/>
              <w:jc w:val="right"/>
            </w:pPr>
            <w:r>
              <w:rPr>
                <w:rFonts w:ascii="Times New Roman" w:hAnsi="Times New Roman" w:cs="Times New Roman" w:eastAsia="Times New Roman"/>
                <w:sz w:val="20"/>
                <w:szCs w:val="20"/>
              </w:rPr>
              <w:t xml:space="preserve">$0</w:t>
            </w:r>
          </w:p>
        </w:tc>
        <w:tc>
          <w:tcPr/>
          <w:p>
            <w:pPr>
              <w:pStyle w:val="TableText"/>
              <w:ind w:firstLine="0" w:left="0"/>
              <w:jc w:val="right"/>
            </w:pPr>
            <w:r>
              <w:rPr>
                <w:rFonts w:ascii="Times New Roman" w:hAnsi="Times New Roman" w:cs="Times New Roman" w:eastAsia="Times New Roman"/>
                <w:sz w:val="20"/>
                <w:szCs w:val="20"/>
              </w:rPr>
              <w:t xml:space="preserve">$0</w:t>
            </w:r>
          </w:p>
        </w:tc>
        <w:tc>
          <w:tcPr/>
          <w:p>
            <w:pPr>
              <w:pStyle w:val="TableText"/>
              <w:ind w:firstLine="0" w:left="0"/>
              <w:jc w:val="right"/>
            </w:pPr>
            <w:r>
              <w:rPr>
                <w:rFonts w:ascii="Times New Roman" w:hAnsi="Times New Roman" w:cs="Times New Roman" w:eastAsia="Times New Roman"/>
                <w:sz w:val="20"/>
                <w:szCs w:val="20"/>
              </w:rPr>
              <w:t xml:space="preserve">$0</w:t>
            </w:r>
          </w:p>
        </w:tc>
      </w:tr>
      <w:tr>
        <w:tc>
          <w:tcPr/>
          <w:p>
            <w:pPr>
              <w:pStyle w:val="TableText"/>
              <w:ind w:firstLine="0" w:left="0"/>
              <w:jc w:val="left"/>
            </w:pPr>
            <w:r>
              <w:rPr>
                <w:rFonts w:ascii="Times New Roman" w:hAnsi="Times New Roman" w:cs="Times New Roman" w:eastAsia="Times New Roman"/>
                <w:sz w:val="20"/>
                <w:szCs w:val="20"/>
              </w:rPr>
              <w:t xml:space="preserve">Costos de Mantenimiento O&amp;M</w:t>
            </w:r>
          </w:p>
        </w:tc>
        <w:tc>
          <w:tcPr/>
          <w:p>
            <w:pPr>
              <w:pStyle w:val="TableText"/>
              <w:ind w:firstLine="0" w:left="0"/>
              <w:jc w:val="right"/>
            </w:pPr>
            <w:r>
              <w:rPr>
                <w:rFonts w:ascii="Times New Roman" w:hAnsi="Times New Roman" w:cs="Times New Roman" w:eastAsia="Times New Roman"/>
                <w:sz w:val="20"/>
                <w:szCs w:val="20"/>
              </w:rPr>
              <w:t xml:space="preserve">$0</w:t>
            </w:r>
          </w:p>
        </w:tc>
        <w:tc>
          <w:tcPr/>
          <w:p>
            <w:pPr>
              <w:pStyle w:val="TableText"/>
              <w:ind w:firstLine="0" w:left="0"/>
              <w:jc w:val="right"/>
            </w:pPr>
            <w:r>
              <w:rPr>
                <w:rFonts w:ascii="Times New Roman" w:hAnsi="Times New Roman" w:cs="Times New Roman" w:eastAsia="Times New Roman"/>
                <w:sz w:val="20"/>
                <w:szCs w:val="20"/>
              </w:rPr>
              <w:t xml:space="preserve">-$2.975</w:t>
            </w:r>
          </w:p>
        </w:tc>
        <w:tc>
          <w:tcPr/>
          <w:p>
            <w:pPr>
              <w:pStyle w:val="TableText"/>
              <w:ind w:firstLine="0" w:left="0"/>
              <w:jc w:val="right"/>
            </w:pPr>
            <w:r>
              <w:rPr>
                <w:rFonts w:ascii="Times New Roman" w:hAnsi="Times New Roman" w:cs="Times New Roman" w:eastAsia="Times New Roman"/>
                <w:sz w:val="20"/>
                <w:szCs w:val="20"/>
              </w:rPr>
              <w:t xml:space="preserve">-$3.220</w:t>
            </w:r>
          </w:p>
        </w:tc>
        <w:tc>
          <w:tcPr/>
          <w:p>
            <w:pPr>
              <w:pStyle w:val="TableText"/>
              <w:ind w:firstLine="0" w:left="0"/>
              <w:jc w:val="right"/>
            </w:pPr>
            <w:r>
              <w:rPr>
                <w:rFonts w:ascii="Times New Roman" w:hAnsi="Times New Roman" w:cs="Times New Roman" w:eastAsia="Times New Roman"/>
                <w:sz w:val="20"/>
                <w:szCs w:val="20"/>
              </w:rPr>
              <w:t xml:space="preserve">-$3.555</w:t>
            </w:r>
          </w:p>
        </w:tc>
        <w:tc>
          <w:tcPr/>
          <w:p>
            <w:pPr>
              <w:pStyle w:val="TableText"/>
              <w:ind w:firstLine="0" w:left="0"/>
              <w:jc w:val="right"/>
            </w:pPr>
            <w:r>
              <w:rPr>
                <w:rFonts w:ascii="Times New Roman" w:hAnsi="Times New Roman" w:cs="Times New Roman" w:eastAsia="Times New Roman"/>
                <w:sz w:val="20"/>
                <w:szCs w:val="20"/>
              </w:rPr>
              <w:t xml:space="preserve">-$3.925</w:t>
            </w:r>
          </w:p>
        </w:tc>
        <w:tc>
          <w:tcPr/>
          <w:p>
            <w:pPr>
              <w:pStyle w:val="TableText"/>
              <w:ind w:firstLine="0" w:left="0"/>
              <w:jc w:val="right"/>
            </w:pPr>
            <w:r>
              <w:rPr>
                <w:rFonts w:ascii="Times New Roman" w:hAnsi="Times New Roman" w:cs="Times New Roman" w:eastAsia="Times New Roman"/>
                <w:sz w:val="20"/>
                <w:szCs w:val="20"/>
              </w:rPr>
              <w:t xml:space="preserve">-$4.334</w:t>
            </w:r>
          </w:p>
        </w:tc>
      </w:tr>
      <w:tr>
        <w:tc>
          <w:tcPr/>
          <w:p>
            <w:pPr>
              <w:pStyle w:val="TableText"/>
              <w:ind w:firstLine="0" w:left="0"/>
              <w:jc w:val="left"/>
            </w:pPr>
            <w:r>
              <w:rPr>
                <w:rFonts w:ascii="Times New Roman" w:hAnsi="Times New Roman" w:cs="Times New Roman" w:eastAsia="Times New Roman"/>
                <w:sz w:val="20"/>
                <w:szCs w:val="20"/>
              </w:rPr>
              <w:t xml:space="preserve">Beneficio: Ahorro Costos Operación Vehicular</w:t>
            </w:r>
          </w:p>
        </w:tc>
        <w:tc>
          <w:tcPr/>
          <w:p>
            <w:pPr>
              <w:pStyle w:val="TableText"/>
              <w:ind w:firstLine="0" w:left="0"/>
              <w:jc w:val="right"/>
            </w:pPr>
            <w:r>
              <w:rPr>
                <w:rFonts w:ascii="Times New Roman" w:hAnsi="Times New Roman" w:cs="Times New Roman" w:eastAsia="Times New Roman"/>
                <w:sz w:val="20"/>
                <w:szCs w:val="20"/>
              </w:rPr>
              <w:t xml:space="preserve">$0</w:t>
            </w:r>
          </w:p>
        </w:tc>
        <w:tc>
          <w:tcPr/>
          <w:p>
            <w:pPr>
              <w:pStyle w:val="TableText"/>
              <w:ind w:firstLine="0" w:left="0"/>
              <w:jc w:val="right"/>
            </w:pPr>
            <w:r>
              <w:rPr>
                <w:rFonts w:ascii="Times New Roman" w:hAnsi="Times New Roman" w:cs="Times New Roman" w:eastAsia="Times New Roman"/>
                <w:sz w:val="20"/>
                <w:szCs w:val="20"/>
              </w:rPr>
              <w:t xml:space="preserve">$14.200</w:t>
            </w:r>
          </w:p>
        </w:tc>
        <w:tc>
          <w:tcPr/>
          <w:p>
            <w:pPr>
              <w:pStyle w:val="TableText"/>
              <w:ind w:firstLine="0" w:left="0"/>
              <w:jc w:val="right"/>
            </w:pPr>
            <w:r>
              <w:rPr>
                <w:rFonts w:ascii="Times New Roman" w:hAnsi="Times New Roman" w:cs="Times New Roman" w:eastAsia="Times New Roman"/>
                <w:sz w:val="20"/>
                <w:szCs w:val="20"/>
              </w:rPr>
              <w:t xml:space="preserve">$15.674</w:t>
            </w:r>
          </w:p>
        </w:tc>
        <w:tc>
          <w:tcPr/>
          <w:p>
            <w:pPr>
              <w:pStyle w:val="TableText"/>
              <w:ind w:firstLine="0" w:left="0"/>
              <w:jc w:val="right"/>
            </w:pPr>
            <w:r>
              <w:rPr>
                <w:rFonts w:ascii="Times New Roman" w:hAnsi="Times New Roman" w:cs="Times New Roman" w:eastAsia="Times New Roman"/>
                <w:sz w:val="20"/>
                <w:szCs w:val="20"/>
              </w:rPr>
              <w:t xml:space="preserve">$17.734</w:t>
            </w:r>
          </w:p>
        </w:tc>
        <w:tc>
          <w:tcPr/>
          <w:p>
            <w:pPr>
              <w:pStyle w:val="TableText"/>
              <w:ind w:firstLine="0" w:left="0"/>
              <w:jc w:val="right"/>
            </w:pPr>
            <w:r>
              <w:rPr>
                <w:rFonts w:ascii="Times New Roman" w:hAnsi="Times New Roman" w:cs="Times New Roman" w:eastAsia="Times New Roman"/>
                <w:sz w:val="20"/>
                <w:szCs w:val="20"/>
              </w:rPr>
              <w:t xml:space="preserve">$20.064</w:t>
            </w:r>
          </w:p>
        </w:tc>
        <w:tc>
          <w:tcPr/>
          <w:p>
            <w:pPr>
              <w:pStyle w:val="TableText"/>
              <w:ind w:firstLine="0" w:left="0"/>
              <w:jc w:val="right"/>
            </w:pPr>
            <w:r>
              <w:rPr>
                <w:rFonts w:ascii="Times New Roman" w:hAnsi="Times New Roman" w:cs="Times New Roman" w:eastAsia="Times New Roman"/>
                <w:sz w:val="20"/>
                <w:szCs w:val="20"/>
              </w:rPr>
              <w:t xml:space="preserve">$22.701</w:t>
            </w:r>
          </w:p>
        </w:tc>
      </w:tr>
      <w:tr>
        <w:tc>
          <w:tcPr/>
          <w:p>
            <w:pPr>
              <w:pStyle w:val="TableText"/>
              <w:ind w:firstLine="0" w:left="0"/>
              <w:jc w:val="left"/>
            </w:pPr>
            <w:r>
              <w:rPr>
                <w:rFonts w:ascii="Times New Roman" w:hAnsi="Times New Roman" w:cs="Times New Roman" w:eastAsia="Times New Roman"/>
                <w:sz w:val="20"/>
                <w:szCs w:val="20"/>
              </w:rPr>
              <w:t xml:space="preserve">Beneficio: Eliminación Pérdidas Agrícolas</w:t>
            </w:r>
          </w:p>
        </w:tc>
        <w:tc>
          <w:tcPr/>
          <w:p>
            <w:pPr>
              <w:pStyle w:val="TableText"/>
              <w:ind w:firstLine="0" w:left="0"/>
              <w:jc w:val="right"/>
            </w:pPr>
            <w:r>
              <w:rPr>
                <w:rFonts w:ascii="Times New Roman" w:hAnsi="Times New Roman" w:cs="Times New Roman" w:eastAsia="Times New Roman"/>
                <w:sz w:val="20"/>
                <w:szCs w:val="20"/>
              </w:rPr>
              <w:t xml:space="preserve">$0</w:t>
            </w:r>
          </w:p>
        </w:tc>
        <w:tc>
          <w:tcPr/>
          <w:p>
            <w:pPr>
              <w:pStyle w:val="TableText"/>
              <w:ind w:firstLine="0" w:left="0"/>
              <w:jc w:val="right"/>
            </w:pPr>
            <w:r>
              <w:rPr>
                <w:rFonts w:ascii="Times New Roman" w:hAnsi="Times New Roman" w:cs="Times New Roman" w:eastAsia="Times New Roman"/>
                <w:sz w:val="20"/>
                <w:szCs w:val="20"/>
              </w:rPr>
              <w:t xml:space="preserve">$18.500</w:t>
            </w:r>
          </w:p>
        </w:tc>
        <w:tc>
          <w:tcPr/>
          <w:p>
            <w:pPr>
              <w:pStyle w:val="TableText"/>
              <w:ind w:firstLine="0" w:left="0"/>
              <w:jc w:val="right"/>
            </w:pPr>
            <w:r>
              <w:rPr>
                <w:rFonts w:ascii="Times New Roman" w:hAnsi="Times New Roman" w:cs="Times New Roman" w:eastAsia="Times New Roman"/>
                <w:sz w:val="20"/>
                <w:szCs w:val="20"/>
              </w:rPr>
              <w:t xml:space="preserve">$20.421</w:t>
            </w:r>
          </w:p>
        </w:tc>
        <w:tc>
          <w:tcPr/>
          <w:p>
            <w:pPr>
              <w:pStyle w:val="TableText"/>
              <w:ind w:firstLine="0" w:left="0"/>
              <w:jc w:val="right"/>
            </w:pPr>
            <w:r>
              <w:rPr>
                <w:rFonts w:ascii="Times New Roman" w:hAnsi="Times New Roman" w:cs="Times New Roman" w:eastAsia="Times New Roman"/>
                <w:sz w:val="20"/>
                <w:szCs w:val="20"/>
              </w:rPr>
              <w:t xml:space="preserve">$23.104</w:t>
            </w:r>
          </w:p>
        </w:tc>
        <w:tc>
          <w:tcPr/>
          <w:p>
            <w:pPr>
              <w:pStyle w:val="TableText"/>
              <w:ind w:firstLine="0" w:left="0"/>
              <w:jc w:val="right"/>
            </w:pPr>
            <w:r>
              <w:rPr>
                <w:rFonts w:ascii="Times New Roman" w:hAnsi="Times New Roman" w:cs="Times New Roman" w:eastAsia="Times New Roman"/>
                <w:sz w:val="20"/>
                <w:szCs w:val="20"/>
              </w:rPr>
              <w:t xml:space="preserve">$26.140</w:t>
            </w:r>
          </w:p>
        </w:tc>
        <w:tc>
          <w:tcPr/>
          <w:p>
            <w:pPr>
              <w:pStyle w:val="TableText"/>
              <w:ind w:firstLine="0" w:left="0"/>
              <w:jc w:val="right"/>
            </w:pPr>
            <w:r>
              <w:rPr>
                <w:rFonts w:ascii="Times New Roman" w:hAnsi="Times New Roman" w:cs="Times New Roman" w:eastAsia="Times New Roman"/>
                <w:sz w:val="20"/>
                <w:szCs w:val="20"/>
              </w:rPr>
              <w:t xml:space="preserve">$29.575</w:t>
            </w:r>
          </w:p>
        </w:tc>
      </w:tr>
      <w:tr>
        <w:tc>
          <w:tcPr/>
          <w:p>
            <w:pPr>
              <w:pStyle w:val="TableText"/>
              <w:ind w:firstLine="0" w:left="0"/>
              <w:jc w:val="left"/>
            </w:pPr>
            <w:r>
              <w:rPr>
                <w:rFonts w:ascii="Times New Roman" w:hAnsi="Times New Roman" w:cs="Times New Roman" w:eastAsia="Times New Roman"/>
                <w:sz w:val="20"/>
                <w:szCs w:val="20"/>
              </w:rPr>
              <w:t xml:space="preserve">Beneficio: Ahorro Tiempos de Viaje</w:t>
            </w:r>
          </w:p>
        </w:tc>
        <w:tc>
          <w:tcPr/>
          <w:p>
            <w:pPr>
              <w:pStyle w:val="TableText"/>
              <w:ind w:firstLine="0" w:left="0"/>
              <w:jc w:val="right"/>
            </w:pPr>
            <w:r>
              <w:rPr>
                <w:rFonts w:ascii="Times New Roman" w:hAnsi="Times New Roman" w:cs="Times New Roman" w:eastAsia="Times New Roman"/>
                <w:sz w:val="20"/>
                <w:szCs w:val="20"/>
              </w:rPr>
              <w:t xml:space="preserve">$0</w:t>
            </w:r>
          </w:p>
        </w:tc>
        <w:tc>
          <w:tcPr/>
          <w:p>
            <w:pPr>
              <w:pStyle w:val="TableText"/>
              <w:ind w:firstLine="0" w:left="0"/>
              <w:jc w:val="right"/>
            </w:pPr>
            <w:r>
              <w:rPr>
                <w:rFonts w:ascii="Times New Roman" w:hAnsi="Times New Roman" w:cs="Times New Roman" w:eastAsia="Times New Roman"/>
                <w:sz w:val="20"/>
                <w:szCs w:val="20"/>
              </w:rPr>
              <w:t xml:space="preserve">$4.800</w:t>
            </w:r>
          </w:p>
        </w:tc>
        <w:tc>
          <w:tcPr/>
          <w:p>
            <w:pPr>
              <w:pStyle w:val="TableText"/>
              <w:ind w:firstLine="0" w:left="0"/>
              <w:jc w:val="right"/>
            </w:pPr>
            <w:r>
              <w:rPr>
                <w:rFonts w:ascii="Times New Roman" w:hAnsi="Times New Roman" w:cs="Times New Roman" w:eastAsia="Times New Roman"/>
                <w:sz w:val="20"/>
                <w:szCs w:val="20"/>
              </w:rPr>
              <w:t xml:space="preserve">$5.298</w:t>
            </w:r>
          </w:p>
        </w:tc>
        <w:tc>
          <w:tcPr/>
          <w:p>
            <w:pPr>
              <w:pStyle w:val="TableText"/>
              <w:ind w:firstLine="0" w:left="0"/>
              <w:jc w:val="right"/>
            </w:pPr>
            <w:r>
              <w:rPr>
                <w:rFonts w:ascii="Times New Roman" w:hAnsi="Times New Roman" w:cs="Times New Roman" w:eastAsia="Times New Roman"/>
                <w:sz w:val="20"/>
                <w:szCs w:val="20"/>
              </w:rPr>
              <w:t xml:space="preserve">$5.995</w:t>
            </w:r>
          </w:p>
        </w:tc>
        <w:tc>
          <w:tcPr/>
          <w:p>
            <w:pPr>
              <w:pStyle w:val="TableText"/>
              <w:ind w:firstLine="0" w:left="0"/>
              <w:jc w:val="right"/>
            </w:pPr>
            <w:r>
              <w:rPr>
                <w:rFonts w:ascii="Times New Roman" w:hAnsi="Times New Roman" w:cs="Times New Roman" w:eastAsia="Times New Roman"/>
                <w:sz w:val="20"/>
                <w:szCs w:val="20"/>
              </w:rPr>
              <w:t xml:space="preserve">$6.782</w:t>
            </w:r>
          </w:p>
        </w:tc>
        <w:tc>
          <w:tcPr/>
          <w:p>
            <w:pPr>
              <w:pStyle w:val="TableText"/>
              <w:ind w:firstLine="0" w:left="0"/>
              <w:jc w:val="right"/>
            </w:pPr>
            <w:r>
              <w:rPr>
                <w:rFonts w:ascii="Times New Roman" w:hAnsi="Times New Roman" w:cs="Times New Roman" w:eastAsia="Times New Roman"/>
                <w:sz w:val="20"/>
                <w:szCs w:val="20"/>
              </w:rPr>
              <w:t xml:space="preserve">$7.674</w:t>
            </w:r>
          </w:p>
        </w:tc>
      </w:tr>
      <w:tr>
        <w:tc>
          <w:tcPr/>
          <w:p>
            <w:pPr>
              <w:pStyle w:val="TableText"/>
              <w:ind w:firstLine="0" w:left="0"/>
              <w:jc w:val="left"/>
            </w:pPr>
            <w:r>
              <w:rPr>
                <w:rFonts w:ascii="Times New Roman" w:hAnsi="Times New Roman" w:cs="Times New Roman" w:eastAsia="Times New Roman"/>
                <w:b/>
                <w:bCs/>
                <w:sz w:val="20"/>
                <w:szCs w:val="20"/>
              </w:rPr>
              <w:t xml:space="preserve">Flujo Neto Social (FNS)</w:t>
            </w:r>
          </w:p>
        </w:tc>
        <w:tc>
          <w:tcPr/>
          <w:p>
            <w:pPr>
              <w:pStyle w:val="TableText"/>
              <w:ind w:firstLine="0" w:left="0"/>
              <w:jc w:val="right"/>
            </w:pPr>
            <w:r>
              <w:rPr>
                <w:rFonts w:ascii="Times New Roman" w:hAnsi="Times New Roman" w:cs="Times New Roman" w:eastAsia="Times New Roman"/>
                <w:b/>
                <w:bCs/>
                <w:sz w:val="20"/>
                <w:szCs w:val="20"/>
              </w:rPr>
              <w:t xml:space="preserve">-$281.073</w:t>
            </w:r>
          </w:p>
        </w:tc>
        <w:tc>
          <w:tcPr/>
          <w:p>
            <w:pPr>
              <w:pStyle w:val="TableText"/>
              <w:ind w:firstLine="0" w:left="0"/>
              <w:jc w:val="right"/>
            </w:pPr>
            <w:r>
              <w:rPr>
                <w:rFonts w:ascii="Times New Roman" w:hAnsi="Times New Roman" w:cs="Times New Roman" w:eastAsia="Times New Roman"/>
                <w:b/>
                <w:bCs/>
                <w:sz w:val="20"/>
                <w:szCs w:val="20"/>
              </w:rPr>
              <w:t xml:space="preserve">$34.525</w:t>
            </w:r>
          </w:p>
        </w:tc>
        <w:tc>
          <w:tcPr/>
          <w:p>
            <w:pPr>
              <w:pStyle w:val="TableText"/>
              <w:ind w:firstLine="0" w:left="0"/>
              <w:jc w:val="right"/>
            </w:pPr>
            <w:r>
              <w:rPr>
                <w:rFonts w:ascii="Times New Roman" w:hAnsi="Times New Roman" w:cs="Times New Roman" w:eastAsia="Times New Roman"/>
                <w:b/>
                <w:bCs/>
                <w:sz w:val="20"/>
                <w:szCs w:val="20"/>
              </w:rPr>
              <w:t xml:space="preserve">$38.173</w:t>
            </w:r>
          </w:p>
        </w:tc>
        <w:tc>
          <w:tcPr/>
          <w:p>
            <w:pPr>
              <w:pStyle w:val="TableText"/>
              <w:ind w:firstLine="0" w:left="0"/>
              <w:jc w:val="right"/>
            </w:pPr>
            <w:r>
              <w:rPr>
                <w:rFonts w:ascii="Times New Roman" w:hAnsi="Times New Roman" w:cs="Times New Roman" w:eastAsia="Times New Roman"/>
                <w:b/>
                <w:bCs/>
                <w:sz w:val="20"/>
                <w:szCs w:val="20"/>
              </w:rPr>
              <w:t xml:space="preserve">$43.277</w:t>
            </w:r>
          </w:p>
        </w:tc>
        <w:tc>
          <w:tcPr/>
          <w:p>
            <w:pPr>
              <w:pStyle w:val="TableText"/>
              <w:ind w:firstLine="0" w:left="0"/>
              <w:jc w:val="right"/>
            </w:pPr>
            <w:r>
              <w:rPr>
                <w:rFonts w:ascii="Times New Roman" w:hAnsi="Times New Roman" w:cs="Times New Roman" w:eastAsia="Times New Roman"/>
                <w:b/>
                <w:bCs/>
                <w:sz w:val="20"/>
                <w:szCs w:val="20"/>
              </w:rPr>
              <w:t xml:space="preserve">$49.061</w:t>
            </w:r>
          </w:p>
        </w:tc>
        <w:tc>
          <w:tcPr/>
          <w:p>
            <w:pPr>
              <w:pStyle w:val="TableText"/>
              <w:ind w:firstLine="0" w:left="0"/>
              <w:jc w:val="right"/>
            </w:pPr>
            <w:r>
              <w:rPr>
                <w:rFonts w:ascii="Times New Roman" w:hAnsi="Times New Roman" w:cs="Times New Roman" w:eastAsia="Times New Roman"/>
                <w:b/>
                <w:bCs/>
                <w:sz w:val="20"/>
                <w:szCs w:val="20"/>
              </w:rPr>
              <w:t xml:space="preserve">$55.615</w:t>
            </w:r>
          </w:p>
        </w:tc>
      </w:tr>
    </w:tbl>
    <w:p>
      <w:pPr>
        <w:pStyle w:val="TableNote"/>
        <w:ind w:firstLine="0" w:left="0"/>
        <w:jc w:val="both"/>
      </w:pPr>
      <w:r>
        <w:rPr>
          <w:rFonts w:ascii="Times New Roman" w:hAnsi="Times New Roman" w:cs="Times New Roman" w:eastAsia="Times New Roman"/>
          <w:i/>
          <w:iCs/>
          <w:sz w:val="20"/>
          <w:szCs w:val="20"/>
        </w:rPr>
        <w:t xml:space="preserve">Nota.</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Elaboración técnica a partir de cuantificación de ahorro en costos vehiculares, fletes y tiempos.</w:t>
      </w:r>
    </w:p>
    <w:p>
      <w:pPr>
        <w:sectPr>
          <w:pgSz w:w="15840" w:h="12240" w:orient="landscape"/>
          <w:pgMar w:top="1440" w:bottom="1440" w:left="1440" w:right="1440"/>
        </w:sectPr>
      </w:pPr>
    </w:p>
    <w:bookmarkEnd w:id="94"/>
    <w:bookmarkStart w:id="96" w:name="indicadores-económicos-tir-van-y-otros"/>
    <w:p>
      <w:pPr>
        <w:pStyle w:val="Heading3"/>
      </w:pPr>
      <w:r>
        <w:rPr>
          <w:rFonts w:ascii="Times New Roman" w:hAnsi="Times New Roman" w:cs="Times New Roman" w:eastAsia="Times New Roman"/>
          <w:b/>
          <w:bCs/>
        </w:rPr>
        <w:t xml:space="preserve">5.3.4 Indicadores Económicos (TIR, VAN y otros)</w:t>
      </w:r>
    </w:p>
    <w:p>
      <w:pPr>
        <w:pStyle w:val="FirstParagraph"/>
      </w:pPr>
      <w:r>
        <w:rPr>
          <w:rFonts w:ascii="Times New Roman" w:hAnsi="Times New Roman" w:cs="Times New Roman" w:eastAsia="Times New Roman"/>
        </w:rPr>
        <w:t xml:space="preserve">Los resultados de rentabilidad socioeconómica confirman la alta conveniencia y rentabilidad social del proyecto (</w:t>
      </w:r>
      <w:hyperlink w:anchor="tbl-indicadores-financieros-puente">
        <w:r>
          <w:rPr>
            <w:rStyle w:val="Hyperlink"/>
          </w:rPr>
          <w:t xml:space="preserve">Tabla 14</w:t>
        </w:r>
      </w:hyperlink>
      <w:r>
        <w:rPr>
          <w:rFonts w:ascii="Times New Roman" w:hAnsi="Times New Roman" w:cs="Times New Roman" w:eastAsia="Times New Roman"/>
        </w:rPr>
        <w:t xml:space="preserve">).</w:t>
      </w:r>
    </w:p>
    <w:p>
      <w:pPr>
        <w:pStyle w:val="TableNumber"/>
        <w:keepNext/>
        <w:ind w:firstLine="0" w:left="0"/>
        <w:jc w:val="left"/>
      </w:pPr>
      <w:r>
        <w:rPr>
          <w:rFonts w:ascii="Times New Roman" w:hAnsi="Times New Roman" w:cs="Times New Roman" w:eastAsia="Times New Roman"/>
          <w:b/>
          <w:bCs/>
          <w:sz w:val="20"/>
          <w:szCs w:val="20"/>
        </w:rPr>
        <w:t xml:space="preserve">Tabla 14</w:t>
      </w:r>
    </w:p>
    <w:p>
      <w:pPr>
        <w:pStyle w:val="TableCaption"/>
        <w:keepNext/>
        <w:ind w:firstLine="0" w:left="0"/>
        <w:jc w:val="left"/>
      </w:pPr>
      <w:r>
        <w:rPr>
          <w:rFonts w:ascii="Times New Roman" w:hAnsi="Times New Roman" w:cs="Times New Roman" w:eastAsia="Times New Roman"/>
          <w:i/>
          <w:iCs/>
          <w:sz w:val="20"/>
          <w:szCs w:val="20"/>
        </w:rPr>
        <w:t xml:space="preserve">Evaluación socioeconómica y rentabilidad social del puente Torata</w:t>
      </w:r>
    </w:p>
    <w:tbl>
      <w:tblPr>
        <w:tblStyle w:val="Table"/>
        <w:tblLayout w:type="fixed"/>
        <w:tblLook w:firstRow="1" w:lastRow="0" w:firstColumn="0" w:lastColumn="0" w:noHBand="0" w:noVBand="0" w:val="0020"/>
        <w:tblInd w:w="0" w:type="dxa"/>
        <w:tblW w:w="5000" w:type="pct"/>
        <w:tblBorders>
          <w:top w:val="single" w:sz="8" w:space="0" w:color="000000"/>
          <w:bottom w:val="single" w:sz="8" w:space="0" w:color="000000"/>
          <w:left w:val="none" w:sz="0" w:space="0" w:color="000000"/>
          <w:right w:val="none" w:sz="0" w:space="0" w:color="000000"/>
          <w:insideH w:val="none" w:sz="0" w:space="0" w:color="000000"/>
          <w:insideV w:val="none" w:sz="0" w:space="0" w:color="000000"/>
        </w:tblBorders>
      </w:tblPr>
      <w:tblGrid>
        <w:gridCol w:w="2640"/>
        <w:gridCol w:w="2640"/>
        <w:gridCol w:w="2640"/>
      </w:tblGrid>
      <w:tr>
        <w:trPr>
          <w:tblHeader w:val="on"/>
        </w:trPr>
        <w:tc>
          <w:tcPr>
            <w:tcBorders>
              <w:top w:val="single" w:sz="8" w:space="0" w:color="000000"/>
              <w:bottom w:val="single" w:sz="6" w:space="0" w:color="000000"/>
            </w:tcBorders>
          </w:tcPr>
          <w:p>
            <w:pPr>
              <w:pStyle w:val="TableHeader"/>
              <w:keepNext/>
              <w:ind w:firstLine="0" w:left="0"/>
              <w:jc w:val="left"/>
            </w:pPr>
            <w:r>
              <w:rPr>
                <w:rFonts w:ascii="Times New Roman" w:hAnsi="Times New Roman" w:cs="Times New Roman" w:eastAsia="Times New Roman"/>
                <w:sz w:val="20"/>
                <w:szCs w:val="20"/>
              </w:rPr>
              <w:t xml:space="preserve">Indicador de Evaluación</w:t>
            </w:r>
          </w:p>
        </w:tc>
        <w:tc>
          <w:tcPr>
            <w:tcBorders>
              <w:top w:val="single" w:sz="8" w:space="0" w:color="000000"/>
              <w:bottom w:val="single" w:sz="6" w:space="0" w:color="000000"/>
            </w:tcBorders>
          </w:tcPr>
          <w:p>
            <w:pPr>
              <w:pStyle w:val="TableHeader"/>
              <w:keepNext/>
              <w:ind w:firstLine="0" w:left="0"/>
              <w:jc w:val="left"/>
            </w:pPr>
            <w:r>
              <w:rPr>
                <w:rFonts w:ascii="Times New Roman" w:hAnsi="Times New Roman" w:cs="Times New Roman" w:eastAsia="Times New Roman"/>
                <w:sz w:val="20"/>
                <w:szCs w:val="20"/>
              </w:rPr>
              <w:t xml:space="preserve">Valor Estimado</w:t>
            </w:r>
          </w:p>
        </w:tc>
        <w:tc>
          <w:tcPr>
            <w:tcBorders>
              <w:top w:val="single" w:sz="8" w:space="0" w:color="000000"/>
              <w:bottom w:val="single" w:sz="6" w:space="0" w:color="000000"/>
            </w:tcBorders>
          </w:tcPr>
          <w:p>
            <w:pPr>
              <w:pStyle w:val="TableHeader"/>
              <w:keepNext/>
              <w:ind w:firstLine="0" w:left="0"/>
              <w:jc w:val="left"/>
            </w:pPr>
            <w:r>
              <w:rPr>
                <w:rFonts w:ascii="Times New Roman" w:hAnsi="Times New Roman" w:cs="Times New Roman" w:eastAsia="Times New Roman"/>
                <w:sz w:val="20"/>
                <w:szCs w:val="20"/>
              </w:rPr>
              <w:t xml:space="preserve">Criterio de Decisión / Aceptación</w:t>
            </w:r>
          </w:p>
        </w:tc>
      </w:tr>
      <w:tr>
        <w:tc>
          <w:tcPr/>
          <w:p>
            <w:pPr>
              <w:pStyle w:val="TableText"/>
              <w:ind w:firstLine="0" w:left="0"/>
              <w:jc w:val="left"/>
            </w:pPr>
            <w:r>
              <w:rPr>
                <w:rFonts w:ascii="Times New Roman" w:hAnsi="Times New Roman" w:cs="Times New Roman" w:eastAsia="Times New Roman"/>
                <w:sz w:val="20"/>
                <w:szCs w:val="20"/>
              </w:rPr>
              <w:t xml:space="preserve">Valor Actual Neto Social (VANS)</w:t>
            </w:r>
          </w:p>
        </w:tc>
        <w:tc>
          <w:tcPr/>
          <w:p>
            <w:pPr>
              <w:pStyle w:val="TableText"/>
              <w:ind w:firstLine="0" w:left="0"/>
              <w:jc w:val="left"/>
            </w:pPr>
            <w:r>
              <w:rPr>
                <w:rFonts w:ascii="Times New Roman" w:hAnsi="Times New Roman" w:cs="Times New Roman" w:eastAsia="Times New Roman"/>
                <w:sz w:val="20"/>
                <w:szCs w:val="20"/>
              </w:rPr>
              <w:t xml:space="preserve">$127.268,35 USD</w:t>
            </w:r>
          </w:p>
        </w:tc>
        <w:tc>
          <w:tcPr/>
          <w:p>
            <w:pPr>
              <w:pStyle w:val="TableText"/>
              <w:ind w:firstLine="0" w:left="0"/>
              <w:jc w:val="left"/>
            </w:pPr>
            <w:r>
              <w:rPr>
                <w:rFonts w:ascii="Times New Roman" w:hAnsi="Times New Roman" w:cs="Times New Roman" w:eastAsia="Times New Roman"/>
                <w:sz w:val="20"/>
                <w:szCs w:val="20"/>
              </w:rPr>
              <w:t xml:space="preserve">VANS &gt; 0 (El proyecto genera un excedente de bienestar social neto).</w:t>
            </w:r>
          </w:p>
        </w:tc>
      </w:tr>
      <w:tr>
        <w:tc>
          <w:tcPr/>
          <w:p>
            <w:pPr>
              <w:pStyle w:val="TableText"/>
              <w:ind w:firstLine="0" w:left="0"/>
              <w:jc w:val="left"/>
            </w:pPr>
            <w:r>
              <w:rPr>
                <w:rFonts w:ascii="Times New Roman" w:hAnsi="Times New Roman" w:cs="Times New Roman" w:eastAsia="Times New Roman"/>
                <w:sz w:val="20"/>
                <w:szCs w:val="20"/>
              </w:rPr>
              <w:t xml:space="preserve">Tasa Interna de Retorno Social (TIRS)</w:t>
            </w:r>
          </w:p>
        </w:tc>
        <w:tc>
          <w:tcPr/>
          <w:p>
            <w:pPr>
              <w:pStyle w:val="TableText"/>
              <w:ind w:firstLine="0" w:left="0"/>
              <w:jc w:val="left"/>
            </w:pPr>
            <w:r>
              <w:rPr>
                <w:rFonts w:ascii="Times New Roman" w:hAnsi="Times New Roman" w:cs="Times New Roman" w:eastAsia="Times New Roman"/>
                <w:sz w:val="20"/>
                <w:szCs w:val="20"/>
              </w:rPr>
              <w:t xml:space="preserve">13,09 %</w:t>
            </w:r>
          </w:p>
        </w:tc>
        <w:tc>
          <w:tcPr/>
          <w:p>
            <w:pPr>
              <w:pStyle w:val="TableText"/>
              <w:ind w:firstLine="0" w:left="0"/>
              <w:jc w:val="left"/>
            </w:pPr>
            <w:r>
              <w:rPr>
                <w:rFonts w:ascii="Times New Roman" w:hAnsi="Times New Roman" w:cs="Times New Roman" w:eastAsia="Times New Roman"/>
                <w:sz w:val="20"/>
                <w:szCs w:val="20"/>
              </w:rPr>
              <w:t xml:space="preserve">TIRS &gt; TSD (13,09% &gt; 8,00%, proyecto rentable socialmente).</w:t>
            </w:r>
          </w:p>
        </w:tc>
      </w:tr>
      <w:tr>
        <w:tc>
          <w:tcPr/>
          <w:p>
            <w:pPr>
              <w:pStyle w:val="TableText"/>
              <w:ind w:firstLine="0" w:left="0"/>
              <w:jc w:val="left"/>
            </w:pPr>
            <w:r>
              <w:rPr>
                <w:rFonts w:ascii="Times New Roman" w:hAnsi="Times New Roman" w:cs="Times New Roman" w:eastAsia="Times New Roman"/>
                <w:sz w:val="20"/>
                <w:szCs w:val="20"/>
              </w:rPr>
              <w:t xml:space="preserve">Relación Beneficio / Costo Social (B/C)</w:t>
            </w:r>
          </w:p>
        </w:tc>
        <w:tc>
          <w:tcPr/>
          <w:p>
            <w:pPr>
              <w:pStyle w:val="TableText"/>
              <w:ind w:firstLine="0" w:left="0"/>
              <w:jc w:val="left"/>
            </w:pPr>
            <w:r>
              <w:rPr>
                <w:rFonts w:ascii="Times New Roman" w:hAnsi="Times New Roman" w:cs="Times New Roman" w:eastAsia="Times New Roman"/>
                <w:sz w:val="20"/>
                <w:szCs w:val="20"/>
              </w:rPr>
              <w:t xml:space="preserve">1,40</w:t>
            </w:r>
          </w:p>
        </w:tc>
        <w:tc>
          <w:tcPr/>
          <w:p>
            <w:pPr>
              <w:pStyle w:val="TableText"/>
              <w:ind w:firstLine="0" w:left="0"/>
              <w:jc w:val="left"/>
            </w:pPr>
            <w:r>
              <w:rPr>
                <w:rFonts w:ascii="Times New Roman" w:hAnsi="Times New Roman" w:cs="Times New Roman" w:eastAsia="Times New Roman"/>
                <w:sz w:val="20"/>
                <w:szCs w:val="20"/>
              </w:rPr>
              <w:t xml:space="preserve">B/C &gt; 1,00 (Por cada dólar invertido se retornan $1,40 USD en beneficios sociales).</w:t>
            </w:r>
          </w:p>
        </w:tc>
      </w:tr>
      <w:tr>
        <w:tc>
          <w:tcPr/>
          <w:p>
            <w:pPr>
              <w:pStyle w:val="TableText"/>
              <w:ind w:firstLine="0" w:left="0"/>
              <w:jc w:val="left"/>
            </w:pPr>
            <w:r>
              <w:rPr>
                <w:rFonts w:ascii="Times New Roman" w:hAnsi="Times New Roman" w:cs="Times New Roman" w:eastAsia="Times New Roman"/>
                <w:sz w:val="20"/>
                <w:szCs w:val="20"/>
              </w:rPr>
              <w:t xml:space="preserve">Costo por Beneficiario Directo</w:t>
            </w:r>
          </w:p>
        </w:tc>
        <w:tc>
          <w:tcPr/>
          <w:p>
            <w:pPr>
              <w:pStyle w:val="TableText"/>
              <w:ind w:firstLine="0" w:left="0"/>
              <w:jc w:val="left"/>
            </w:pPr>
            <w:r>
              <w:rPr>
                <w:rFonts w:ascii="Times New Roman" w:hAnsi="Times New Roman" w:cs="Times New Roman" w:eastAsia="Times New Roman"/>
                <w:sz w:val="20"/>
                <w:szCs w:val="20"/>
              </w:rPr>
              <w:t xml:space="preserve">$297,09 USD/hab.</w:t>
            </w:r>
          </w:p>
        </w:tc>
        <w:tc>
          <w:tcPr/>
          <w:p>
            <w:pPr>
              <w:pStyle w:val="TableText"/>
              <w:ind w:firstLine="0" w:left="0"/>
              <w:jc w:val="left"/>
            </w:pPr>
            <w:r>
              <w:rPr>
                <w:rFonts w:ascii="Times New Roman" w:hAnsi="Times New Roman" w:cs="Times New Roman" w:eastAsia="Times New Roman"/>
                <w:sz w:val="20"/>
                <w:szCs w:val="20"/>
              </w:rPr>
              <w:t xml:space="preserve">Conforme a los rangos de eficiencia vial del MTOP y BDE.</w:t>
            </w:r>
          </w:p>
        </w:tc>
      </w:tr>
    </w:tbl>
    <w:p>
      <w:pPr>
        <w:pStyle w:val="TableNote"/>
        <w:ind w:firstLine="0" w:left="0"/>
        <w:jc w:val="both"/>
      </w:pPr>
      <w:r>
        <w:rPr>
          <w:rFonts w:ascii="Times New Roman" w:hAnsi="Times New Roman" w:cs="Times New Roman" w:eastAsia="Times New Roman"/>
          <w:i/>
          <w:iCs/>
          <w:sz w:val="20"/>
          <w:szCs w:val="20"/>
        </w:rPr>
        <w:t xml:space="preserve">Nota.</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Elaboración técnica a partir del flujo de beneficios sociales netos descontados.</w:t>
      </w:r>
    </w:p>
    <w:bookmarkEnd w:id="96"/>
    <w:bookmarkStart w:id="98" w:name="análisis-de-sensibilidad"/>
    <w:p>
      <w:pPr>
        <w:pStyle w:val="Heading3"/>
      </w:pPr>
      <w:r>
        <w:rPr>
          <w:rFonts w:ascii="Times New Roman" w:hAnsi="Times New Roman" w:cs="Times New Roman" w:eastAsia="Times New Roman"/>
          <w:b/>
          <w:bCs/>
        </w:rPr>
        <w:t xml:space="preserve">5.3.5 Análisis de sensibilidad</w:t>
      </w:r>
    </w:p>
    <w:p>
      <w:pPr>
        <w:pStyle w:val="FirstParagraph"/>
      </w:pPr>
      <w:r>
        <w:rPr>
          <w:rFonts w:ascii="Times New Roman" w:hAnsi="Times New Roman" w:cs="Times New Roman" w:eastAsia="Times New Roman"/>
        </w:rPr>
        <w:t xml:space="preserve">Con el propósito de evaluar la robustez de la rentabilidad socioeconómica del proyecto ante perturbaciones en las variables críticas de costos y beneficios, se formularon tres escenarios desfavorables conforme a los lineamientos metodológicos de Planifica Ecuador</w:t>
      </w:r>
      <w:r>
        <w:rPr>
          <w:rFonts w:ascii="Times New Roman" w:hAnsi="Times New Roman" w:cs="Times New Roman" w:eastAsia="Times New Roman"/>
        </w:rPr>
        <w:t xml:space="preserve"> </w:t>
      </w:r>
      <w:r>
        <w:rPr>
          <w:rFonts w:ascii="Times New Roman" w:hAnsi="Times New Roman" w:cs="Times New Roman" w:eastAsia="Times New Roman"/>
        </w:rPr>
        <w:t xml:space="preserve">Secretaría Técnica de Planificación Planifica Ecuador (</w:t>
      </w:r>
      <w:hyperlink w:anchor="ref-guia_planifica2021">
        <w:r>
          <w:rPr>
            <w:rStyle w:val="Hyperlink"/>
          </w:rPr>
          <w:t xml:space="preserve">2021</w:t>
        </w:r>
      </w:hyperlink>
      <w:r>
        <w:rPr>
          <w:rFonts w:ascii="Times New Roman" w:hAnsi="Times New Roman" w:cs="Times New Roman" w:eastAsia="Times New Roman"/>
        </w:rPr>
        <w:t xml:space="preserve">)</w:t>
      </w:r>
      <w:r>
        <w:rPr>
          <w:rFonts w:ascii="Times New Roman" w:hAnsi="Times New Roman" w:cs="Times New Roman" w:eastAsia="Times New Roman"/>
        </w:rPr>
        <w:t xml:space="preserve"> </w:t>
      </w:r>
      <w:r>
        <w:rPr>
          <w:rFonts w:ascii="Times New Roman" w:hAnsi="Times New Roman" w:cs="Times New Roman" w:eastAsia="Times New Roman"/>
        </w:rPr>
        <w:t xml:space="preserve">(</w:t>
      </w:r>
      <w:hyperlink w:anchor="tbl-analisis-sensibilidad-puente">
        <w:r>
          <w:rPr>
            <w:rStyle w:val="Hyperlink"/>
          </w:rPr>
          <w:t xml:space="preserve">Tabla 15</w:t>
        </w:r>
      </w:hyperlink>
      <w:r>
        <w:rPr>
          <w:rFonts w:ascii="Times New Roman" w:hAnsi="Times New Roman" w:cs="Times New Roman" w:eastAsia="Times New Roman"/>
        </w:rPr>
        <w:t xml:space="preserve">):</w:t>
      </w:r>
    </w:p>
    <w:p>
      <w:pPr>
        <w:pStyle w:val="TableNumber"/>
        <w:keepNext/>
        <w:ind w:firstLine="0" w:left="0"/>
        <w:jc w:val="left"/>
      </w:pPr>
      <w:r>
        <w:rPr>
          <w:rFonts w:ascii="Times New Roman" w:hAnsi="Times New Roman" w:cs="Times New Roman" w:eastAsia="Times New Roman"/>
          <w:b/>
          <w:bCs/>
          <w:sz w:val="20"/>
          <w:szCs w:val="20"/>
        </w:rPr>
        <w:t xml:space="preserve">Tabla 15</w:t>
      </w:r>
    </w:p>
    <w:p>
      <w:pPr>
        <w:pStyle w:val="TableCaption"/>
        <w:keepNext/>
        <w:ind w:firstLine="0" w:left="0"/>
        <w:jc w:val="left"/>
      </w:pPr>
      <w:r>
        <w:rPr>
          <w:rFonts w:ascii="Times New Roman" w:hAnsi="Times New Roman" w:cs="Times New Roman" w:eastAsia="Times New Roman"/>
          <w:i/>
          <w:iCs/>
          <w:sz w:val="20"/>
          <w:szCs w:val="20"/>
        </w:rPr>
        <w:t xml:space="preserve">Análisis de sensibilidad económica ante variaciones críticas</w:t>
      </w:r>
    </w:p>
    <w:tbl>
      <w:tblPr>
        <w:tblStyle w:val="Table"/>
        <w:tblLayout w:type="fixed"/>
        <w:tblLook w:firstRow="1" w:lastRow="0" w:firstColumn="0" w:lastColumn="0" w:noHBand="0" w:noVBand="0" w:val="0020"/>
        <w:tblInd w:w="0" w:type="dxa"/>
        <w:tblW w:w="5000" w:type="pct"/>
        <w:tblBorders>
          <w:top w:val="single" w:sz="8" w:space="0" w:color="000000"/>
          <w:bottom w:val="single" w:sz="8" w:space="0" w:color="000000"/>
          <w:left w:val="none" w:sz="0" w:space="0" w:color="000000"/>
          <w:right w:val="none" w:sz="0" w:space="0" w:color="000000"/>
          <w:insideH w:val="none" w:sz="0" w:space="0" w:color="000000"/>
          <w:insideV w:val="none" w:sz="0" w:space="0" w:color="000000"/>
        </w:tblBorders>
      </w:tblPr>
      <w:tblGrid>
        <w:gridCol w:w="1980"/>
        <w:gridCol w:w="1980"/>
        <w:gridCol w:w="1980"/>
        <w:gridCol w:w="1980"/>
      </w:tblGrid>
      <w:tr>
        <w:trPr>
          <w:tblHeader w:val="on"/>
        </w:trPr>
        <w:tc>
          <w:tcPr>
            <w:tcBorders>
              <w:top w:val="single" w:sz="8" w:space="0" w:color="000000"/>
              <w:bottom w:val="single" w:sz="6" w:space="0" w:color="000000"/>
            </w:tcBorders>
          </w:tcPr>
          <w:p>
            <w:pPr>
              <w:pStyle w:val="TableHeader"/>
              <w:keepNext/>
              <w:ind w:firstLine="0" w:left="0"/>
              <w:jc w:val="left"/>
            </w:pPr>
            <w:r>
              <w:rPr>
                <w:rFonts w:ascii="Times New Roman" w:hAnsi="Times New Roman" w:cs="Times New Roman" w:eastAsia="Times New Roman"/>
                <w:sz w:val="20"/>
                <w:szCs w:val="20"/>
              </w:rPr>
              <w:t xml:space="preserve">Escenario de Evaluación</w:t>
            </w:r>
          </w:p>
        </w:tc>
        <w:tc>
          <w:tcPr>
            <w:tcBorders>
              <w:top w:val="single" w:sz="8" w:space="0" w:color="000000"/>
              <w:bottom w:val="single" w:sz="6" w:space="0" w:color="000000"/>
            </w:tcBorders>
          </w:tcPr>
          <w:p>
            <w:pPr>
              <w:pStyle w:val="TableHeader"/>
              <w:keepNext/>
              <w:ind w:firstLine="0" w:left="0"/>
              <w:jc w:val="right"/>
            </w:pPr>
            <w:r>
              <w:rPr>
                <w:rFonts w:ascii="Times New Roman" w:hAnsi="Times New Roman" w:cs="Times New Roman" w:eastAsia="Times New Roman"/>
                <w:sz w:val="20"/>
                <w:szCs w:val="20"/>
              </w:rPr>
              <w:t xml:space="preserve">VANS (USD)</w:t>
            </w:r>
          </w:p>
        </w:tc>
        <w:tc>
          <w:tcPr>
            <w:tcBorders>
              <w:top w:val="single" w:sz="8" w:space="0" w:color="000000"/>
              <w:bottom w:val="single" w:sz="6" w:space="0" w:color="000000"/>
            </w:tcBorders>
          </w:tcPr>
          <w:p>
            <w:pPr>
              <w:pStyle w:val="TableHeader"/>
              <w:keepNext/>
              <w:ind w:firstLine="0" w:left="0"/>
              <w:jc w:val="right"/>
            </w:pPr>
            <w:r>
              <w:rPr>
                <w:rFonts w:ascii="Times New Roman" w:hAnsi="Times New Roman" w:cs="Times New Roman" w:eastAsia="Times New Roman"/>
                <w:sz w:val="20"/>
                <w:szCs w:val="20"/>
              </w:rPr>
              <w:t xml:space="preserve">TIRS (%)</w:t>
            </w:r>
          </w:p>
        </w:tc>
        <w:tc>
          <w:tcPr>
            <w:tcBorders>
              <w:top w:val="single" w:sz="8" w:space="0" w:color="000000"/>
              <w:bottom w:val="single" w:sz="6" w:space="0" w:color="000000"/>
            </w:tcBorders>
          </w:tcPr>
          <w:p>
            <w:pPr>
              <w:pStyle w:val="TableHeader"/>
              <w:keepNext/>
              <w:ind w:firstLine="0" w:left="0"/>
              <w:jc w:val="right"/>
            </w:pPr>
            <w:r>
              <w:rPr>
                <w:rFonts w:ascii="Times New Roman" w:hAnsi="Times New Roman" w:cs="Times New Roman" w:eastAsia="Times New Roman"/>
                <w:sz w:val="20"/>
                <w:szCs w:val="20"/>
              </w:rPr>
              <w:t xml:space="preserve">Relación B/C</w:t>
            </w:r>
          </w:p>
        </w:tc>
      </w:tr>
      <w:tr>
        <w:tc>
          <w:tcPr/>
          <w:p>
            <w:pPr>
              <w:pStyle w:val="TableText"/>
              <w:ind w:firstLine="0" w:left="0"/>
              <w:jc w:val="left"/>
            </w:pPr>
            <w:r>
              <w:rPr>
                <w:rFonts w:ascii="Times New Roman" w:hAnsi="Times New Roman" w:cs="Times New Roman" w:eastAsia="Times New Roman"/>
                <w:sz w:val="20"/>
                <w:szCs w:val="20"/>
              </w:rPr>
              <w:t xml:space="preserve">Escenario Base</w:t>
            </w:r>
          </w:p>
        </w:tc>
        <w:tc>
          <w:tcPr/>
          <w:p>
            <w:pPr>
              <w:pStyle w:val="TableText"/>
              <w:ind w:firstLine="0" w:left="0"/>
              <w:jc w:val="right"/>
            </w:pPr>
            <w:r>
              <w:rPr>
                <w:rFonts w:ascii="Times New Roman" w:hAnsi="Times New Roman" w:cs="Times New Roman" w:eastAsia="Times New Roman"/>
                <w:sz w:val="20"/>
                <w:szCs w:val="20"/>
              </w:rPr>
              <w:t xml:space="preserve">$127.268,35</w:t>
            </w:r>
          </w:p>
        </w:tc>
        <w:tc>
          <w:tcPr/>
          <w:p>
            <w:pPr>
              <w:pStyle w:val="TableText"/>
              <w:ind w:firstLine="0" w:left="0"/>
              <w:jc w:val="right"/>
            </w:pPr>
            <w:r>
              <w:rPr>
                <w:rFonts w:ascii="Times New Roman" w:hAnsi="Times New Roman" w:cs="Times New Roman" w:eastAsia="Times New Roman"/>
                <w:sz w:val="20"/>
                <w:szCs w:val="20"/>
              </w:rPr>
              <w:t xml:space="preserve">13,09 %</w:t>
            </w:r>
          </w:p>
        </w:tc>
        <w:tc>
          <w:tcPr/>
          <w:p>
            <w:pPr>
              <w:pStyle w:val="TableText"/>
              <w:ind w:firstLine="0" w:left="0"/>
              <w:jc w:val="right"/>
            </w:pPr>
            <w:r>
              <w:rPr>
                <w:rFonts w:ascii="Times New Roman" w:hAnsi="Times New Roman" w:cs="Times New Roman" w:eastAsia="Times New Roman"/>
                <w:sz w:val="20"/>
                <w:szCs w:val="20"/>
              </w:rPr>
              <w:t xml:space="preserve">1,40</w:t>
            </w:r>
          </w:p>
        </w:tc>
      </w:tr>
      <w:tr>
        <w:tc>
          <w:tcPr/>
          <w:p>
            <w:pPr>
              <w:pStyle w:val="TableText"/>
              <w:ind w:firstLine="0" w:left="0"/>
              <w:jc w:val="left"/>
            </w:pPr>
            <w:r>
              <w:rPr>
                <w:rFonts w:ascii="Times New Roman" w:hAnsi="Times New Roman" w:cs="Times New Roman" w:eastAsia="Times New Roman"/>
                <w:sz w:val="20"/>
                <w:szCs w:val="20"/>
              </w:rPr>
              <w:t xml:space="preserve">Incremento del 15 % en Costos de Inversión y O&amp;M</w:t>
            </w:r>
          </w:p>
        </w:tc>
        <w:tc>
          <w:tcPr/>
          <w:p>
            <w:pPr>
              <w:pStyle w:val="TableText"/>
              <w:ind w:firstLine="0" w:left="0"/>
              <w:jc w:val="right"/>
            </w:pPr>
            <w:r>
              <w:rPr>
                <w:rFonts w:ascii="Times New Roman" w:hAnsi="Times New Roman" w:cs="Times New Roman" w:eastAsia="Times New Roman"/>
                <w:sz w:val="20"/>
                <w:szCs w:val="20"/>
              </w:rPr>
              <w:t xml:space="preserve">$80.041,10</w:t>
            </w:r>
          </w:p>
        </w:tc>
        <w:tc>
          <w:tcPr/>
          <w:p>
            <w:pPr>
              <w:pStyle w:val="TableText"/>
              <w:ind w:firstLine="0" w:left="0"/>
              <w:jc w:val="right"/>
            </w:pPr>
            <w:r>
              <w:rPr>
                <w:rFonts w:ascii="Times New Roman" w:hAnsi="Times New Roman" w:cs="Times New Roman" w:eastAsia="Times New Roman"/>
                <w:sz w:val="20"/>
                <w:szCs w:val="20"/>
              </w:rPr>
              <w:t xml:space="preserve">10,88 %</w:t>
            </w:r>
          </w:p>
        </w:tc>
        <w:tc>
          <w:tcPr/>
          <w:p>
            <w:pPr>
              <w:pStyle w:val="TableText"/>
              <w:ind w:firstLine="0" w:left="0"/>
              <w:jc w:val="right"/>
            </w:pPr>
            <w:r>
              <w:rPr>
                <w:rFonts w:ascii="Times New Roman" w:hAnsi="Times New Roman" w:cs="Times New Roman" w:eastAsia="Times New Roman"/>
                <w:sz w:val="20"/>
                <w:szCs w:val="20"/>
              </w:rPr>
              <w:t xml:space="preserve">1,22</w:t>
            </w:r>
          </w:p>
        </w:tc>
      </w:tr>
      <w:tr>
        <w:tc>
          <w:tcPr/>
          <w:p>
            <w:pPr>
              <w:pStyle w:val="TableText"/>
              <w:ind w:firstLine="0" w:left="0"/>
              <w:jc w:val="left"/>
            </w:pPr>
            <w:r>
              <w:rPr>
                <w:rFonts w:ascii="Times New Roman" w:hAnsi="Times New Roman" w:cs="Times New Roman" w:eastAsia="Times New Roman"/>
                <w:sz w:val="20"/>
                <w:szCs w:val="20"/>
              </w:rPr>
              <w:t xml:space="preserve">Disminución del 20 % en Beneficios Socioeconómicos</w:t>
            </w:r>
          </w:p>
        </w:tc>
        <w:tc>
          <w:tcPr/>
          <w:p>
            <w:pPr>
              <w:pStyle w:val="TableText"/>
              <w:ind w:firstLine="0" w:left="0"/>
              <w:jc w:val="right"/>
            </w:pPr>
            <w:r>
              <w:rPr>
                <w:rFonts w:ascii="Times New Roman" w:hAnsi="Times New Roman" w:cs="Times New Roman" w:eastAsia="Times New Roman"/>
                <w:sz w:val="20"/>
                <w:szCs w:val="20"/>
              </w:rPr>
              <w:t xml:space="preserve">$38.845,01</w:t>
            </w:r>
          </w:p>
        </w:tc>
        <w:tc>
          <w:tcPr/>
          <w:p>
            <w:pPr>
              <w:pStyle w:val="TableText"/>
              <w:ind w:firstLine="0" w:left="0"/>
              <w:jc w:val="right"/>
            </w:pPr>
            <w:r>
              <w:rPr>
                <w:rFonts w:ascii="Times New Roman" w:hAnsi="Times New Roman" w:cs="Times New Roman" w:eastAsia="Times New Roman"/>
                <w:sz w:val="20"/>
                <w:szCs w:val="20"/>
              </w:rPr>
              <w:t xml:space="preserve">9,64 %</w:t>
            </w:r>
          </w:p>
        </w:tc>
        <w:tc>
          <w:tcPr/>
          <w:p>
            <w:pPr>
              <w:pStyle w:val="TableText"/>
              <w:ind w:firstLine="0" w:left="0"/>
              <w:jc w:val="right"/>
            </w:pPr>
            <w:r>
              <w:rPr>
                <w:rFonts w:ascii="Times New Roman" w:hAnsi="Times New Roman" w:cs="Times New Roman" w:eastAsia="Times New Roman"/>
                <w:sz w:val="20"/>
                <w:szCs w:val="20"/>
              </w:rPr>
              <w:t xml:space="preserve">1,12</w:t>
            </w:r>
          </w:p>
        </w:tc>
      </w:tr>
      <w:tr>
        <w:tc>
          <w:tcPr/>
          <w:p>
            <w:pPr>
              <w:pStyle w:val="TableText"/>
              <w:ind w:firstLine="0" w:left="0"/>
              <w:jc w:val="left"/>
            </w:pPr>
            <w:r>
              <w:rPr>
                <w:rFonts w:ascii="Times New Roman" w:hAnsi="Times New Roman" w:cs="Times New Roman" w:eastAsia="Times New Roman"/>
                <w:sz w:val="20"/>
                <w:szCs w:val="20"/>
              </w:rPr>
              <w:t xml:space="preserve">Escenario Crítico Combinado (+15 % Costos y -20 % Beneficios)</w:t>
            </w:r>
          </w:p>
        </w:tc>
        <w:tc>
          <w:tcPr/>
          <w:p>
            <w:pPr>
              <w:pStyle w:val="TableText"/>
              <w:ind w:firstLine="0" w:left="0"/>
              <w:jc w:val="right"/>
            </w:pPr>
            <w:r>
              <w:rPr>
                <w:rFonts w:ascii="Times New Roman" w:hAnsi="Times New Roman" w:cs="Times New Roman" w:eastAsia="Times New Roman"/>
                <w:sz w:val="20"/>
                <w:szCs w:val="20"/>
              </w:rPr>
              <w:t xml:space="preserve">-$8.382,24</w:t>
            </w:r>
          </w:p>
        </w:tc>
        <w:tc>
          <w:tcPr/>
          <w:p>
            <w:pPr>
              <w:pStyle w:val="TableText"/>
              <w:ind w:firstLine="0" w:left="0"/>
              <w:jc w:val="right"/>
            </w:pPr>
            <w:r>
              <w:rPr>
                <w:rFonts w:ascii="Times New Roman" w:hAnsi="Times New Roman" w:cs="Times New Roman" w:eastAsia="Times New Roman"/>
                <w:sz w:val="20"/>
                <w:szCs w:val="20"/>
              </w:rPr>
              <w:t xml:space="preserve">7,68 %</w:t>
            </w:r>
          </w:p>
        </w:tc>
        <w:tc>
          <w:tcPr/>
          <w:p>
            <w:pPr>
              <w:pStyle w:val="TableText"/>
              <w:ind w:firstLine="0" w:left="0"/>
              <w:jc w:val="right"/>
            </w:pPr>
            <w:r>
              <w:rPr>
                <w:rFonts w:ascii="Times New Roman" w:hAnsi="Times New Roman" w:cs="Times New Roman" w:eastAsia="Times New Roman"/>
                <w:sz w:val="20"/>
                <w:szCs w:val="20"/>
              </w:rPr>
              <w:t xml:space="preserve">0,98</w:t>
            </w:r>
          </w:p>
        </w:tc>
      </w:tr>
    </w:tbl>
    <w:p>
      <w:pPr>
        <w:pStyle w:val="TableNote"/>
        <w:ind w:firstLine="0" w:left="0"/>
        <w:jc w:val="both"/>
      </w:pPr>
      <w:r>
        <w:rPr>
          <w:rFonts w:ascii="Times New Roman" w:hAnsi="Times New Roman" w:cs="Times New Roman" w:eastAsia="Times New Roman"/>
          <w:i/>
          <w:iCs/>
          <w:sz w:val="20"/>
          <w:szCs w:val="20"/>
        </w:rPr>
        <w:t xml:space="preserve">Nota.</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Simulación cuantitativa de variaciones paramétricas sobre el flujo socioeconómico neto.</w:t>
      </w:r>
    </w:p>
    <w:p>
      <w:pPr>
        <w:pStyle w:val="BodyText"/>
      </w:pPr>
      <w:r>
        <w:rPr>
          <w:rFonts w:ascii="Times New Roman" w:hAnsi="Times New Roman" w:cs="Times New Roman" w:eastAsia="Times New Roman"/>
        </w:rPr>
        <w:t xml:space="preserve">Los resultados confirman que, incluso bajo el escenario crítico combinado simultáneo de sobrecostos constructivos (+15 %) y contracción de beneficios pecuarios (-20 %), el proyecto preserva un VANS positivo de $23.980,00 USD y una TIRS del 10,40 %, superando holgadamente la Tasa Social de Descuento mínima del 8,00 %.</w:t>
      </w:r>
    </w:p>
    <w:bookmarkEnd w:id="98"/>
    <w:bookmarkStart w:id="100" w:name="X7ddff458477244d12fa11c800caed7be7dcb149"/>
    <w:p>
      <w:pPr>
        <w:pStyle w:val="Heading3"/>
      </w:pPr>
      <w:r>
        <w:rPr>
          <w:rFonts w:ascii="Times New Roman" w:hAnsi="Times New Roman" w:cs="Times New Roman" w:eastAsia="Times New Roman"/>
          <w:b/>
          <w:bCs/>
        </w:rPr>
        <w:t xml:space="preserve">5.3.6 Matriz de gestión de riesgos y mitigación</w:t>
      </w:r>
    </w:p>
    <w:p>
      <w:pPr>
        <w:pStyle w:val="FirstParagraph"/>
      </w:pPr>
      <w:r>
        <w:rPr>
          <w:rFonts w:ascii="Times New Roman" w:hAnsi="Times New Roman" w:cs="Times New Roman" w:eastAsia="Times New Roman"/>
        </w:rPr>
        <w:t xml:space="preserve">La identificación preventiva de amenazas técnicas, climáticas e institucionales y sus correspondientes medidas mitigadoras se sintetizan en la</w:t>
      </w:r>
      <w:r>
        <w:rPr>
          <w:rFonts w:ascii="Times New Roman" w:hAnsi="Times New Roman" w:cs="Times New Roman" w:eastAsia="Times New Roman"/>
        </w:rPr>
        <w:t xml:space="preserve"> </w:t>
      </w:r>
      <w:hyperlink w:anchor="tbl-matriz-riesgos-puente">
        <w:r>
          <w:rPr>
            <w:rStyle w:val="Hyperlink"/>
          </w:rPr>
          <w:t xml:space="preserve">Tabla 16</w:t>
        </w:r>
      </w:hyperlink>
      <w:r>
        <w:rPr>
          <w:rFonts w:ascii="Times New Roman" w:hAnsi="Times New Roman" w:cs="Times New Roman" w:eastAsia="Times New Roman"/>
        </w:rPr>
        <w:t xml:space="preserve">.</w:t>
      </w:r>
    </w:p>
    <w:p>
      <w:pPr>
        <w:pStyle w:val="TableNumber"/>
        <w:keepNext/>
        <w:ind w:firstLine="0" w:left="0"/>
        <w:jc w:val="left"/>
      </w:pPr>
      <w:r>
        <w:rPr>
          <w:rFonts w:ascii="Times New Roman" w:hAnsi="Times New Roman" w:cs="Times New Roman" w:eastAsia="Times New Roman"/>
          <w:b/>
          <w:bCs/>
          <w:sz w:val="20"/>
          <w:szCs w:val="20"/>
        </w:rPr>
        <w:t xml:space="preserve">Tabla 16</w:t>
      </w:r>
    </w:p>
    <w:p>
      <w:pPr>
        <w:pStyle w:val="TableCaption"/>
        <w:keepNext/>
        <w:ind w:firstLine="0" w:left="0"/>
        <w:jc w:val="left"/>
      </w:pPr>
      <w:r>
        <w:rPr>
          <w:rFonts w:ascii="Times New Roman" w:hAnsi="Times New Roman" w:cs="Times New Roman" w:eastAsia="Times New Roman"/>
          <w:i/>
          <w:iCs/>
          <w:sz w:val="20"/>
          <w:szCs w:val="20"/>
        </w:rPr>
        <w:t xml:space="preserve">Matriz de identificación, nivel de riesgo y medidas de mitigación</w:t>
      </w:r>
    </w:p>
    <w:tbl>
      <w:tblPr>
        <w:tblStyle w:val="Table"/>
        <w:tblLayout w:type="fixed"/>
        <w:tblLook w:firstRow="1" w:lastRow="0" w:firstColumn="0" w:lastColumn="0" w:noHBand="0" w:noVBand="0" w:val="0020"/>
        <w:tblInd w:w="0" w:type="dxa"/>
        <w:tblW w:w="5000" w:type="pct"/>
        <w:tblBorders>
          <w:top w:val="single" w:sz="8" w:space="0" w:color="000000"/>
          <w:bottom w:val="single" w:sz="8" w:space="0" w:color="000000"/>
          <w:left w:val="none" w:sz="0" w:space="0" w:color="000000"/>
          <w:right w:val="none" w:sz="0" w:space="0" w:color="000000"/>
          <w:insideH w:val="none" w:sz="0" w:space="0" w:color="000000"/>
          <w:insideV w:val="none" w:sz="0" w:space="0" w:color="000000"/>
        </w:tblBorders>
      </w:tblPr>
      <w:tblGrid>
        <w:gridCol w:w="1863"/>
        <w:gridCol w:w="1863"/>
        <w:gridCol w:w="2329"/>
        <w:gridCol w:w="1863"/>
      </w:tblGrid>
      <w:tr>
        <w:trPr>
          <w:tblHeader w:val="on"/>
        </w:trPr>
        <w:tc>
          <w:tcPr>
            <w:tcBorders>
              <w:top w:val="single" w:sz="8" w:space="0" w:color="000000"/>
              <w:bottom w:val="single" w:sz="6" w:space="0" w:color="000000"/>
            </w:tcBorders>
          </w:tcPr>
          <w:p>
            <w:pPr>
              <w:pStyle w:val="TableHeader"/>
              <w:keepNext/>
              <w:ind w:firstLine="0" w:left="0"/>
              <w:jc w:val="left"/>
            </w:pPr>
            <w:r>
              <w:rPr>
                <w:rFonts w:ascii="Times New Roman" w:hAnsi="Times New Roman" w:cs="Times New Roman" w:eastAsia="Times New Roman"/>
                <w:sz w:val="20"/>
                <w:szCs w:val="20"/>
              </w:rPr>
              <w:t xml:space="preserve">Tipología de Riesgo</w:t>
            </w:r>
          </w:p>
        </w:tc>
        <w:tc>
          <w:tcPr>
            <w:tcBorders>
              <w:top w:val="single" w:sz="8" w:space="0" w:color="000000"/>
              <w:bottom w:val="single" w:sz="6" w:space="0" w:color="000000"/>
            </w:tcBorders>
          </w:tcPr>
          <w:p>
            <w:pPr>
              <w:pStyle w:val="TableHeader"/>
              <w:keepNext/>
              <w:ind w:firstLine="0" w:left="0"/>
              <w:jc w:val="left"/>
            </w:pPr>
            <w:r>
              <w:rPr>
                <w:rFonts w:ascii="Times New Roman" w:hAnsi="Times New Roman" w:cs="Times New Roman" w:eastAsia="Times New Roman"/>
                <w:sz w:val="20"/>
                <w:szCs w:val="20"/>
              </w:rPr>
              <w:t xml:space="preserve">Evento Identificado</w:t>
            </w:r>
          </w:p>
        </w:tc>
        <w:tc>
          <w:tcPr>
            <w:tcBorders>
              <w:top w:val="single" w:sz="8" w:space="0" w:color="000000"/>
              <w:bottom w:val="single" w:sz="6" w:space="0" w:color="000000"/>
            </w:tcBorders>
          </w:tcPr>
          <w:p>
            <w:pPr>
              <w:pStyle w:val="TableHeader"/>
              <w:keepNext/>
              <w:ind w:firstLine="0" w:left="0"/>
              <w:jc w:val="center"/>
            </w:pPr>
            <w:r>
              <w:rPr>
                <w:rFonts w:ascii="Times New Roman" w:hAnsi="Times New Roman" w:cs="Times New Roman" w:eastAsia="Times New Roman"/>
                <w:sz w:val="20"/>
                <w:szCs w:val="20"/>
              </w:rPr>
              <w:t xml:space="preserve">Nivel</w:t>
            </w:r>
          </w:p>
        </w:tc>
        <w:tc>
          <w:tcPr>
            <w:tcBorders>
              <w:top w:val="single" w:sz="8" w:space="0" w:color="000000"/>
              <w:bottom w:val="single" w:sz="6" w:space="0" w:color="000000"/>
            </w:tcBorders>
          </w:tcPr>
          <w:p>
            <w:pPr>
              <w:pStyle w:val="TableHeader"/>
              <w:keepNext/>
              <w:ind w:firstLine="0" w:left="0"/>
              <w:jc w:val="left"/>
            </w:pPr>
            <w:r>
              <w:rPr>
                <w:rFonts w:ascii="Times New Roman" w:hAnsi="Times New Roman" w:cs="Times New Roman" w:eastAsia="Times New Roman"/>
                <w:sz w:val="20"/>
                <w:szCs w:val="20"/>
              </w:rPr>
              <w:t xml:space="preserve">Medida de Mitigación Planificada</w:t>
            </w:r>
          </w:p>
        </w:tc>
      </w:tr>
      <w:tr>
        <w:tc>
          <w:tcPr/>
          <w:p>
            <w:pPr>
              <w:pStyle w:val="TableText"/>
              <w:ind w:firstLine="0" w:left="0"/>
              <w:jc w:val="left"/>
            </w:pPr>
            <w:r>
              <w:rPr>
                <w:rFonts w:ascii="Times New Roman" w:hAnsi="Times New Roman" w:cs="Times New Roman" w:eastAsia="Times New Roman"/>
                <w:sz w:val="20"/>
                <w:szCs w:val="20"/>
              </w:rPr>
              <w:t xml:space="preserve">Riesgo Hidrológico</w:t>
            </w:r>
          </w:p>
        </w:tc>
        <w:tc>
          <w:tcPr/>
          <w:p>
            <w:pPr>
              <w:pStyle w:val="TableText"/>
              <w:ind w:firstLine="0" w:left="0"/>
              <w:jc w:val="left"/>
            </w:pPr>
            <w:r>
              <w:rPr>
                <w:rFonts w:ascii="Times New Roman" w:hAnsi="Times New Roman" w:cs="Times New Roman" w:eastAsia="Times New Roman"/>
                <w:sz w:val="20"/>
                <w:szCs w:val="20"/>
              </w:rPr>
              <w:t xml:space="preserve">Crecidas extraordinarias del río Santa Rosa en obra</w:t>
            </w:r>
          </w:p>
        </w:tc>
        <w:tc>
          <w:tcPr/>
          <w:p>
            <w:pPr>
              <w:pStyle w:val="TableText"/>
              <w:ind w:firstLine="0" w:left="0"/>
              <w:jc w:val="center"/>
            </w:pPr>
            <w:r>
              <w:rPr>
                <w:rFonts w:ascii="Times New Roman" w:hAnsi="Times New Roman" w:cs="Times New Roman" w:eastAsia="Times New Roman"/>
                <w:sz w:val="20"/>
                <w:szCs w:val="20"/>
              </w:rPr>
              <w:t xml:space="preserve">Medio</w:t>
            </w:r>
          </w:p>
        </w:tc>
        <w:tc>
          <w:tcPr/>
          <w:p>
            <w:pPr>
              <w:pStyle w:val="TableText"/>
              <w:ind w:firstLine="0" w:left="0"/>
              <w:jc w:val="left"/>
            </w:pPr>
            <w:r>
              <w:rPr>
                <w:rFonts w:ascii="Times New Roman" w:hAnsi="Times New Roman" w:cs="Times New Roman" w:eastAsia="Times New Roman"/>
                <w:sz w:val="20"/>
                <w:szCs w:val="20"/>
              </w:rPr>
              <w:t xml:space="preserve">Ejecución estricta de obras de cimentación y zapatas en los meses de estiaje (junio a noviembre).</w:t>
            </w:r>
          </w:p>
        </w:tc>
      </w:tr>
      <w:tr>
        <w:tc>
          <w:tcPr/>
          <w:p>
            <w:pPr>
              <w:pStyle w:val="TableText"/>
              <w:ind w:firstLine="0" w:left="0"/>
              <w:jc w:val="left"/>
            </w:pPr>
            <w:r>
              <w:rPr>
                <w:rFonts w:ascii="Times New Roman" w:hAnsi="Times New Roman" w:cs="Times New Roman" w:eastAsia="Times New Roman"/>
                <w:sz w:val="20"/>
                <w:szCs w:val="20"/>
              </w:rPr>
              <w:t xml:space="preserve">Riesgo Geotécnico</w:t>
            </w:r>
          </w:p>
        </w:tc>
        <w:tc>
          <w:tcPr/>
          <w:p>
            <w:pPr>
              <w:pStyle w:val="TableText"/>
              <w:ind w:firstLine="0" w:left="0"/>
              <w:jc w:val="left"/>
            </w:pPr>
            <w:r>
              <w:rPr>
                <w:rFonts w:ascii="Times New Roman" w:hAnsi="Times New Roman" w:cs="Times New Roman" w:eastAsia="Times New Roman"/>
                <w:sz w:val="20"/>
                <w:szCs w:val="20"/>
              </w:rPr>
              <w:t xml:space="preserve">Asentamientos diferenciales en el lecho fluvial</w:t>
            </w:r>
          </w:p>
        </w:tc>
        <w:tc>
          <w:tcPr/>
          <w:p>
            <w:pPr>
              <w:pStyle w:val="TableText"/>
              <w:ind w:firstLine="0" w:left="0"/>
              <w:jc w:val="center"/>
            </w:pPr>
            <w:r>
              <w:rPr>
                <w:rFonts w:ascii="Times New Roman" w:hAnsi="Times New Roman" w:cs="Times New Roman" w:eastAsia="Times New Roman"/>
                <w:sz w:val="20"/>
                <w:szCs w:val="20"/>
              </w:rPr>
              <w:t xml:space="preserve">Bajo</w:t>
            </w:r>
          </w:p>
        </w:tc>
        <w:tc>
          <w:tcPr/>
          <w:p>
            <w:pPr>
              <w:pStyle w:val="TableText"/>
              <w:ind w:firstLine="0" w:left="0"/>
              <w:jc w:val="left"/>
            </w:pPr>
            <w:r>
              <w:rPr>
                <w:rFonts w:ascii="Times New Roman" w:hAnsi="Times New Roman" w:cs="Times New Roman" w:eastAsia="Times New Roman"/>
                <w:sz w:val="20"/>
                <w:szCs w:val="20"/>
              </w:rPr>
              <w:t xml:space="preserve">Cimentación profunda apoyada en roca firme con ensayos SPT y pantallas de gaviones de protección.</w:t>
            </w:r>
          </w:p>
        </w:tc>
      </w:tr>
      <w:tr>
        <w:tc>
          <w:tcPr/>
          <w:p>
            <w:pPr>
              <w:pStyle w:val="TableText"/>
              <w:ind w:firstLine="0" w:left="0"/>
              <w:jc w:val="left"/>
            </w:pPr>
            <w:r>
              <w:rPr>
                <w:rFonts w:ascii="Times New Roman" w:hAnsi="Times New Roman" w:cs="Times New Roman" w:eastAsia="Times New Roman"/>
                <w:sz w:val="20"/>
                <w:szCs w:val="20"/>
              </w:rPr>
              <w:t xml:space="preserve">Riesgo Financiero</w:t>
            </w:r>
          </w:p>
        </w:tc>
        <w:tc>
          <w:tcPr/>
          <w:p>
            <w:pPr>
              <w:pStyle w:val="TableText"/>
              <w:ind w:firstLine="0" w:left="0"/>
              <w:jc w:val="left"/>
            </w:pPr>
            <w:r>
              <w:rPr>
                <w:rFonts w:ascii="Times New Roman" w:hAnsi="Times New Roman" w:cs="Times New Roman" w:eastAsia="Times New Roman"/>
                <w:sz w:val="20"/>
                <w:szCs w:val="20"/>
              </w:rPr>
              <w:t xml:space="preserve">Demora en desembolsos del convenio concurrente</w:t>
            </w:r>
          </w:p>
        </w:tc>
        <w:tc>
          <w:tcPr/>
          <w:p>
            <w:pPr>
              <w:pStyle w:val="TableText"/>
              <w:ind w:firstLine="0" w:left="0"/>
              <w:jc w:val="center"/>
            </w:pPr>
            <w:r>
              <w:rPr>
                <w:rFonts w:ascii="Times New Roman" w:hAnsi="Times New Roman" w:cs="Times New Roman" w:eastAsia="Times New Roman"/>
                <w:sz w:val="20"/>
                <w:szCs w:val="20"/>
              </w:rPr>
              <w:t xml:space="preserve">Medio</w:t>
            </w:r>
          </w:p>
        </w:tc>
        <w:tc>
          <w:tcPr/>
          <w:p>
            <w:pPr>
              <w:pStyle w:val="TableText"/>
              <w:ind w:firstLine="0" w:left="0"/>
              <w:jc w:val="left"/>
            </w:pPr>
            <w:r>
              <w:rPr>
                <w:rFonts w:ascii="Times New Roman" w:hAnsi="Times New Roman" w:cs="Times New Roman" w:eastAsia="Times New Roman"/>
                <w:sz w:val="20"/>
                <w:szCs w:val="20"/>
              </w:rPr>
              <w:t xml:space="preserve">Certificación presupuestaria previa plurianual de contrapartes en el GAD Provincial y Municipal.</w:t>
            </w:r>
          </w:p>
        </w:tc>
      </w:tr>
      <w:tr>
        <w:tc>
          <w:tcPr/>
          <w:p>
            <w:pPr>
              <w:pStyle w:val="TableText"/>
              <w:ind w:firstLine="0" w:left="0"/>
              <w:jc w:val="left"/>
            </w:pPr>
            <w:r>
              <w:rPr>
                <w:rFonts w:ascii="Times New Roman" w:hAnsi="Times New Roman" w:cs="Times New Roman" w:eastAsia="Times New Roman"/>
                <w:sz w:val="20"/>
                <w:szCs w:val="20"/>
              </w:rPr>
              <w:t xml:space="preserve">Riesgo Operativo</w:t>
            </w:r>
          </w:p>
        </w:tc>
        <w:tc>
          <w:tcPr/>
          <w:p>
            <w:pPr>
              <w:pStyle w:val="TableText"/>
              <w:ind w:firstLine="0" w:left="0"/>
              <w:jc w:val="left"/>
            </w:pPr>
            <w:r>
              <w:rPr>
                <w:rFonts w:ascii="Times New Roman" w:hAnsi="Times New Roman" w:cs="Times New Roman" w:eastAsia="Times New Roman"/>
                <w:sz w:val="20"/>
                <w:szCs w:val="20"/>
              </w:rPr>
              <w:t xml:space="preserve">Falta de mantenimiento periódico de pernería y pintura</w:t>
            </w:r>
          </w:p>
        </w:tc>
        <w:tc>
          <w:tcPr/>
          <w:p>
            <w:pPr>
              <w:pStyle w:val="TableText"/>
              <w:ind w:firstLine="0" w:left="0"/>
              <w:jc w:val="center"/>
            </w:pPr>
            <w:r>
              <w:rPr>
                <w:rFonts w:ascii="Times New Roman" w:hAnsi="Times New Roman" w:cs="Times New Roman" w:eastAsia="Times New Roman"/>
                <w:sz w:val="20"/>
                <w:szCs w:val="20"/>
              </w:rPr>
              <w:t xml:space="preserve">Bajo</w:t>
            </w:r>
          </w:p>
        </w:tc>
        <w:tc>
          <w:tcPr/>
          <w:p>
            <w:pPr>
              <w:pStyle w:val="TableText"/>
              <w:ind w:firstLine="0" w:left="0"/>
              <w:jc w:val="left"/>
            </w:pPr>
            <w:r>
              <w:rPr>
                <w:rFonts w:ascii="Times New Roman" w:hAnsi="Times New Roman" w:cs="Times New Roman" w:eastAsia="Times New Roman"/>
                <w:sz w:val="20"/>
                <w:szCs w:val="20"/>
              </w:rPr>
              <w:t xml:space="preserve">Constitución formal del comité vial comunitario con apoyo logístico del GADPR Torata.</w:t>
            </w:r>
          </w:p>
        </w:tc>
      </w:tr>
    </w:tbl>
    <w:p>
      <w:pPr>
        <w:pStyle w:val="TableNote"/>
        <w:ind w:firstLine="0" w:left="0"/>
        <w:jc w:val="both"/>
      </w:pPr>
      <w:r>
        <w:rPr>
          <w:rFonts w:ascii="Times New Roman" w:hAnsi="Times New Roman" w:cs="Times New Roman" w:eastAsia="Times New Roman"/>
          <w:i/>
          <w:iCs/>
          <w:sz w:val="20"/>
          <w:szCs w:val="20"/>
        </w:rPr>
        <w:t xml:space="preserve">Nota.</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Dirección de Gestión de Riesgos y Obras Públicas del GAD Provincial de El Oro.</w:t>
      </w:r>
    </w:p>
    <w:bookmarkEnd w:id="100"/>
    <w:bookmarkEnd w:id="101"/>
    <w:bookmarkStart w:id="105" w:name="X0afb5aee699f496b0660ebc9bd587044cf44ec6"/>
    <w:p>
      <w:pPr>
        <w:pStyle w:val="Heading2"/>
      </w:pPr>
      <w:r>
        <w:rPr>
          <w:rFonts w:ascii="Times New Roman" w:hAnsi="Times New Roman" w:cs="Times New Roman" w:eastAsia="Times New Roman"/>
          <w:b/>
          <w:bCs/>
        </w:rPr>
        <w:t xml:space="preserve">5.4 Viabilidad ambiental y sostenibilidad social</w:t>
      </w:r>
    </w:p>
    <w:bookmarkStart w:id="102" w:name="análisis-de-impacto-ambiental-y-riesgos"/>
    <w:p>
      <w:pPr>
        <w:pStyle w:val="Heading3"/>
      </w:pPr>
      <w:r>
        <w:rPr>
          <w:rFonts w:ascii="Times New Roman" w:hAnsi="Times New Roman" w:cs="Times New Roman" w:eastAsia="Times New Roman"/>
          <w:b/>
          <w:bCs/>
        </w:rPr>
        <w:t xml:space="preserve">5.4.1 Análisis de impacto ambiental y riesgos</w:t>
      </w:r>
    </w:p>
    <w:p>
      <w:pPr>
        <w:pStyle w:val="FirstParagraph"/>
      </w:pPr>
      <w:r>
        <w:rPr>
          <w:rFonts w:ascii="Times New Roman" w:hAnsi="Times New Roman" w:cs="Times New Roman" w:eastAsia="Times New Roman"/>
        </w:rPr>
        <w:t xml:space="preserve">En estricto cumplimiento del Acuerdo Ministerial 061 del MAATE y la normativa del Sistema Único de Información Ambiental (SUIA), la construcción de puentes en caminos rurales terciarios corresponde a intervenciones de bajo impacto ambiental (Categoría II - Certificado y Registro Ambiental):</w:t>
      </w:r>
    </w:p>
    <w:p>
      <w:pPr>
        <w:pStyle w:val="Compact"/>
        <w:numPr>
          <w:ilvl w:val="0"/>
          <w:numId w:val="1014"/>
        </w:numPr>
      </w:pPr>
      <w:r>
        <w:rPr>
          <w:rFonts w:ascii="Times New Roman" w:hAnsi="Times New Roman" w:cs="Times New Roman" w:eastAsia="Times New Roman"/>
        </w:rPr>
        <w:t xml:space="preserve">Gestión del Flujo Fluvial e Hidráulica: La superestructura se desplantará dejando una cota de revancha o francobordo libre de 1,80 metros por encima del Nivel de Aguas Máximas Extraordinarias (NAME para un periodo de retorno de 100 años), asegurando que el puente no altere la hidrodinámica del río ni actúe como represa de sedimentos o palizadas.</w:t>
      </w:r>
    </w:p>
    <w:p>
      <w:pPr>
        <w:pStyle w:val="Compact"/>
        <w:numPr>
          <w:ilvl w:val="0"/>
          <w:numId w:val="1014"/>
        </w:numPr>
      </w:pPr>
      <w:r>
        <w:rPr>
          <w:rFonts w:ascii="Times New Roman" w:hAnsi="Times New Roman" w:cs="Times New Roman" w:eastAsia="Times New Roman"/>
        </w:rPr>
        <w:t xml:space="preserve">Medidas de Mitigación en Obra: Se prohíbe el lavado de maquinaria en el cauce y el vertimiento de residuos de hormigón. Se implementarán trampas de sedimentos durante la fase de excavación y una campaña de revegetación ribereña con bambú guadua y sauce nativo en 150 metros a la redonda para consolidar las márgenes.</w:t>
      </w:r>
    </w:p>
    <w:p>
      <w:pPr>
        <w:pStyle w:val="Compact"/>
        <w:numPr>
          <w:ilvl w:val="0"/>
          <w:numId w:val="1014"/>
        </w:numPr>
      </w:pPr>
      <w:r>
        <w:rPr>
          <w:rFonts w:ascii="Times New Roman" w:hAnsi="Times New Roman" w:cs="Times New Roman" w:eastAsia="Times New Roman"/>
        </w:rPr>
        <w:t xml:space="preserve">Análisis de Riesgos Geodinámicos: El riesgo sísmico se mitiga con aparatos de apoyo elastoméricos de neopreno fretado que absorben solicitaciones dinámicas horizontales según la norma AASHTO.</w:t>
      </w:r>
    </w:p>
    <w:bookmarkEnd w:id="102"/>
    <w:bookmarkStart w:id="104" w:name="sostenibilidad-social"/>
    <w:p>
      <w:pPr>
        <w:pStyle w:val="Heading3"/>
      </w:pPr>
      <w:r>
        <w:rPr>
          <w:rFonts w:ascii="Times New Roman" w:hAnsi="Times New Roman" w:cs="Times New Roman" w:eastAsia="Times New Roman"/>
          <w:b/>
          <w:bCs/>
        </w:rPr>
        <w:t xml:space="preserve">5.4.2 Sostenibilidad Social</w:t>
      </w:r>
    </w:p>
    <w:p>
      <w:pPr>
        <w:pStyle w:val="FirstParagraph"/>
      </w:pPr>
      <w:r>
        <w:rPr>
          <w:rFonts w:ascii="Times New Roman" w:hAnsi="Times New Roman" w:cs="Times New Roman" w:eastAsia="Times New Roman"/>
        </w:rPr>
        <w:t xml:space="preserve">La contribución al mantenimiento e incremento del capital social del área de influencia del proyecto está garantizada a través del fomento a la equidad e igualdad social, según los enfoques de género, interculturalidad, grupos etarios y participación ciudadana, propendiendo al equilibrio de la sociedad en los aspectos económico, social y cultural.</w:t>
      </w:r>
    </w:p>
    <w:p>
      <w:pPr>
        <w:pStyle w:val="BodyText"/>
      </w:pPr>
      <w:r>
        <w:rPr>
          <w:rFonts w:ascii="Times New Roman" w:hAnsi="Times New Roman" w:cs="Times New Roman" w:eastAsia="Times New Roman"/>
        </w:rPr>
        <w:t xml:space="preserve">En este apartado se identifican los grupos de atención prioritaria, definidos en el Art. 35 de la Constitución de la República del Ecuador, atendidos directamente con el proyecto vial en la parroquia rural Torata (sitios El Guayabo, La Chilca, Sabayán y El Playón). El número de personas registradas no supera los beneficiarios directos del proyecto (666 hombres y 614 mujeres de los recintos ribereños directamente incomunicados), desagregados en la</w:t>
      </w:r>
      <w:r>
        <w:rPr>
          <w:rFonts w:ascii="Times New Roman" w:hAnsi="Times New Roman" w:cs="Times New Roman" w:eastAsia="Times New Roman"/>
        </w:rPr>
        <w:t xml:space="preserve"> </w:t>
      </w:r>
      <w:hyperlink w:anchor="tbl-atencion-prioritaria">
        <w:r>
          <w:rPr>
            <w:rStyle w:val="Hyperlink"/>
          </w:rPr>
          <w:t xml:space="preserve">Tabla 17</w:t>
        </w:r>
      </w:hyperlink>
      <w:r>
        <w:rPr>
          <w:rFonts w:ascii="Times New Roman" w:hAnsi="Times New Roman" w:cs="Times New Roman" w:eastAsia="Times New Roman"/>
        </w:rPr>
        <w:t xml:space="preserve">.</w:t>
      </w:r>
    </w:p>
    <w:p>
      <w:pPr>
        <w:pStyle w:val="TableNumber"/>
        <w:keepNext/>
        <w:ind w:firstLine="0" w:left="0"/>
        <w:jc w:val="left"/>
      </w:pPr>
      <w:r>
        <w:rPr>
          <w:rFonts w:ascii="Times New Roman" w:hAnsi="Times New Roman" w:cs="Times New Roman" w:eastAsia="Times New Roman"/>
          <w:b/>
          <w:bCs/>
          <w:sz w:val="20"/>
          <w:szCs w:val="20"/>
        </w:rPr>
        <w:t xml:space="preserve">Tabla 17</w:t>
      </w:r>
    </w:p>
    <w:p>
      <w:pPr>
        <w:pStyle w:val="TableCaption"/>
        <w:keepNext/>
        <w:ind w:firstLine="0" w:left="0"/>
        <w:jc w:val="left"/>
      </w:pPr>
      <w:r>
        <w:rPr>
          <w:rFonts w:ascii="Times New Roman" w:hAnsi="Times New Roman" w:cs="Times New Roman" w:eastAsia="Times New Roman"/>
          <w:i/>
          <w:iCs/>
          <w:sz w:val="20"/>
          <w:szCs w:val="20"/>
        </w:rPr>
        <w:t xml:space="preserve">Identificación de grupos de atención prioritaria atendidos por el proyecto (Art. 35 CRE)</w:t>
      </w:r>
    </w:p>
    <w:tbl>
      <w:tblPr>
        <w:tblStyle w:val="Table"/>
        <w:tblLayout w:type="fixed"/>
        <w:tblLook w:firstRow="1" w:lastRow="0" w:firstColumn="0" w:lastColumn="0" w:noHBand="0" w:noVBand="0" w:val="0020"/>
        <w:tblInd w:w="0" w:type="dxa"/>
        <w:tblW w:w="5000" w:type="pct"/>
        <w:tblBorders>
          <w:top w:val="single" w:sz="8" w:space="0" w:color="000000"/>
          <w:bottom w:val="single" w:sz="8" w:space="0" w:color="000000"/>
          <w:left w:val="none" w:sz="0" w:space="0" w:color="000000"/>
          <w:right w:val="none" w:sz="0" w:space="0" w:color="000000"/>
          <w:insideH w:val="none" w:sz="0" w:space="0" w:color="000000"/>
          <w:insideV w:val="none" w:sz="0" w:space="0" w:color="000000"/>
        </w:tblBorders>
      </w:tblPr>
      <w:tblGrid>
        <w:gridCol w:w="2640"/>
        <w:gridCol w:w="2640"/>
        <w:gridCol w:w="2640"/>
      </w:tblGrid>
      <w:tr>
        <w:trPr>
          <w:tblHeader w:val="on"/>
        </w:trPr>
        <w:tc>
          <w:tcPr>
            <w:tcBorders>
              <w:top w:val="single" w:sz="8" w:space="0" w:color="000000"/>
              <w:bottom w:val="single" w:sz="6" w:space="0" w:color="000000"/>
            </w:tcBorders>
          </w:tcPr>
          <w:p>
            <w:pPr>
              <w:pStyle w:val="TableHeader"/>
              <w:keepNext/>
              <w:ind w:firstLine="0" w:left="0"/>
              <w:jc w:val="left"/>
            </w:pPr>
            <w:r>
              <w:rPr>
                <w:rFonts w:ascii="Times New Roman" w:hAnsi="Times New Roman" w:cs="Times New Roman" w:eastAsia="Times New Roman"/>
                <w:sz w:val="20"/>
                <w:szCs w:val="20"/>
              </w:rPr>
              <w:t xml:space="preserve">Grupo de Atención prioritaria</w:t>
            </w:r>
          </w:p>
        </w:tc>
        <w:tc>
          <w:tcPr>
            <w:tcBorders>
              <w:top w:val="single" w:sz="8" w:space="0" w:color="000000"/>
              <w:bottom w:val="single" w:sz="6" w:space="0" w:color="000000"/>
            </w:tcBorders>
          </w:tcPr>
          <w:p>
            <w:pPr>
              <w:pStyle w:val="TableHeader"/>
              <w:keepNext/>
              <w:ind w:firstLine="0" w:left="0"/>
              <w:jc w:val="right"/>
            </w:pPr>
            <w:r>
              <w:rPr>
                <w:rFonts w:ascii="Times New Roman" w:hAnsi="Times New Roman" w:cs="Times New Roman" w:eastAsia="Times New Roman"/>
                <w:sz w:val="20"/>
                <w:szCs w:val="20"/>
              </w:rPr>
              <w:t xml:space="preserve">Beneficiarios</w:t>
            </w:r>
          </w:p>
        </w:tc>
        <w:tc>
          <w:tcPr>
            <w:tcBorders>
              <w:top w:val="single" w:sz="8" w:space="0" w:color="000000"/>
              <w:bottom w:val="single" w:sz="6" w:space="0" w:color="000000"/>
            </w:tcBorders>
          </w:tcPr>
          <w:p>
            <w:pPr>
              <w:pStyle w:val="TableHeader"/>
              <w:keepNext/>
              <w:ind w:firstLine="0" w:left="0"/>
              <w:jc w:val="right"/>
            </w:pPr>
            <w:r>
              <w:rPr>
                <w:rFonts w:ascii="Times New Roman" w:hAnsi="Times New Roman" w:cs="Times New Roman" w:eastAsia="Times New Roman"/>
                <w:sz w:val="20"/>
                <w:szCs w:val="20"/>
              </w:rPr>
              <w:t xml:space="preserve">Beneficiarias</w:t>
            </w:r>
          </w:p>
        </w:tc>
      </w:tr>
      <w:tr>
        <w:tc>
          <w:tcPr/>
          <w:p>
            <w:pPr>
              <w:pStyle w:val="TableText"/>
              <w:ind w:firstLine="0" w:left="0"/>
              <w:jc w:val="left"/>
            </w:pPr>
            <w:r>
              <w:rPr>
                <w:rFonts w:ascii="Times New Roman" w:hAnsi="Times New Roman" w:cs="Times New Roman" w:eastAsia="Times New Roman"/>
                <w:sz w:val="20"/>
                <w:szCs w:val="20"/>
              </w:rPr>
              <w:t xml:space="preserve">Adolescentes</w:t>
            </w:r>
          </w:p>
        </w:tc>
        <w:tc>
          <w:tcPr/>
          <w:p>
            <w:pPr>
              <w:pStyle w:val="TableText"/>
              <w:ind w:firstLine="0" w:left="0"/>
              <w:jc w:val="right"/>
            </w:pPr>
            <w:r>
              <w:rPr>
                <w:rFonts w:ascii="Times New Roman" w:hAnsi="Times New Roman" w:cs="Times New Roman" w:eastAsia="Times New Roman"/>
                <w:sz w:val="20"/>
                <w:szCs w:val="20"/>
              </w:rPr>
              <w:t xml:space="preserve">78</w:t>
            </w:r>
          </w:p>
        </w:tc>
        <w:tc>
          <w:tcPr/>
          <w:p>
            <w:pPr>
              <w:pStyle w:val="TableText"/>
              <w:ind w:firstLine="0" w:left="0"/>
              <w:jc w:val="right"/>
            </w:pPr>
            <w:r>
              <w:rPr>
                <w:rFonts w:ascii="Times New Roman" w:hAnsi="Times New Roman" w:cs="Times New Roman" w:eastAsia="Times New Roman"/>
                <w:sz w:val="20"/>
                <w:szCs w:val="20"/>
              </w:rPr>
              <w:t xml:space="preserve">72</w:t>
            </w:r>
          </w:p>
        </w:tc>
      </w:tr>
      <w:tr>
        <w:tc>
          <w:tcPr/>
          <w:p>
            <w:pPr>
              <w:pStyle w:val="TableText"/>
              <w:ind w:firstLine="0" w:left="0"/>
              <w:jc w:val="left"/>
            </w:pPr>
            <w:r>
              <w:rPr>
                <w:rFonts w:ascii="Times New Roman" w:hAnsi="Times New Roman" w:cs="Times New Roman" w:eastAsia="Times New Roman"/>
                <w:sz w:val="20"/>
                <w:szCs w:val="20"/>
              </w:rPr>
              <w:t xml:space="preserve">Adulto mayor</w:t>
            </w:r>
          </w:p>
        </w:tc>
        <w:tc>
          <w:tcPr/>
          <w:p>
            <w:pPr>
              <w:pStyle w:val="TableText"/>
              <w:ind w:firstLine="0" w:left="0"/>
              <w:jc w:val="right"/>
            </w:pPr>
            <w:r>
              <w:rPr>
                <w:rFonts w:ascii="Times New Roman" w:hAnsi="Times New Roman" w:cs="Times New Roman" w:eastAsia="Times New Roman"/>
                <w:sz w:val="20"/>
                <w:szCs w:val="20"/>
              </w:rPr>
              <w:t xml:space="preserve">64</w:t>
            </w:r>
          </w:p>
        </w:tc>
        <w:tc>
          <w:tcPr/>
          <w:p>
            <w:pPr>
              <w:pStyle w:val="TableText"/>
              <w:ind w:firstLine="0" w:left="0"/>
              <w:jc w:val="right"/>
            </w:pPr>
            <w:r>
              <w:rPr>
                <w:rFonts w:ascii="Times New Roman" w:hAnsi="Times New Roman" w:cs="Times New Roman" w:eastAsia="Times New Roman"/>
                <w:sz w:val="20"/>
                <w:szCs w:val="20"/>
              </w:rPr>
              <w:t xml:space="preserve">58</w:t>
            </w:r>
          </w:p>
        </w:tc>
      </w:tr>
      <w:tr>
        <w:tc>
          <w:tcPr/>
          <w:p>
            <w:pPr>
              <w:pStyle w:val="TableText"/>
              <w:ind w:firstLine="0" w:left="0"/>
              <w:jc w:val="left"/>
            </w:pPr>
            <w:r>
              <w:rPr>
                <w:rFonts w:ascii="Times New Roman" w:hAnsi="Times New Roman" w:cs="Times New Roman" w:eastAsia="Times New Roman"/>
                <w:sz w:val="20"/>
                <w:szCs w:val="20"/>
              </w:rPr>
              <w:t xml:space="preserve">Edad infantil</w:t>
            </w:r>
          </w:p>
        </w:tc>
        <w:tc>
          <w:tcPr/>
          <w:p>
            <w:pPr>
              <w:pStyle w:val="TableText"/>
              <w:ind w:firstLine="0" w:left="0"/>
              <w:jc w:val="right"/>
            </w:pPr>
            <w:r>
              <w:rPr>
                <w:rFonts w:ascii="Times New Roman" w:hAnsi="Times New Roman" w:cs="Times New Roman" w:eastAsia="Times New Roman"/>
                <w:sz w:val="20"/>
                <w:szCs w:val="20"/>
              </w:rPr>
              <w:t xml:space="preserve">92</w:t>
            </w:r>
          </w:p>
        </w:tc>
        <w:tc>
          <w:tcPr/>
          <w:p>
            <w:pPr>
              <w:pStyle w:val="TableText"/>
              <w:ind w:firstLine="0" w:left="0"/>
              <w:jc w:val="right"/>
            </w:pPr>
            <w:r>
              <w:rPr>
                <w:rFonts w:ascii="Times New Roman" w:hAnsi="Times New Roman" w:cs="Times New Roman" w:eastAsia="Times New Roman"/>
                <w:sz w:val="20"/>
                <w:szCs w:val="20"/>
              </w:rPr>
              <w:t xml:space="preserve">86</w:t>
            </w:r>
          </w:p>
        </w:tc>
      </w:tr>
      <w:tr>
        <w:tc>
          <w:tcPr/>
          <w:p>
            <w:pPr>
              <w:pStyle w:val="TableText"/>
              <w:ind w:firstLine="0" w:left="0"/>
              <w:jc w:val="left"/>
            </w:pPr>
            <w:r>
              <w:rPr>
                <w:rFonts w:ascii="Times New Roman" w:hAnsi="Times New Roman" w:cs="Times New Roman" w:eastAsia="Times New Roman"/>
                <w:sz w:val="20"/>
                <w:szCs w:val="20"/>
              </w:rPr>
              <w:t xml:space="preserve">Indígenas, afro ecuatorianos y montubios</w:t>
            </w:r>
          </w:p>
        </w:tc>
        <w:tc>
          <w:tcPr/>
          <w:p>
            <w:pPr>
              <w:pStyle w:val="TableText"/>
              <w:ind w:firstLine="0" w:left="0"/>
              <w:jc w:val="right"/>
            </w:pPr>
            <w:r>
              <w:rPr>
                <w:rFonts w:ascii="Times New Roman" w:hAnsi="Times New Roman" w:cs="Times New Roman" w:eastAsia="Times New Roman"/>
                <w:sz w:val="20"/>
                <w:szCs w:val="20"/>
              </w:rPr>
              <w:t xml:space="preserve">124</w:t>
            </w:r>
          </w:p>
        </w:tc>
        <w:tc>
          <w:tcPr/>
          <w:p>
            <w:pPr>
              <w:pStyle w:val="TableText"/>
              <w:ind w:firstLine="0" w:left="0"/>
              <w:jc w:val="right"/>
            </w:pPr>
            <w:r>
              <w:rPr>
                <w:rFonts w:ascii="Times New Roman" w:hAnsi="Times New Roman" w:cs="Times New Roman" w:eastAsia="Times New Roman"/>
                <w:sz w:val="20"/>
                <w:szCs w:val="20"/>
              </w:rPr>
              <w:t xml:space="preserve">115</w:t>
            </w:r>
          </w:p>
        </w:tc>
      </w:tr>
      <w:tr>
        <w:tc>
          <w:tcPr/>
          <w:p>
            <w:pPr>
              <w:pStyle w:val="TableText"/>
              <w:ind w:firstLine="0" w:left="0"/>
              <w:jc w:val="left"/>
            </w:pPr>
            <w:r>
              <w:rPr>
                <w:rFonts w:ascii="Times New Roman" w:hAnsi="Times New Roman" w:cs="Times New Roman" w:eastAsia="Times New Roman"/>
                <w:sz w:val="20"/>
                <w:szCs w:val="20"/>
              </w:rPr>
              <w:t xml:space="preserve">Inmigrantes</w:t>
            </w:r>
          </w:p>
        </w:tc>
        <w:tc>
          <w:tcPr/>
          <w:p>
            <w:pPr>
              <w:pStyle w:val="TableText"/>
              <w:ind w:firstLine="0" w:left="0"/>
              <w:jc w:val="right"/>
            </w:pPr>
            <w:r>
              <w:rPr>
                <w:rFonts w:ascii="Times New Roman" w:hAnsi="Times New Roman" w:cs="Times New Roman" w:eastAsia="Times New Roman"/>
                <w:sz w:val="20"/>
                <w:szCs w:val="20"/>
              </w:rPr>
              <w:t xml:space="preserve">0</w:t>
            </w:r>
          </w:p>
        </w:tc>
        <w:tc>
          <w:tcPr/>
          <w:p>
            <w:pPr>
              <w:pStyle w:val="TableText"/>
              <w:ind w:firstLine="0" w:left="0"/>
              <w:jc w:val="right"/>
            </w:pPr>
            <w:r>
              <w:rPr>
                <w:rFonts w:ascii="Times New Roman" w:hAnsi="Times New Roman" w:cs="Times New Roman" w:eastAsia="Times New Roman"/>
                <w:sz w:val="20"/>
                <w:szCs w:val="20"/>
              </w:rPr>
              <w:t xml:space="preserve">0</w:t>
            </w:r>
          </w:p>
        </w:tc>
      </w:tr>
      <w:tr>
        <w:tc>
          <w:tcPr/>
          <w:p>
            <w:pPr>
              <w:pStyle w:val="TableText"/>
              <w:ind w:firstLine="0" w:left="0"/>
              <w:jc w:val="left"/>
            </w:pPr>
            <w:r>
              <w:rPr>
                <w:rFonts w:ascii="Times New Roman" w:hAnsi="Times New Roman" w:cs="Times New Roman" w:eastAsia="Times New Roman"/>
                <w:sz w:val="20"/>
                <w:szCs w:val="20"/>
              </w:rPr>
              <w:t xml:space="preserve">Migrantes</w:t>
            </w:r>
          </w:p>
        </w:tc>
        <w:tc>
          <w:tcPr/>
          <w:p>
            <w:pPr>
              <w:pStyle w:val="TableText"/>
              <w:ind w:firstLine="0" w:left="0"/>
              <w:jc w:val="right"/>
            </w:pPr>
            <w:r>
              <w:rPr>
                <w:rFonts w:ascii="Times New Roman" w:hAnsi="Times New Roman" w:cs="Times New Roman" w:eastAsia="Times New Roman"/>
                <w:sz w:val="20"/>
                <w:szCs w:val="20"/>
              </w:rPr>
              <w:t xml:space="preserve">0</w:t>
            </w:r>
          </w:p>
        </w:tc>
        <w:tc>
          <w:tcPr/>
          <w:p>
            <w:pPr>
              <w:pStyle w:val="TableText"/>
              <w:ind w:firstLine="0" w:left="0"/>
              <w:jc w:val="right"/>
            </w:pPr>
            <w:r>
              <w:rPr>
                <w:rFonts w:ascii="Times New Roman" w:hAnsi="Times New Roman" w:cs="Times New Roman" w:eastAsia="Times New Roman"/>
                <w:sz w:val="20"/>
                <w:szCs w:val="20"/>
              </w:rPr>
              <w:t xml:space="preserve">0</w:t>
            </w:r>
          </w:p>
        </w:tc>
      </w:tr>
      <w:tr>
        <w:tc>
          <w:tcPr/>
          <w:p>
            <w:pPr>
              <w:pStyle w:val="TableText"/>
              <w:ind w:firstLine="0" w:left="0"/>
              <w:jc w:val="left"/>
            </w:pPr>
            <w:r>
              <w:rPr>
                <w:rFonts w:ascii="Times New Roman" w:hAnsi="Times New Roman" w:cs="Times New Roman" w:eastAsia="Times New Roman"/>
                <w:sz w:val="20"/>
                <w:szCs w:val="20"/>
              </w:rPr>
              <w:t xml:space="preserve">Mujeres embarazadas</w:t>
            </w:r>
          </w:p>
        </w:tc>
        <w:tc>
          <w:tcPr/>
          <w:p>
            <w:pPr>
              <w:pStyle w:val="TableText"/>
              <w:ind w:firstLine="0" w:left="0"/>
              <w:jc w:val="right"/>
            </w:pPr>
            <w:r>
              <w:rPr>
                <w:rFonts w:ascii="Times New Roman" w:hAnsi="Times New Roman" w:cs="Times New Roman" w:eastAsia="Times New Roman"/>
                <w:sz w:val="20"/>
                <w:szCs w:val="20"/>
              </w:rPr>
              <w:t xml:space="preserve">0</w:t>
            </w:r>
          </w:p>
        </w:tc>
        <w:tc>
          <w:tcPr/>
          <w:p>
            <w:pPr>
              <w:pStyle w:val="TableText"/>
              <w:ind w:firstLine="0" w:left="0"/>
              <w:jc w:val="right"/>
            </w:pPr>
            <w:r>
              <w:rPr>
                <w:rFonts w:ascii="Times New Roman" w:hAnsi="Times New Roman" w:cs="Times New Roman" w:eastAsia="Times New Roman"/>
                <w:sz w:val="20"/>
                <w:szCs w:val="20"/>
              </w:rPr>
              <w:t xml:space="preserve">14</w:t>
            </w:r>
          </w:p>
        </w:tc>
      </w:tr>
      <w:tr>
        <w:tc>
          <w:tcPr/>
          <w:p>
            <w:pPr>
              <w:pStyle w:val="TableText"/>
              <w:ind w:firstLine="0" w:left="0"/>
              <w:jc w:val="left"/>
            </w:pPr>
            <w:r>
              <w:rPr>
                <w:rFonts w:ascii="Times New Roman" w:hAnsi="Times New Roman" w:cs="Times New Roman" w:eastAsia="Times New Roman"/>
                <w:sz w:val="20"/>
                <w:szCs w:val="20"/>
              </w:rPr>
              <w:t xml:space="preserve">Personas con discapacidad</w:t>
            </w:r>
          </w:p>
        </w:tc>
        <w:tc>
          <w:tcPr/>
          <w:p>
            <w:pPr>
              <w:pStyle w:val="TableText"/>
              <w:ind w:firstLine="0" w:left="0"/>
              <w:jc w:val="right"/>
            </w:pPr>
            <w:r>
              <w:rPr>
                <w:rFonts w:ascii="Times New Roman" w:hAnsi="Times New Roman" w:cs="Times New Roman" w:eastAsia="Times New Roman"/>
                <w:sz w:val="20"/>
                <w:szCs w:val="20"/>
              </w:rPr>
              <w:t xml:space="preserve">18</w:t>
            </w:r>
          </w:p>
        </w:tc>
        <w:tc>
          <w:tcPr/>
          <w:p>
            <w:pPr>
              <w:pStyle w:val="TableText"/>
              <w:ind w:firstLine="0" w:left="0"/>
              <w:jc w:val="right"/>
            </w:pPr>
            <w:r>
              <w:rPr>
                <w:rFonts w:ascii="Times New Roman" w:hAnsi="Times New Roman" w:cs="Times New Roman" w:eastAsia="Times New Roman"/>
                <w:sz w:val="20"/>
                <w:szCs w:val="20"/>
              </w:rPr>
              <w:t xml:space="preserve">15</w:t>
            </w:r>
          </w:p>
        </w:tc>
      </w:tr>
      <w:tr>
        <w:tc>
          <w:tcPr/>
          <w:p>
            <w:pPr>
              <w:pStyle w:val="TableText"/>
              <w:ind w:firstLine="0" w:left="0"/>
              <w:jc w:val="left"/>
            </w:pPr>
            <w:r>
              <w:rPr>
                <w:rFonts w:ascii="Times New Roman" w:hAnsi="Times New Roman" w:cs="Times New Roman" w:eastAsia="Times New Roman"/>
                <w:sz w:val="20"/>
                <w:szCs w:val="20"/>
              </w:rPr>
              <w:t xml:space="preserve">Personas en situación de riesgo</w:t>
            </w:r>
          </w:p>
        </w:tc>
        <w:tc>
          <w:tcPr/>
          <w:p>
            <w:pPr>
              <w:pStyle w:val="TableText"/>
              <w:ind w:firstLine="0" w:left="0"/>
              <w:jc w:val="right"/>
            </w:pPr>
            <w:r>
              <w:rPr>
                <w:rFonts w:ascii="Times New Roman" w:hAnsi="Times New Roman" w:cs="Times New Roman" w:eastAsia="Times New Roman"/>
                <w:sz w:val="20"/>
                <w:szCs w:val="20"/>
              </w:rPr>
              <w:t xml:space="preserve">210</w:t>
            </w:r>
          </w:p>
        </w:tc>
        <w:tc>
          <w:tcPr/>
          <w:p>
            <w:pPr>
              <w:pStyle w:val="TableText"/>
              <w:ind w:firstLine="0" w:left="0"/>
              <w:jc w:val="right"/>
            </w:pPr>
            <w:r>
              <w:rPr>
                <w:rFonts w:ascii="Times New Roman" w:hAnsi="Times New Roman" w:cs="Times New Roman" w:eastAsia="Times New Roman"/>
                <w:sz w:val="20"/>
                <w:szCs w:val="20"/>
              </w:rPr>
              <w:t xml:space="preserve">195</w:t>
            </w:r>
          </w:p>
        </w:tc>
      </w:tr>
      <w:tr>
        <w:tc>
          <w:tcPr/>
          <w:p>
            <w:pPr>
              <w:pStyle w:val="TableText"/>
              <w:ind w:firstLine="0" w:left="0"/>
              <w:jc w:val="left"/>
            </w:pPr>
            <w:r>
              <w:rPr>
                <w:rFonts w:ascii="Times New Roman" w:hAnsi="Times New Roman" w:cs="Times New Roman" w:eastAsia="Times New Roman"/>
                <w:sz w:val="20"/>
                <w:szCs w:val="20"/>
              </w:rPr>
              <w:t xml:space="preserve">Personas privadas de libertad</w:t>
            </w:r>
          </w:p>
        </w:tc>
        <w:tc>
          <w:tcPr/>
          <w:p>
            <w:pPr>
              <w:pStyle w:val="TableText"/>
              <w:ind w:firstLine="0" w:left="0"/>
              <w:jc w:val="right"/>
            </w:pPr>
            <w:r>
              <w:rPr>
                <w:rFonts w:ascii="Times New Roman" w:hAnsi="Times New Roman" w:cs="Times New Roman" w:eastAsia="Times New Roman"/>
                <w:sz w:val="20"/>
                <w:szCs w:val="20"/>
              </w:rPr>
              <w:t xml:space="preserve">0</w:t>
            </w:r>
          </w:p>
        </w:tc>
        <w:tc>
          <w:tcPr/>
          <w:p>
            <w:pPr>
              <w:pStyle w:val="TableText"/>
              <w:ind w:firstLine="0" w:left="0"/>
              <w:jc w:val="right"/>
            </w:pPr>
            <w:r>
              <w:rPr>
                <w:rFonts w:ascii="Times New Roman" w:hAnsi="Times New Roman" w:cs="Times New Roman" w:eastAsia="Times New Roman"/>
                <w:sz w:val="20"/>
                <w:szCs w:val="20"/>
              </w:rPr>
              <w:t xml:space="preserve">0</w:t>
            </w:r>
          </w:p>
        </w:tc>
      </w:tr>
      <w:tr>
        <w:tc>
          <w:tcPr/>
          <w:p>
            <w:pPr>
              <w:pStyle w:val="TableText"/>
              <w:ind w:firstLine="0" w:left="0"/>
              <w:jc w:val="left"/>
            </w:pPr>
            <w:r>
              <w:rPr>
                <w:rFonts w:ascii="Times New Roman" w:hAnsi="Times New Roman" w:cs="Times New Roman" w:eastAsia="Times New Roman"/>
                <w:sz w:val="20"/>
                <w:szCs w:val="20"/>
              </w:rPr>
              <w:t xml:space="preserve">Personas que adolezcan de enfermedades catastróficas o de alta complejidad</w:t>
            </w:r>
          </w:p>
        </w:tc>
        <w:tc>
          <w:tcPr/>
          <w:p>
            <w:pPr>
              <w:pStyle w:val="TableText"/>
              <w:ind w:firstLine="0" w:left="0"/>
              <w:jc w:val="right"/>
            </w:pPr>
            <w:r>
              <w:rPr>
                <w:rFonts w:ascii="Times New Roman" w:hAnsi="Times New Roman" w:cs="Times New Roman" w:eastAsia="Times New Roman"/>
                <w:sz w:val="20"/>
                <w:szCs w:val="20"/>
              </w:rPr>
              <w:t xml:space="preserve">6</w:t>
            </w:r>
          </w:p>
        </w:tc>
        <w:tc>
          <w:tcPr/>
          <w:p>
            <w:pPr>
              <w:pStyle w:val="TableText"/>
              <w:ind w:firstLine="0" w:left="0"/>
              <w:jc w:val="right"/>
            </w:pPr>
            <w:r>
              <w:rPr>
                <w:rFonts w:ascii="Times New Roman" w:hAnsi="Times New Roman" w:cs="Times New Roman" w:eastAsia="Times New Roman"/>
                <w:sz w:val="20"/>
                <w:szCs w:val="20"/>
              </w:rPr>
              <w:t xml:space="preserve">8</w:t>
            </w:r>
          </w:p>
        </w:tc>
      </w:tr>
      <w:tr>
        <w:tc>
          <w:tcPr/>
          <w:p>
            <w:pPr>
              <w:pStyle w:val="TableText"/>
              <w:ind w:firstLine="0" w:left="0"/>
              <w:jc w:val="left"/>
            </w:pPr>
            <w:r>
              <w:rPr>
                <w:rFonts w:ascii="Times New Roman" w:hAnsi="Times New Roman" w:cs="Times New Roman" w:eastAsia="Times New Roman"/>
                <w:sz w:val="20"/>
                <w:szCs w:val="20"/>
              </w:rPr>
              <w:t xml:space="preserve">Víctimas de desastres naturales o antropogénicos</w:t>
            </w:r>
          </w:p>
        </w:tc>
        <w:tc>
          <w:tcPr/>
          <w:p>
            <w:pPr>
              <w:pStyle w:val="TableText"/>
              <w:ind w:firstLine="0" w:left="0"/>
              <w:jc w:val="right"/>
            </w:pPr>
            <w:r>
              <w:rPr>
                <w:rFonts w:ascii="Times New Roman" w:hAnsi="Times New Roman" w:cs="Times New Roman" w:eastAsia="Times New Roman"/>
                <w:sz w:val="20"/>
                <w:szCs w:val="20"/>
              </w:rPr>
              <w:t xml:space="preserve">45</w:t>
            </w:r>
          </w:p>
        </w:tc>
        <w:tc>
          <w:tcPr/>
          <w:p>
            <w:pPr>
              <w:pStyle w:val="TableText"/>
              <w:ind w:firstLine="0" w:left="0"/>
              <w:jc w:val="right"/>
            </w:pPr>
            <w:r>
              <w:rPr>
                <w:rFonts w:ascii="Times New Roman" w:hAnsi="Times New Roman" w:cs="Times New Roman" w:eastAsia="Times New Roman"/>
                <w:sz w:val="20"/>
                <w:szCs w:val="20"/>
              </w:rPr>
              <w:t xml:space="preserve">42</w:t>
            </w:r>
          </w:p>
        </w:tc>
      </w:tr>
      <w:tr>
        <w:tc>
          <w:tcPr/>
          <w:p>
            <w:pPr>
              <w:pStyle w:val="TableText"/>
              <w:ind w:firstLine="0" w:left="0"/>
              <w:jc w:val="left"/>
            </w:pPr>
            <w:r>
              <w:rPr>
                <w:rFonts w:ascii="Times New Roman" w:hAnsi="Times New Roman" w:cs="Times New Roman" w:eastAsia="Times New Roman"/>
                <w:sz w:val="20"/>
                <w:szCs w:val="20"/>
              </w:rPr>
              <w:t xml:space="preserve">Víctimas de maltrato infantil</w:t>
            </w:r>
          </w:p>
        </w:tc>
        <w:tc>
          <w:tcPr/>
          <w:p>
            <w:pPr>
              <w:pStyle w:val="TableText"/>
              <w:ind w:firstLine="0" w:left="0"/>
              <w:jc w:val="right"/>
            </w:pPr>
            <w:r>
              <w:rPr>
                <w:rFonts w:ascii="Times New Roman" w:hAnsi="Times New Roman" w:cs="Times New Roman" w:eastAsia="Times New Roman"/>
                <w:sz w:val="20"/>
                <w:szCs w:val="20"/>
              </w:rPr>
              <w:t xml:space="preserve">0</w:t>
            </w:r>
          </w:p>
        </w:tc>
        <w:tc>
          <w:tcPr/>
          <w:p>
            <w:pPr>
              <w:pStyle w:val="TableText"/>
              <w:ind w:firstLine="0" w:left="0"/>
              <w:jc w:val="right"/>
            </w:pPr>
            <w:r>
              <w:rPr>
                <w:rFonts w:ascii="Times New Roman" w:hAnsi="Times New Roman" w:cs="Times New Roman" w:eastAsia="Times New Roman"/>
                <w:sz w:val="20"/>
                <w:szCs w:val="20"/>
              </w:rPr>
              <w:t xml:space="preserve">0</w:t>
            </w:r>
          </w:p>
        </w:tc>
      </w:tr>
      <w:tr>
        <w:tc>
          <w:tcPr/>
          <w:p>
            <w:pPr>
              <w:pStyle w:val="TableText"/>
              <w:ind w:firstLine="0" w:left="0"/>
              <w:jc w:val="left"/>
            </w:pPr>
            <w:r>
              <w:rPr>
                <w:rFonts w:ascii="Times New Roman" w:hAnsi="Times New Roman" w:cs="Times New Roman" w:eastAsia="Times New Roman"/>
                <w:sz w:val="20"/>
                <w:szCs w:val="20"/>
              </w:rPr>
              <w:t xml:space="preserve">Víctimas de violencia doméstica o sexual</w:t>
            </w:r>
          </w:p>
        </w:tc>
        <w:tc>
          <w:tcPr/>
          <w:p>
            <w:pPr>
              <w:pStyle w:val="TableText"/>
              <w:ind w:firstLine="0" w:left="0"/>
              <w:jc w:val="right"/>
            </w:pPr>
            <w:r>
              <w:rPr>
                <w:rFonts w:ascii="Times New Roman" w:hAnsi="Times New Roman" w:cs="Times New Roman" w:eastAsia="Times New Roman"/>
                <w:sz w:val="20"/>
                <w:szCs w:val="20"/>
              </w:rPr>
              <w:t xml:space="preserve">0</w:t>
            </w:r>
          </w:p>
        </w:tc>
        <w:tc>
          <w:tcPr/>
          <w:p>
            <w:pPr>
              <w:pStyle w:val="TableText"/>
              <w:ind w:firstLine="0" w:left="0"/>
              <w:jc w:val="right"/>
            </w:pPr>
            <w:r>
              <w:rPr>
                <w:rFonts w:ascii="Times New Roman" w:hAnsi="Times New Roman" w:cs="Times New Roman" w:eastAsia="Times New Roman"/>
                <w:sz w:val="20"/>
                <w:szCs w:val="20"/>
              </w:rPr>
              <w:t xml:space="preserve">0</w:t>
            </w:r>
          </w:p>
        </w:tc>
      </w:tr>
      <w:tr>
        <w:tc>
          <w:tcPr/>
          <w:p>
            <w:pPr>
              <w:pStyle w:val="TableText"/>
              <w:ind w:firstLine="0" w:left="0"/>
              <w:jc w:val="left"/>
            </w:pPr>
            <w:r>
              <w:rPr>
                <w:rFonts w:ascii="Times New Roman" w:hAnsi="Times New Roman" w:cs="Times New Roman" w:eastAsia="Times New Roman"/>
                <w:b/>
                <w:bCs/>
                <w:sz w:val="20"/>
                <w:szCs w:val="20"/>
              </w:rPr>
              <w:t xml:space="preserve">Total con condición prioritaria</w:t>
            </w:r>
          </w:p>
        </w:tc>
        <w:tc>
          <w:tcPr/>
          <w:p>
            <w:pPr>
              <w:pStyle w:val="TableText"/>
              <w:ind w:firstLine="0" w:left="0"/>
              <w:jc w:val="right"/>
            </w:pPr>
            <w:r>
              <w:rPr>
                <w:rFonts w:ascii="Times New Roman" w:hAnsi="Times New Roman" w:cs="Times New Roman" w:eastAsia="Times New Roman"/>
                <w:b/>
                <w:bCs/>
                <w:sz w:val="20"/>
                <w:szCs w:val="20"/>
              </w:rPr>
              <w:t xml:space="preserve">637</w:t>
            </w:r>
          </w:p>
        </w:tc>
        <w:tc>
          <w:tcPr/>
          <w:p>
            <w:pPr>
              <w:pStyle w:val="TableText"/>
              <w:ind w:firstLine="0" w:left="0"/>
              <w:jc w:val="right"/>
            </w:pPr>
            <w:r>
              <w:rPr>
                <w:rFonts w:ascii="Times New Roman" w:hAnsi="Times New Roman" w:cs="Times New Roman" w:eastAsia="Times New Roman"/>
                <w:b/>
                <w:bCs/>
                <w:sz w:val="20"/>
                <w:szCs w:val="20"/>
              </w:rPr>
              <w:t xml:space="preserve">605</w:t>
            </w:r>
          </w:p>
        </w:tc>
      </w:tr>
    </w:tbl>
    <w:p>
      <w:pPr>
        <w:pStyle w:val="TableNote"/>
        <w:ind w:firstLine="0" w:left="0"/>
        <w:jc w:val="both"/>
      </w:pPr>
      <w:r>
        <w:rPr>
          <w:rFonts w:ascii="Times New Roman" w:hAnsi="Times New Roman" w:cs="Times New Roman" w:eastAsia="Times New Roman"/>
          <w:i/>
          <w:iCs/>
          <w:sz w:val="20"/>
          <w:szCs w:val="20"/>
        </w:rPr>
        <w:t xml:space="preserve">Nota.</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Elaboración técnica a partir del Censo INEC (2022), PDOT Parroquial de Torata (2024) y fichas de levantamiento territorial en El Guayabo y La Chilca.</w:t>
      </w:r>
    </w:p>
    <w:p>
      <w:pPr>
        <w:pStyle w:val="Compact"/>
        <w:numPr>
          <w:ilvl w:val="0"/>
          <w:numId w:val="1015"/>
        </w:numPr>
      </w:pPr>
      <w:r>
        <w:rPr>
          <w:rFonts w:ascii="Times New Roman" w:hAnsi="Times New Roman" w:cs="Times New Roman" w:eastAsia="Times New Roman"/>
        </w:rPr>
        <w:t xml:space="preserve">Participación Comunitaria y Apropiación: Constitución formal del Comité de Mantenimiento Vial El Guayabo - La Chilca, articulado al GADPR Torata para faenas comunitarias trimestrales de limpieza de cunetas y drenes.</w:t>
      </w:r>
    </w:p>
    <w:p>
      <w:pPr>
        <w:pStyle w:val="Compact"/>
        <w:numPr>
          <w:ilvl w:val="0"/>
          <w:numId w:val="1015"/>
        </w:numPr>
      </w:pPr>
      <w:r>
        <w:rPr>
          <w:rFonts w:ascii="Times New Roman" w:hAnsi="Times New Roman" w:cs="Times New Roman" w:eastAsia="Times New Roman"/>
        </w:rPr>
        <w:t xml:space="preserve">Enfoque de Género y Grupos Vulnerables: La regularización del transporte facilita el acceso de mujeres rurales a ferias de economía popular y solidaria para comercializar derivados lácteos, además de garantizar el traslado médico continuo de niños y adultos mayores durante el invierno hacia el Centro de Salud Tipo A.</w:t>
      </w:r>
    </w:p>
    <w:p>
      <w:pPr>
        <w:pStyle w:val="Compact"/>
        <w:numPr>
          <w:ilvl w:val="0"/>
          <w:numId w:val="1015"/>
        </w:numPr>
      </w:pPr>
      <w:r>
        <w:rPr>
          <w:rFonts w:ascii="Times New Roman" w:hAnsi="Times New Roman" w:cs="Times New Roman" w:eastAsia="Times New Roman"/>
        </w:rPr>
        <w:t xml:space="preserve">Acuerdos de Derecho de Vía: Plena concertación pacífica de los linderos y fajas de terreno requeridas para las rampas de aproximación, sin litigios ni reasentamientos forzosos.</w:t>
      </w:r>
    </w:p>
    <w:bookmarkEnd w:id="104"/>
    <w:bookmarkEnd w:id="105"/>
    <w:bookmarkEnd w:id="106"/>
    <w:bookmarkStart w:id="109" w:name="financiamiento-y-presupuesto"/>
    <w:p>
      <w:pPr>
        <w:pStyle w:val="Heading1"/>
      </w:pPr>
      <w:r>
        <w:rPr>
          <w:rFonts w:ascii="Times New Roman" w:hAnsi="Times New Roman" w:cs="Times New Roman" w:eastAsia="Times New Roman"/>
          <w:b/>
          <w:bCs/>
        </w:rPr>
        <w:t xml:space="preserve">6. Financiamiento y presupuesto</w:t>
      </w:r>
    </w:p>
    <w:p>
      <w:pPr>
        <w:pStyle w:val="FirstParagraph"/>
      </w:pPr>
      <w:r>
        <w:rPr>
          <w:rFonts w:ascii="Times New Roman" w:hAnsi="Times New Roman" w:cs="Times New Roman" w:eastAsia="Times New Roman"/>
        </w:rPr>
        <w:t xml:space="preserve">El presupuesto deberá presentarse por componente, actividad, grupo de gasto y fuente de financiamiento. Cada uno de los valores del presupuesto contará con su cálculo respectivo, para lo cual las entidades detallarán el cálculo de dichos valores con los sustentos respectivos.</w:t>
      </w:r>
    </w:p>
    <w:p>
      <w:pPr>
        <w:pStyle w:val="BodyText"/>
      </w:pPr>
      <w:r>
        <w:rPr>
          <w:rFonts w:ascii="Times New Roman" w:hAnsi="Times New Roman" w:cs="Times New Roman" w:eastAsia="Times New Roman"/>
        </w:rPr>
        <w:t xml:space="preserve">Adicionalmente se deberá efectuar una descripción del organismo u organismos que financian el proyecto de acuerdo a cada fuente de financiamiento. En el caso de que el proyecto se financie con crédito externo y/o interno, o requiera de un aval, se deberá establecer el organismo a cargo del pago del crédito y la entidad que concede el crédito o el aval.</w:t>
      </w:r>
    </w:p>
    <w:p>
      <w:pPr>
        <w:pStyle w:val="BodyText"/>
      </w:pPr>
      <w:r>
        <w:rPr>
          <w:rFonts w:ascii="Times New Roman" w:hAnsi="Times New Roman" w:cs="Times New Roman" w:eastAsia="Times New Roman"/>
        </w:rPr>
        <w:t xml:space="preserve">En caso de que el proyecto sea coejecutado el presupuesto deberá detallar la entidad coejecutora y los montos y el período en el que ejecutará el proyecto.</w:t>
      </w:r>
    </w:p>
    <w:p>
      <w:pPr>
        <w:pStyle w:val="BodyText"/>
      </w:pPr>
      <w:r>
        <w:rPr>
          <w:rFonts w:ascii="Times New Roman" w:hAnsi="Times New Roman" w:cs="Times New Roman" w:eastAsia="Times New Roman"/>
        </w:rPr>
        <w:t xml:space="preserve">Para el caso de proyectos de construcción de infraestructura, su presupuesto debe incluir costos para adquisición de terrenos (de ser necesario), gastos administrativos, fiscalización, entre otros, de tal forma que el presupuesto contenga todos los rubros necesarios para la construcción y administración del proyecto en cuestión. También se debe incluir el Impuesto al Valor Agregado IVA.</w:t>
      </w:r>
    </w:p>
    <w:p>
      <w:pPr>
        <w:pStyle w:val="BodyText"/>
      </w:pPr>
      <w:r>
        <w:rPr>
          <w:rFonts w:ascii="Times New Roman" w:hAnsi="Times New Roman" w:cs="Times New Roman" w:eastAsia="Times New Roman"/>
        </w:rPr>
        <w:t xml:space="preserve">La</w:t>
      </w:r>
      <w:r>
        <w:rPr>
          <w:rFonts w:ascii="Times New Roman" w:hAnsi="Times New Roman" w:cs="Times New Roman" w:eastAsia="Times New Roman"/>
        </w:rPr>
        <w:t xml:space="preserve"> </w:t>
      </w:r>
      <w:hyperlink w:anchor="tbl-presupuesto-fuentes-oficial">
        <w:r>
          <w:rPr>
            <w:rStyle w:val="Hyperlink"/>
          </w:rPr>
          <w:t xml:space="preserve">Tabla 18</w:t>
        </w:r>
      </w:hyperlink>
      <w:r>
        <w:rPr>
          <w:rFonts w:ascii="Times New Roman" w:hAnsi="Times New Roman" w:cs="Times New Roman" w:eastAsia="Times New Roman"/>
        </w:rPr>
        <w:t xml:space="preserve"> </w:t>
      </w:r>
      <w:r>
        <w:rPr>
          <w:rFonts w:ascii="Times New Roman" w:hAnsi="Times New Roman" w:cs="Times New Roman" w:eastAsia="Times New Roman"/>
        </w:rPr>
        <w:t xml:space="preserve">presenta la matriz oficial de financiamiento y presupuesto estructurada conforme a la Guía de Planifica Ecuador.</w:t>
      </w:r>
    </w:p>
    <w:p>
      <w:pPr>
        <w:pStyle w:val="TableNumber"/>
        <w:keepNext/>
        <w:ind w:firstLine="0" w:left="0"/>
        <w:jc w:val="left"/>
      </w:pPr>
      <w:r>
        <w:rPr>
          <w:rFonts w:ascii="Times New Roman" w:hAnsi="Times New Roman" w:cs="Times New Roman" w:eastAsia="Times New Roman"/>
          <w:b/>
          <w:bCs/>
          <w:sz w:val="20"/>
          <w:szCs w:val="20"/>
        </w:rPr>
        <w:t xml:space="preserve">Tabla 18</w:t>
      </w:r>
    </w:p>
    <w:p>
      <w:pPr>
        <w:pStyle w:val="TableCaption"/>
        <w:keepNext/>
        <w:ind w:firstLine="0" w:left="0"/>
        <w:jc w:val="left"/>
      </w:pPr>
      <w:r>
        <w:rPr>
          <w:rFonts w:ascii="Times New Roman" w:hAnsi="Times New Roman" w:cs="Times New Roman" w:eastAsia="Times New Roman"/>
          <w:i/>
          <w:iCs/>
          <w:sz w:val="20"/>
          <w:szCs w:val="20"/>
        </w:rPr>
        <w:t xml:space="preserve">Presupuesto y fuentes de financiamiento por componente y actividad (en USD)</w:t>
      </w:r>
    </w:p>
    <w:p>
      <w:pPr>
        <w:sectPr>
          <w:pgSz w:w="12240" w:h="15840" w:orient="portrait"/>
          <w:pgMar w:top="1440" w:bottom="1440" w:left="1440" w:right="1440"/>
        </w:sectPr>
      </w:pPr>
    </w:p>
    <w:tbl>
      <w:tblPr>
        <w:tblStyle w:val="Table"/>
        <w:tblLayout w:type="fixed"/>
        <w:tblLook w:firstRow="1" w:lastRow="0" w:firstColumn="0" w:lastColumn="0" w:noHBand="0" w:noVBand="0" w:val="0020"/>
        <w:tblInd w:w="0" w:type="dxa"/>
        <w:tblW w:w="5000" w:type="pct"/>
        <w:tblBorders>
          <w:top w:val="single" w:sz="8" w:space="0" w:color="000000"/>
          <w:bottom w:val="single" w:sz="8" w:space="0" w:color="000000"/>
          <w:left w:val="none" w:sz="0" w:space="0" w:color="000000"/>
          <w:right w:val="none" w:sz="0" w:space="0" w:color="000000"/>
          <w:insideH w:val="none" w:sz="0" w:space="0" w:color="000000"/>
          <w:insideV w:val="none" w:sz="0" w:space="0" w:color="000000"/>
        </w:tblBorders>
      </w:tblPr>
      <w:tblGrid>
        <w:gridCol w:w="879"/>
        <w:gridCol w:w="879"/>
        <w:gridCol w:w="879"/>
        <w:gridCol w:w="879"/>
        <w:gridCol w:w="879"/>
        <w:gridCol w:w="879"/>
        <w:gridCol w:w="879"/>
        <w:gridCol w:w="879"/>
        <w:gridCol w:w="879"/>
      </w:tblGrid>
      <w:tr>
        <w:trPr>
          <w:tblHeader w:val="on"/>
        </w:trPr>
        <w:tc>
          <w:tcPr>
            <w:tcBorders>
              <w:top w:val="single" w:sz="8" w:space="0" w:color="000000"/>
              <w:bottom w:val="single" w:sz="6" w:space="0" w:color="000000"/>
            </w:tcBorders>
          </w:tcPr>
          <w:p>
            <w:pPr>
              <w:pStyle w:val="TableHeader"/>
              <w:keepNext/>
              <w:ind w:firstLine="0" w:left="0"/>
              <w:jc w:val="left"/>
            </w:pPr>
            <w:r>
              <w:rPr>
                <w:rFonts w:ascii="Times New Roman" w:hAnsi="Times New Roman" w:cs="Times New Roman" w:eastAsia="Times New Roman"/>
                <w:sz w:val="20"/>
                <w:szCs w:val="20"/>
              </w:rPr>
              <w:t xml:space="preserve">Componentes / Rubros</w:t>
            </w:r>
          </w:p>
        </w:tc>
        <w:tc>
          <w:tcPr>
            <w:tcBorders>
              <w:top w:val="single" w:sz="8" w:space="0" w:color="000000"/>
              <w:bottom w:val="single" w:sz="6" w:space="0" w:color="000000"/>
            </w:tcBorders>
          </w:tcPr>
          <w:p>
            <w:pPr>
              <w:pStyle w:val="TableHeader"/>
              <w:keepNext/>
              <w:ind w:firstLine="0" w:left="0"/>
              <w:jc w:val="left"/>
            </w:pPr>
            <w:r>
              <w:rPr>
                <w:rFonts w:ascii="Times New Roman" w:hAnsi="Times New Roman" w:cs="Times New Roman" w:eastAsia="Times New Roman"/>
                <w:sz w:val="20"/>
                <w:szCs w:val="20"/>
              </w:rPr>
              <w:t xml:space="preserve">Grupo de gasto</w:t>
            </w:r>
          </w:p>
        </w:tc>
        <w:tc>
          <w:tcPr>
            <w:tcBorders>
              <w:top w:val="single" w:sz="8" w:space="0" w:color="000000"/>
              <w:bottom w:val="single" w:sz="6" w:space="0" w:color="000000"/>
            </w:tcBorders>
          </w:tcPr>
          <w:p>
            <w:pPr>
              <w:pStyle w:val="TableHeader"/>
              <w:keepNext/>
              <w:ind w:firstLine="0" w:left="0"/>
              <w:jc w:val="right"/>
            </w:pPr>
            <w:r>
              <w:rPr>
                <w:rFonts w:ascii="Times New Roman" w:hAnsi="Times New Roman" w:cs="Times New Roman" w:eastAsia="Times New Roman"/>
                <w:sz w:val="20"/>
                <w:szCs w:val="20"/>
              </w:rPr>
              <w:t xml:space="preserve">Ext. Crédito</w:t>
            </w:r>
          </w:p>
        </w:tc>
        <w:tc>
          <w:tcPr>
            <w:tcBorders>
              <w:top w:val="single" w:sz="8" w:space="0" w:color="000000"/>
              <w:bottom w:val="single" w:sz="6" w:space="0" w:color="000000"/>
            </w:tcBorders>
          </w:tcPr>
          <w:p>
            <w:pPr>
              <w:pStyle w:val="TableHeader"/>
              <w:keepNext/>
              <w:ind w:firstLine="0" w:left="0"/>
              <w:jc w:val="right"/>
            </w:pPr>
            <w:r>
              <w:rPr>
                <w:rFonts w:ascii="Times New Roman" w:hAnsi="Times New Roman" w:cs="Times New Roman" w:eastAsia="Times New Roman"/>
                <w:sz w:val="20"/>
                <w:szCs w:val="20"/>
              </w:rPr>
              <w:t xml:space="preserve">Ext. Cooperación</w:t>
            </w:r>
          </w:p>
        </w:tc>
        <w:tc>
          <w:tcPr>
            <w:tcBorders>
              <w:top w:val="single" w:sz="8" w:space="0" w:color="000000"/>
              <w:bottom w:val="single" w:sz="6" w:space="0" w:color="000000"/>
            </w:tcBorders>
          </w:tcPr>
          <w:p>
            <w:pPr>
              <w:pStyle w:val="TableHeader"/>
              <w:keepNext/>
              <w:ind w:firstLine="0" w:left="0"/>
              <w:jc w:val="right"/>
            </w:pPr>
            <w:r>
              <w:rPr>
                <w:rFonts w:ascii="Times New Roman" w:hAnsi="Times New Roman" w:cs="Times New Roman" w:eastAsia="Times New Roman"/>
                <w:sz w:val="20"/>
                <w:szCs w:val="20"/>
              </w:rPr>
              <w:t xml:space="preserve">Int. Crédito</w:t>
            </w:r>
          </w:p>
        </w:tc>
        <w:tc>
          <w:tcPr>
            <w:tcBorders>
              <w:top w:val="single" w:sz="8" w:space="0" w:color="000000"/>
              <w:bottom w:val="single" w:sz="6" w:space="0" w:color="000000"/>
            </w:tcBorders>
          </w:tcPr>
          <w:p>
            <w:pPr>
              <w:pStyle w:val="TableHeader"/>
              <w:keepNext/>
              <w:ind w:firstLine="0" w:left="0"/>
              <w:jc w:val="right"/>
            </w:pPr>
            <w:r>
              <w:rPr>
                <w:rFonts w:ascii="Times New Roman" w:hAnsi="Times New Roman" w:cs="Times New Roman" w:eastAsia="Times New Roman"/>
                <w:sz w:val="20"/>
                <w:szCs w:val="20"/>
              </w:rPr>
              <w:t xml:space="preserve">Int. Fiscales</w:t>
            </w:r>
          </w:p>
        </w:tc>
        <w:tc>
          <w:tcPr>
            <w:tcBorders>
              <w:top w:val="single" w:sz="8" w:space="0" w:color="000000"/>
              <w:bottom w:val="single" w:sz="6" w:space="0" w:color="000000"/>
            </w:tcBorders>
          </w:tcPr>
          <w:p>
            <w:pPr>
              <w:pStyle w:val="TableHeader"/>
              <w:keepNext/>
              <w:ind w:firstLine="0" w:left="0"/>
              <w:jc w:val="right"/>
            </w:pPr>
            <w:r>
              <w:rPr>
                <w:rFonts w:ascii="Times New Roman" w:hAnsi="Times New Roman" w:cs="Times New Roman" w:eastAsia="Times New Roman"/>
                <w:sz w:val="20"/>
                <w:szCs w:val="20"/>
              </w:rPr>
              <w:t xml:space="preserve">Int. Autogestión</w:t>
            </w:r>
          </w:p>
        </w:tc>
        <w:tc>
          <w:tcPr>
            <w:tcBorders>
              <w:top w:val="single" w:sz="8" w:space="0" w:color="000000"/>
              <w:bottom w:val="single" w:sz="6" w:space="0" w:color="000000"/>
            </w:tcBorders>
          </w:tcPr>
          <w:p>
            <w:pPr>
              <w:pStyle w:val="TableHeader"/>
              <w:keepNext/>
              <w:ind w:firstLine="0" w:left="0"/>
              <w:jc w:val="right"/>
            </w:pPr>
            <w:r>
              <w:rPr>
                <w:rFonts w:ascii="Times New Roman" w:hAnsi="Times New Roman" w:cs="Times New Roman" w:eastAsia="Times New Roman"/>
                <w:sz w:val="20"/>
                <w:szCs w:val="20"/>
              </w:rPr>
              <w:t xml:space="preserve">Int. A. Comunidad</w:t>
            </w:r>
          </w:p>
        </w:tc>
        <w:tc>
          <w:tcPr>
            <w:tcBorders>
              <w:top w:val="single" w:sz="8" w:space="0" w:color="000000"/>
              <w:bottom w:val="single" w:sz="6" w:space="0" w:color="000000"/>
            </w:tcBorders>
          </w:tcPr>
          <w:p>
            <w:pPr>
              <w:pStyle w:val="TableHeader"/>
              <w:keepNext/>
              <w:ind w:firstLine="0" w:left="0"/>
              <w:jc w:val="right"/>
            </w:pPr>
            <w:r>
              <w:rPr>
                <w:rFonts w:ascii="Times New Roman" w:hAnsi="Times New Roman" w:cs="Times New Roman" w:eastAsia="Times New Roman"/>
                <w:sz w:val="20"/>
                <w:szCs w:val="20"/>
              </w:rPr>
              <w:t xml:space="preserve">TOTAL</w:t>
            </w:r>
          </w:p>
        </w:tc>
      </w:tr>
      <w:tr>
        <w:tc>
          <w:tcPr/>
          <w:p>
            <w:pPr>
              <w:pStyle w:val="TableText"/>
              <w:ind w:firstLine="0" w:left="0"/>
              <w:jc w:val="left"/>
            </w:pPr>
            <w:r>
              <w:rPr>
                <w:rFonts w:ascii="Times New Roman" w:hAnsi="Times New Roman" w:cs="Times New Roman" w:eastAsia="Times New Roman"/>
                <w:b/>
                <w:bCs/>
                <w:sz w:val="20"/>
                <w:szCs w:val="20"/>
              </w:rPr>
              <w:t xml:space="preserve">Componente 1: Obras Preliminares y Preparación</w:t>
            </w:r>
          </w:p>
        </w:tc>
        <w:tc>
          <w:tcPr/>
          <w:p>
            <w:pPr>
              <w:pStyle w:val="TableText"/>
              <w:ind w:firstLine="0" w:left="0"/>
              <w:jc w:val="left"/>
            </w:pPr>
          </w:p>
        </w:tc>
        <w:tc>
          <w:tcPr/>
          <w:p>
            <w:pPr>
              <w:pStyle w:val="TableText"/>
              <w:ind w:firstLine="0" w:left="0"/>
              <w:jc w:val="left"/>
            </w:pPr>
          </w:p>
        </w:tc>
        <w:tc>
          <w:tcPr/>
          <w:p>
            <w:pPr>
              <w:pStyle w:val="TableText"/>
              <w:ind w:firstLine="0" w:left="0"/>
              <w:jc w:val="left"/>
            </w:pPr>
          </w:p>
        </w:tc>
        <w:tc>
          <w:tcPr/>
          <w:p>
            <w:pPr>
              <w:pStyle w:val="TableText"/>
              <w:ind w:firstLine="0" w:left="0"/>
              <w:jc w:val="left"/>
            </w:pPr>
          </w:p>
        </w:tc>
        <w:tc>
          <w:tcPr/>
          <w:p>
            <w:pPr>
              <w:pStyle w:val="TableText"/>
              <w:ind w:firstLine="0" w:left="0"/>
              <w:jc w:val="left"/>
            </w:pPr>
          </w:p>
        </w:tc>
        <w:tc>
          <w:tcPr/>
          <w:p>
            <w:pPr>
              <w:pStyle w:val="TableText"/>
              <w:ind w:firstLine="0" w:left="0"/>
              <w:jc w:val="left"/>
            </w:pPr>
          </w:p>
        </w:tc>
        <w:tc>
          <w:tcPr/>
          <w:p>
            <w:pPr>
              <w:pStyle w:val="TableText"/>
              <w:ind w:firstLine="0" w:left="0"/>
              <w:jc w:val="left"/>
            </w:pPr>
          </w:p>
        </w:tc>
        <w:tc>
          <w:tcPr/>
          <w:p>
            <w:pPr>
              <w:pStyle w:val="TableText"/>
              <w:ind w:firstLine="0" w:left="0"/>
              <w:jc w:val="left"/>
            </w:pPr>
          </w:p>
        </w:tc>
      </w:tr>
      <w:tr>
        <w:tc>
          <w:tcPr/>
          <w:p>
            <w:pPr>
              <w:pStyle w:val="TableText"/>
              <w:ind w:firstLine="0" w:left="0"/>
              <w:jc w:val="left"/>
            </w:pPr>
            <w:r>
              <w:rPr>
                <w:rFonts w:ascii="Times New Roman" w:hAnsi="Times New Roman" w:cs="Times New Roman" w:eastAsia="Times New Roman"/>
                <w:sz w:val="20"/>
                <w:szCs w:val="20"/>
              </w:rPr>
              <w:t xml:space="preserve">Actividad 1.1: Limpieza, desbroce y replanteo</w:t>
            </w:r>
          </w:p>
        </w:tc>
        <w:tc>
          <w:tcPr/>
          <w:p>
            <w:pPr>
              <w:pStyle w:val="TableText"/>
              <w:ind w:firstLine="0" w:left="0"/>
              <w:jc w:val="left"/>
            </w:pPr>
            <w:r>
              <w:rPr>
                <w:rFonts w:ascii="Times New Roman" w:hAnsi="Times New Roman" w:cs="Times New Roman" w:eastAsia="Times New Roman"/>
                <w:sz w:val="20"/>
                <w:szCs w:val="20"/>
              </w:rPr>
              <w:t xml:space="preserve">75 Obras Públicas</w:t>
            </w:r>
          </w:p>
        </w:tc>
        <w:tc>
          <w:tcPr/>
          <w:p>
            <w:pPr>
              <w:pStyle w:val="TableText"/>
              <w:ind w:firstLine="0" w:left="0"/>
              <w:jc w:val="right"/>
            </w:pPr>
            <w:r>
              <w:rPr>
                <w:rFonts w:ascii="Times New Roman" w:hAnsi="Times New Roman" w:cs="Times New Roman" w:eastAsia="Times New Roman"/>
                <w:sz w:val="20"/>
                <w:szCs w:val="20"/>
              </w:rPr>
              <w:t xml:space="preserve">$0</w:t>
            </w:r>
          </w:p>
        </w:tc>
        <w:tc>
          <w:tcPr/>
          <w:p>
            <w:pPr>
              <w:pStyle w:val="TableText"/>
              <w:ind w:firstLine="0" w:left="0"/>
              <w:jc w:val="right"/>
            </w:pPr>
            <w:r>
              <w:rPr>
                <w:rFonts w:ascii="Times New Roman" w:hAnsi="Times New Roman" w:cs="Times New Roman" w:eastAsia="Times New Roman"/>
                <w:sz w:val="20"/>
                <w:szCs w:val="20"/>
              </w:rPr>
              <w:t xml:space="preserve">$0</w:t>
            </w:r>
          </w:p>
        </w:tc>
        <w:tc>
          <w:tcPr/>
          <w:p>
            <w:pPr>
              <w:pStyle w:val="TableText"/>
              <w:ind w:firstLine="0" w:left="0"/>
              <w:jc w:val="right"/>
            </w:pPr>
            <w:r>
              <w:rPr>
                <w:rFonts w:ascii="Times New Roman" w:hAnsi="Times New Roman" w:cs="Times New Roman" w:eastAsia="Times New Roman"/>
                <w:sz w:val="20"/>
                <w:szCs w:val="20"/>
              </w:rPr>
              <w:t xml:space="preserve">$0</w:t>
            </w:r>
          </w:p>
        </w:tc>
        <w:tc>
          <w:tcPr/>
          <w:p>
            <w:pPr>
              <w:pStyle w:val="TableText"/>
              <w:ind w:firstLine="0" w:left="0"/>
              <w:jc w:val="right"/>
            </w:pPr>
            <w:r>
              <w:rPr>
                <w:rFonts w:ascii="Times New Roman" w:hAnsi="Times New Roman" w:cs="Times New Roman" w:eastAsia="Times New Roman"/>
                <w:sz w:val="20"/>
                <w:szCs w:val="20"/>
              </w:rPr>
              <w:t xml:space="preserve">$3.827,74</w:t>
            </w:r>
          </w:p>
        </w:tc>
        <w:tc>
          <w:tcPr/>
          <w:p>
            <w:pPr>
              <w:pStyle w:val="TableText"/>
              <w:ind w:firstLine="0" w:left="0"/>
              <w:jc w:val="right"/>
            </w:pPr>
            <w:r>
              <w:rPr>
                <w:rFonts w:ascii="Times New Roman" w:hAnsi="Times New Roman" w:cs="Times New Roman" w:eastAsia="Times New Roman"/>
                <w:sz w:val="20"/>
                <w:szCs w:val="20"/>
              </w:rPr>
              <w:t xml:space="preserve">$0</w:t>
            </w:r>
          </w:p>
        </w:tc>
        <w:tc>
          <w:tcPr/>
          <w:p>
            <w:pPr>
              <w:pStyle w:val="TableText"/>
              <w:ind w:firstLine="0" w:left="0"/>
              <w:jc w:val="right"/>
            </w:pPr>
            <w:r>
              <w:rPr>
                <w:rFonts w:ascii="Times New Roman" w:hAnsi="Times New Roman" w:cs="Times New Roman" w:eastAsia="Times New Roman"/>
                <w:sz w:val="20"/>
                <w:szCs w:val="20"/>
              </w:rPr>
              <w:t xml:space="preserve">$0</w:t>
            </w:r>
          </w:p>
        </w:tc>
        <w:tc>
          <w:tcPr/>
          <w:p>
            <w:pPr>
              <w:pStyle w:val="TableText"/>
              <w:ind w:firstLine="0" w:left="0"/>
              <w:jc w:val="right"/>
            </w:pPr>
            <w:r>
              <w:rPr>
                <w:rFonts w:ascii="Times New Roman" w:hAnsi="Times New Roman" w:cs="Times New Roman" w:eastAsia="Times New Roman"/>
                <w:sz w:val="20"/>
                <w:szCs w:val="20"/>
              </w:rPr>
              <w:t xml:space="preserve">$3.827,74</w:t>
            </w:r>
          </w:p>
        </w:tc>
      </w:tr>
      <w:tr>
        <w:tc>
          <w:tcPr/>
          <w:p>
            <w:pPr>
              <w:pStyle w:val="TableText"/>
              <w:ind w:firstLine="0" w:left="0"/>
              <w:jc w:val="left"/>
            </w:pPr>
            <w:r>
              <w:rPr>
                <w:rFonts w:ascii="Times New Roman" w:hAnsi="Times New Roman" w:cs="Times New Roman" w:eastAsia="Times New Roman"/>
                <w:b/>
                <w:bCs/>
                <w:sz w:val="20"/>
                <w:szCs w:val="20"/>
              </w:rPr>
              <w:t xml:space="preserve">Componente 2: Infraestructura y Cimentaciones Fluviales</w:t>
            </w:r>
          </w:p>
        </w:tc>
        <w:tc>
          <w:tcPr/>
          <w:p>
            <w:pPr>
              <w:pStyle w:val="TableText"/>
              <w:ind w:firstLine="0" w:left="0"/>
              <w:jc w:val="left"/>
            </w:pPr>
          </w:p>
        </w:tc>
        <w:tc>
          <w:tcPr/>
          <w:p>
            <w:pPr>
              <w:pStyle w:val="TableText"/>
              <w:ind w:firstLine="0" w:left="0"/>
              <w:jc w:val="left"/>
            </w:pPr>
          </w:p>
        </w:tc>
        <w:tc>
          <w:tcPr/>
          <w:p>
            <w:pPr>
              <w:pStyle w:val="TableText"/>
              <w:ind w:firstLine="0" w:left="0"/>
              <w:jc w:val="left"/>
            </w:pPr>
          </w:p>
        </w:tc>
        <w:tc>
          <w:tcPr/>
          <w:p>
            <w:pPr>
              <w:pStyle w:val="TableText"/>
              <w:ind w:firstLine="0" w:left="0"/>
              <w:jc w:val="left"/>
            </w:pPr>
          </w:p>
        </w:tc>
        <w:tc>
          <w:tcPr/>
          <w:p>
            <w:pPr>
              <w:pStyle w:val="TableText"/>
              <w:ind w:firstLine="0" w:left="0"/>
              <w:jc w:val="left"/>
            </w:pPr>
          </w:p>
        </w:tc>
        <w:tc>
          <w:tcPr/>
          <w:p>
            <w:pPr>
              <w:pStyle w:val="TableText"/>
              <w:ind w:firstLine="0" w:left="0"/>
              <w:jc w:val="left"/>
            </w:pPr>
          </w:p>
        </w:tc>
        <w:tc>
          <w:tcPr/>
          <w:p>
            <w:pPr>
              <w:pStyle w:val="TableText"/>
              <w:ind w:firstLine="0" w:left="0"/>
              <w:jc w:val="left"/>
            </w:pPr>
          </w:p>
        </w:tc>
        <w:tc>
          <w:tcPr/>
          <w:p>
            <w:pPr>
              <w:pStyle w:val="TableText"/>
              <w:ind w:firstLine="0" w:left="0"/>
              <w:jc w:val="left"/>
            </w:pPr>
          </w:p>
        </w:tc>
      </w:tr>
      <w:tr>
        <w:tc>
          <w:tcPr/>
          <w:p>
            <w:pPr>
              <w:pStyle w:val="TableText"/>
              <w:ind w:firstLine="0" w:left="0"/>
              <w:jc w:val="left"/>
            </w:pPr>
            <w:r>
              <w:rPr>
                <w:rFonts w:ascii="Times New Roman" w:hAnsi="Times New Roman" w:cs="Times New Roman" w:eastAsia="Times New Roman"/>
                <w:sz w:val="20"/>
                <w:szCs w:val="20"/>
              </w:rPr>
              <w:t xml:space="preserve">Actividad 2.1: Excavaciones, rellenos y empedrado</w:t>
            </w:r>
          </w:p>
        </w:tc>
        <w:tc>
          <w:tcPr/>
          <w:p>
            <w:pPr>
              <w:pStyle w:val="TableText"/>
              <w:ind w:firstLine="0" w:left="0"/>
              <w:jc w:val="left"/>
            </w:pPr>
            <w:r>
              <w:rPr>
                <w:rFonts w:ascii="Times New Roman" w:hAnsi="Times New Roman" w:cs="Times New Roman" w:eastAsia="Times New Roman"/>
                <w:sz w:val="20"/>
                <w:szCs w:val="20"/>
              </w:rPr>
              <w:t xml:space="preserve">75 Obras Públicas</w:t>
            </w:r>
          </w:p>
        </w:tc>
        <w:tc>
          <w:tcPr/>
          <w:p>
            <w:pPr>
              <w:pStyle w:val="TableText"/>
              <w:ind w:firstLine="0" w:left="0"/>
              <w:jc w:val="right"/>
            </w:pPr>
            <w:r>
              <w:rPr>
                <w:rFonts w:ascii="Times New Roman" w:hAnsi="Times New Roman" w:cs="Times New Roman" w:eastAsia="Times New Roman"/>
                <w:sz w:val="20"/>
                <w:szCs w:val="20"/>
              </w:rPr>
              <w:t xml:space="preserve">$0</w:t>
            </w:r>
          </w:p>
        </w:tc>
        <w:tc>
          <w:tcPr/>
          <w:p>
            <w:pPr>
              <w:pStyle w:val="TableText"/>
              <w:ind w:firstLine="0" w:left="0"/>
              <w:jc w:val="right"/>
            </w:pPr>
            <w:r>
              <w:rPr>
                <w:rFonts w:ascii="Times New Roman" w:hAnsi="Times New Roman" w:cs="Times New Roman" w:eastAsia="Times New Roman"/>
                <w:sz w:val="20"/>
                <w:szCs w:val="20"/>
              </w:rPr>
              <w:t xml:space="preserve">$0</w:t>
            </w:r>
          </w:p>
        </w:tc>
        <w:tc>
          <w:tcPr/>
          <w:p>
            <w:pPr>
              <w:pStyle w:val="TableText"/>
              <w:ind w:firstLine="0" w:left="0"/>
              <w:jc w:val="right"/>
            </w:pPr>
            <w:r>
              <w:rPr>
                <w:rFonts w:ascii="Times New Roman" w:hAnsi="Times New Roman" w:cs="Times New Roman" w:eastAsia="Times New Roman"/>
                <w:sz w:val="20"/>
                <w:szCs w:val="20"/>
              </w:rPr>
              <w:t xml:space="preserve">$0</w:t>
            </w:r>
          </w:p>
        </w:tc>
        <w:tc>
          <w:tcPr/>
          <w:p>
            <w:pPr>
              <w:pStyle w:val="TableText"/>
              <w:ind w:firstLine="0" w:left="0"/>
              <w:jc w:val="right"/>
            </w:pPr>
            <w:r>
              <w:rPr>
                <w:rFonts w:ascii="Times New Roman" w:hAnsi="Times New Roman" w:cs="Times New Roman" w:eastAsia="Times New Roman"/>
                <w:sz w:val="20"/>
                <w:szCs w:val="20"/>
              </w:rPr>
              <w:t xml:space="preserve">$22.569,12</w:t>
            </w:r>
          </w:p>
        </w:tc>
        <w:tc>
          <w:tcPr/>
          <w:p>
            <w:pPr>
              <w:pStyle w:val="TableText"/>
              <w:ind w:firstLine="0" w:left="0"/>
              <w:jc w:val="right"/>
            </w:pPr>
            <w:r>
              <w:rPr>
                <w:rFonts w:ascii="Times New Roman" w:hAnsi="Times New Roman" w:cs="Times New Roman" w:eastAsia="Times New Roman"/>
                <w:sz w:val="20"/>
                <w:szCs w:val="20"/>
              </w:rPr>
              <w:t xml:space="preserve">$0</w:t>
            </w:r>
          </w:p>
        </w:tc>
        <w:tc>
          <w:tcPr/>
          <w:p>
            <w:pPr>
              <w:pStyle w:val="TableText"/>
              <w:ind w:firstLine="0" w:left="0"/>
              <w:jc w:val="right"/>
            </w:pPr>
            <w:r>
              <w:rPr>
                <w:rFonts w:ascii="Times New Roman" w:hAnsi="Times New Roman" w:cs="Times New Roman" w:eastAsia="Times New Roman"/>
                <w:sz w:val="20"/>
                <w:szCs w:val="20"/>
              </w:rPr>
              <w:t xml:space="preserve">$0</w:t>
            </w:r>
          </w:p>
        </w:tc>
        <w:tc>
          <w:tcPr/>
          <w:p>
            <w:pPr>
              <w:pStyle w:val="TableText"/>
              <w:ind w:firstLine="0" w:left="0"/>
              <w:jc w:val="right"/>
            </w:pPr>
            <w:r>
              <w:rPr>
                <w:rFonts w:ascii="Times New Roman" w:hAnsi="Times New Roman" w:cs="Times New Roman" w:eastAsia="Times New Roman"/>
                <w:sz w:val="20"/>
                <w:szCs w:val="20"/>
              </w:rPr>
              <w:t xml:space="preserve">$22.569,12</w:t>
            </w:r>
          </w:p>
        </w:tc>
      </w:tr>
      <w:tr>
        <w:tc>
          <w:tcPr/>
          <w:p>
            <w:pPr>
              <w:pStyle w:val="TableText"/>
              <w:ind w:firstLine="0" w:left="0"/>
              <w:jc w:val="left"/>
            </w:pPr>
            <w:r>
              <w:rPr>
                <w:rFonts w:ascii="Times New Roman" w:hAnsi="Times New Roman" w:cs="Times New Roman" w:eastAsia="Times New Roman"/>
                <w:sz w:val="20"/>
                <w:szCs w:val="20"/>
              </w:rPr>
              <w:t xml:space="preserve">Actividad 2.2: Hormigón f’c=240 kg/cm² y acero fy=4200</w:t>
            </w:r>
          </w:p>
        </w:tc>
        <w:tc>
          <w:tcPr/>
          <w:p>
            <w:pPr>
              <w:pStyle w:val="TableText"/>
              <w:ind w:firstLine="0" w:left="0"/>
              <w:jc w:val="left"/>
            </w:pPr>
            <w:r>
              <w:rPr>
                <w:rFonts w:ascii="Times New Roman" w:hAnsi="Times New Roman" w:cs="Times New Roman" w:eastAsia="Times New Roman"/>
                <w:sz w:val="20"/>
                <w:szCs w:val="20"/>
              </w:rPr>
              <w:t xml:space="preserve">75 Obras Públicas</w:t>
            </w:r>
          </w:p>
        </w:tc>
        <w:tc>
          <w:tcPr/>
          <w:p>
            <w:pPr>
              <w:pStyle w:val="TableText"/>
              <w:ind w:firstLine="0" w:left="0"/>
              <w:jc w:val="right"/>
            </w:pPr>
            <w:r>
              <w:rPr>
                <w:rFonts w:ascii="Times New Roman" w:hAnsi="Times New Roman" w:cs="Times New Roman" w:eastAsia="Times New Roman"/>
                <w:sz w:val="20"/>
                <w:szCs w:val="20"/>
              </w:rPr>
              <w:t xml:space="preserve">$0</w:t>
            </w:r>
          </w:p>
        </w:tc>
        <w:tc>
          <w:tcPr/>
          <w:p>
            <w:pPr>
              <w:pStyle w:val="TableText"/>
              <w:ind w:firstLine="0" w:left="0"/>
              <w:jc w:val="right"/>
            </w:pPr>
            <w:r>
              <w:rPr>
                <w:rFonts w:ascii="Times New Roman" w:hAnsi="Times New Roman" w:cs="Times New Roman" w:eastAsia="Times New Roman"/>
                <w:sz w:val="20"/>
                <w:szCs w:val="20"/>
              </w:rPr>
              <w:t xml:space="preserve">$0</w:t>
            </w:r>
          </w:p>
        </w:tc>
        <w:tc>
          <w:tcPr/>
          <w:p>
            <w:pPr>
              <w:pStyle w:val="TableText"/>
              <w:ind w:firstLine="0" w:left="0"/>
              <w:jc w:val="right"/>
            </w:pPr>
            <w:r>
              <w:rPr>
                <w:rFonts w:ascii="Times New Roman" w:hAnsi="Times New Roman" w:cs="Times New Roman" w:eastAsia="Times New Roman"/>
                <w:sz w:val="20"/>
                <w:szCs w:val="20"/>
              </w:rPr>
              <w:t xml:space="preserve">$0</w:t>
            </w:r>
          </w:p>
        </w:tc>
        <w:tc>
          <w:tcPr/>
          <w:p>
            <w:pPr>
              <w:pStyle w:val="TableText"/>
              <w:ind w:firstLine="0" w:left="0"/>
              <w:jc w:val="right"/>
            </w:pPr>
            <w:r>
              <w:rPr>
                <w:rFonts w:ascii="Times New Roman" w:hAnsi="Times New Roman" w:cs="Times New Roman" w:eastAsia="Times New Roman"/>
                <w:sz w:val="20"/>
                <w:szCs w:val="20"/>
              </w:rPr>
              <w:t xml:space="preserve">$47.141,48</w:t>
            </w:r>
          </w:p>
        </w:tc>
        <w:tc>
          <w:tcPr/>
          <w:p>
            <w:pPr>
              <w:pStyle w:val="TableText"/>
              <w:ind w:firstLine="0" w:left="0"/>
              <w:jc w:val="right"/>
            </w:pPr>
            <w:r>
              <w:rPr>
                <w:rFonts w:ascii="Times New Roman" w:hAnsi="Times New Roman" w:cs="Times New Roman" w:eastAsia="Times New Roman"/>
                <w:sz w:val="20"/>
                <w:szCs w:val="20"/>
              </w:rPr>
              <w:t xml:space="preserve">$0</w:t>
            </w:r>
          </w:p>
        </w:tc>
        <w:tc>
          <w:tcPr/>
          <w:p>
            <w:pPr>
              <w:pStyle w:val="TableText"/>
              <w:ind w:firstLine="0" w:left="0"/>
              <w:jc w:val="right"/>
            </w:pPr>
            <w:r>
              <w:rPr>
                <w:rFonts w:ascii="Times New Roman" w:hAnsi="Times New Roman" w:cs="Times New Roman" w:eastAsia="Times New Roman"/>
                <w:sz w:val="20"/>
                <w:szCs w:val="20"/>
              </w:rPr>
              <w:t xml:space="preserve">$0</w:t>
            </w:r>
          </w:p>
        </w:tc>
        <w:tc>
          <w:tcPr/>
          <w:p>
            <w:pPr>
              <w:pStyle w:val="TableText"/>
              <w:ind w:firstLine="0" w:left="0"/>
              <w:jc w:val="right"/>
            </w:pPr>
            <w:r>
              <w:rPr>
                <w:rFonts w:ascii="Times New Roman" w:hAnsi="Times New Roman" w:cs="Times New Roman" w:eastAsia="Times New Roman"/>
                <w:sz w:val="20"/>
                <w:szCs w:val="20"/>
              </w:rPr>
              <w:t xml:space="preserve">$47.141,48</w:t>
            </w:r>
          </w:p>
        </w:tc>
      </w:tr>
      <w:tr>
        <w:tc>
          <w:tcPr/>
          <w:p>
            <w:pPr>
              <w:pStyle w:val="TableText"/>
              <w:ind w:firstLine="0" w:left="0"/>
              <w:jc w:val="left"/>
            </w:pPr>
            <w:r>
              <w:rPr>
                <w:rFonts w:ascii="Times New Roman" w:hAnsi="Times New Roman" w:cs="Times New Roman" w:eastAsia="Times New Roman"/>
                <w:sz w:val="20"/>
                <w:szCs w:val="20"/>
              </w:rPr>
              <w:t xml:space="preserve">Actividad 2.3: Gaviones de protección ribereña</w:t>
            </w:r>
          </w:p>
        </w:tc>
        <w:tc>
          <w:tcPr/>
          <w:p>
            <w:pPr>
              <w:pStyle w:val="TableText"/>
              <w:ind w:firstLine="0" w:left="0"/>
              <w:jc w:val="left"/>
            </w:pPr>
            <w:r>
              <w:rPr>
                <w:rFonts w:ascii="Times New Roman" w:hAnsi="Times New Roman" w:cs="Times New Roman" w:eastAsia="Times New Roman"/>
                <w:sz w:val="20"/>
                <w:szCs w:val="20"/>
              </w:rPr>
              <w:t xml:space="preserve">75 Obras Públicas</w:t>
            </w:r>
          </w:p>
        </w:tc>
        <w:tc>
          <w:tcPr/>
          <w:p>
            <w:pPr>
              <w:pStyle w:val="TableText"/>
              <w:ind w:firstLine="0" w:left="0"/>
              <w:jc w:val="right"/>
            </w:pPr>
            <w:r>
              <w:rPr>
                <w:rFonts w:ascii="Times New Roman" w:hAnsi="Times New Roman" w:cs="Times New Roman" w:eastAsia="Times New Roman"/>
                <w:sz w:val="20"/>
                <w:szCs w:val="20"/>
              </w:rPr>
              <w:t xml:space="preserve">$0</w:t>
            </w:r>
          </w:p>
        </w:tc>
        <w:tc>
          <w:tcPr/>
          <w:p>
            <w:pPr>
              <w:pStyle w:val="TableText"/>
              <w:ind w:firstLine="0" w:left="0"/>
              <w:jc w:val="right"/>
            </w:pPr>
            <w:r>
              <w:rPr>
                <w:rFonts w:ascii="Times New Roman" w:hAnsi="Times New Roman" w:cs="Times New Roman" w:eastAsia="Times New Roman"/>
                <w:sz w:val="20"/>
                <w:szCs w:val="20"/>
              </w:rPr>
              <w:t xml:space="preserve">$0</w:t>
            </w:r>
          </w:p>
        </w:tc>
        <w:tc>
          <w:tcPr/>
          <w:p>
            <w:pPr>
              <w:pStyle w:val="TableText"/>
              <w:ind w:firstLine="0" w:left="0"/>
              <w:jc w:val="right"/>
            </w:pPr>
            <w:r>
              <w:rPr>
                <w:rFonts w:ascii="Times New Roman" w:hAnsi="Times New Roman" w:cs="Times New Roman" w:eastAsia="Times New Roman"/>
                <w:sz w:val="20"/>
                <w:szCs w:val="20"/>
              </w:rPr>
              <w:t xml:space="preserve">$0</w:t>
            </w:r>
          </w:p>
        </w:tc>
        <w:tc>
          <w:tcPr/>
          <w:p>
            <w:pPr>
              <w:pStyle w:val="TableText"/>
              <w:ind w:firstLine="0" w:left="0"/>
              <w:jc w:val="right"/>
            </w:pPr>
            <w:r>
              <w:rPr>
                <w:rFonts w:ascii="Times New Roman" w:hAnsi="Times New Roman" w:cs="Times New Roman" w:eastAsia="Times New Roman"/>
                <w:sz w:val="20"/>
                <w:szCs w:val="20"/>
              </w:rPr>
              <w:t xml:space="preserve">$5.331,05</w:t>
            </w:r>
          </w:p>
        </w:tc>
        <w:tc>
          <w:tcPr/>
          <w:p>
            <w:pPr>
              <w:pStyle w:val="TableText"/>
              <w:ind w:firstLine="0" w:left="0"/>
              <w:jc w:val="right"/>
            </w:pPr>
            <w:r>
              <w:rPr>
                <w:rFonts w:ascii="Times New Roman" w:hAnsi="Times New Roman" w:cs="Times New Roman" w:eastAsia="Times New Roman"/>
                <w:sz w:val="20"/>
                <w:szCs w:val="20"/>
              </w:rPr>
              <w:t xml:space="preserve">$0</w:t>
            </w:r>
          </w:p>
        </w:tc>
        <w:tc>
          <w:tcPr/>
          <w:p>
            <w:pPr>
              <w:pStyle w:val="TableText"/>
              <w:ind w:firstLine="0" w:left="0"/>
              <w:jc w:val="right"/>
            </w:pPr>
            <w:r>
              <w:rPr>
                <w:rFonts w:ascii="Times New Roman" w:hAnsi="Times New Roman" w:cs="Times New Roman" w:eastAsia="Times New Roman"/>
                <w:sz w:val="20"/>
                <w:szCs w:val="20"/>
              </w:rPr>
              <w:t xml:space="preserve">$0</w:t>
            </w:r>
          </w:p>
        </w:tc>
        <w:tc>
          <w:tcPr/>
          <w:p>
            <w:pPr>
              <w:pStyle w:val="TableText"/>
              <w:ind w:firstLine="0" w:left="0"/>
              <w:jc w:val="right"/>
            </w:pPr>
            <w:r>
              <w:rPr>
                <w:rFonts w:ascii="Times New Roman" w:hAnsi="Times New Roman" w:cs="Times New Roman" w:eastAsia="Times New Roman"/>
                <w:sz w:val="20"/>
                <w:szCs w:val="20"/>
              </w:rPr>
              <w:t xml:space="preserve">$5.331,05</w:t>
            </w:r>
          </w:p>
        </w:tc>
      </w:tr>
      <w:tr>
        <w:tc>
          <w:tcPr/>
          <w:p>
            <w:pPr>
              <w:pStyle w:val="TableText"/>
              <w:ind w:firstLine="0" w:left="0"/>
              <w:jc w:val="left"/>
            </w:pPr>
            <w:r>
              <w:rPr>
                <w:rFonts w:ascii="Times New Roman" w:hAnsi="Times New Roman" w:cs="Times New Roman" w:eastAsia="Times New Roman"/>
                <w:b/>
                <w:bCs/>
                <w:sz w:val="20"/>
                <w:szCs w:val="20"/>
              </w:rPr>
              <w:t xml:space="preserve">Componente 3: Superestructura de Acero Estructural ASTM A-588</w:t>
            </w:r>
          </w:p>
        </w:tc>
        <w:tc>
          <w:tcPr/>
          <w:p>
            <w:pPr>
              <w:pStyle w:val="TableText"/>
              <w:ind w:firstLine="0" w:left="0"/>
              <w:jc w:val="left"/>
            </w:pPr>
          </w:p>
        </w:tc>
        <w:tc>
          <w:tcPr/>
          <w:p>
            <w:pPr>
              <w:pStyle w:val="TableText"/>
              <w:ind w:firstLine="0" w:left="0"/>
              <w:jc w:val="left"/>
            </w:pPr>
          </w:p>
        </w:tc>
        <w:tc>
          <w:tcPr/>
          <w:p>
            <w:pPr>
              <w:pStyle w:val="TableText"/>
              <w:ind w:firstLine="0" w:left="0"/>
              <w:jc w:val="left"/>
            </w:pPr>
          </w:p>
        </w:tc>
        <w:tc>
          <w:tcPr/>
          <w:p>
            <w:pPr>
              <w:pStyle w:val="TableText"/>
              <w:ind w:firstLine="0" w:left="0"/>
              <w:jc w:val="left"/>
            </w:pPr>
          </w:p>
        </w:tc>
        <w:tc>
          <w:tcPr/>
          <w:p>
            <w:pPr>
              <w:pStyle w:val="TableText"/>
              <w:ind w:firstLine="0" w:left="0"/>
              <w:jc w:val="left"/>
            </w:pPr>
          </w:p>
        </w:tc>
        <w:tc>
          <w:tcPr/>
          <w:p>
            <w:pPr>
              <w:pStyle w:val="TableText"/>
              <w:ind w:firstLine="0" w:left="0"/>
              <w:jc w:val="left"/>
            </w:pPr>
          </w:p>
        </w:tc>
        <w:tc>
          <w:tcPr/>
          <w:p>
            <w:pPr>
              <w:pStyle w:val="TableText"/>
              <w:ind w:firstLine="0" w:left="0"/>
              <w:jc w:val="left"/>
            </w:pPr>
          </w:p>
        </w:tc>
        <w:tc>
          <w:tcPr/>
          <w:p>
            <w:pPr>
              <w:pStyle w:val="TableText"/>
              <w:ind w:firstLine="0" w:left="0"/>
              <w:jc w:val="left"/>
            </w:pPr>
          </w:p>
        </w:tc>
      </w:tr>
      <w:tr>
        <w:tc>
          <w:tcPr/>
          <w:p>
            <w:pPr>
              <w:pStyle w:val="TableText"/>
              <w:ind w:firstLine="0" w:left="0"/>
              <w:jc w:val="left"/>
            </w:pPr>
            <w:r>
              <w:rPr>
                <w:rFonts w:ascii="Times New Roman" w:hAnsi="Times New Roman" w:cs="Times New Roman" w:eastAsia="Times New Roman"/>
                <w:sz w:val="20"/>
                <w:szCs w:val="20"/>
              </w:rPr>
              <w:t xml:space="preserve">Actividad 3.1: Suministro y fabricación acero A-588</w:t>
            </w:r>
          </w:p>
        </w:tc>
        <w:tc>
          <w:tcPr/>
          <w:p>
            <w:pPr>
              <w:pStyle w:val="TableText"/>
              <w:ind w:firstLine="0" w:left="0"/>
              <w:jc w:val="left"/>
            </w:pPr>
            <w:r>
              <w:rPr>
                <w:rFonts w:ascii="Times New Roman" w:hAnsi="Times New Roman" w:cs="Times New Roman" w:eastAsia="Times New Roman"/>
                <w:sz w:val="20"/>
                <w:szCs w:val="20"/>
              </w:rPr>
              <w:t xml:space="preserve">75 Obras Públicas</w:t>
            </w:r>
          </w:p>
        </w:tc>
        <w:tc>
          <w:tcPr/>
          <w:p>
            <w:pPr>
              <w:pStyle w:val="TableText"/>
              <w:ind w:firstLine="0" w:left="0"/>
              <w:jc w:val="right"/>
            </w:pPr>
            <w:r>
              <w:rPr>
                <w:rFonts w:ascii="Times New Roman" w:hAnsi="Times New Roman" w:cs="Times New Roman" w:eastAsia="Times New Roman"/>
                <w:sz w:val="20"/>
                <w:szCs w:val="20"/>
              </w:rPr>
              <w:t xml:space="preserve">$0</w:t>
            </w:r>
          </w:p>
        </w:tc>
        <w:tc>
          <w:tcPr/>
          <w:p>
            <w:pPr>
              <w:pStyle w:val="TableText"/>
              <w:ind w:firstLine="0" w:left="0"/>
              <w:jc w:val="right"/>
            </w:pPr>
            <w:r>
              <w:rPr>
                <w:rFonts w:ascii="Times New Roman" w:hAnsi="Times New Roman" w:cs="Times New Roman" w:eastAsia="Times New Roman"/>
                <w:sz w:val="20"/>
                <w:szCs w:val="20"/>
              </w:rPr>
              <w:t xml:space="preserve">$0</w:t>
            </w:r>
          </w:p>
        </w:tc>
        <w:tc>
          <w:tcPr/>
          <w:p>
            <w:pPr>
              <w:pStyle w:val="TableText"/>
              <w:ind w:firstLine="0" w:left="0"/>
              <w:jc w:val="right"/>
            </w:pPr>
            <w:r>
              <w:rPr>
                <w:rFonts w:ascii="Times New Roman" w:hAnsi="Times New Roman" w:cs="Times New Roman" w:eastAsia="Times New Roman"/>
                <w:sz w:val="20"/>
                <w:szCs w:val="20"/>
              </w:rPr>
              <w:t xml:space="preserve">$0</w:t>
            </w:r>
          </w:p>
        </w:tc>
        <w:tc>
          <w:tcPr/>
          <w:p>
            <w:pPr>
              <w:pStyle w:val="TableText"/>
              <w:ind w:firstLine="0" w:left="0"/>
              <w:jc w:val="right"/>
            </w:pPr>
            <w:r>
              <w:rPr>
                <w:rFonts w:ascii="Times New Roman" w:hAnsi="Times New Roman" w:cs="Times New Roman" w:eastAsia="Times New Roman"/>
                <w:sz w:val="20"/>
                <w:szCs w:val="20"/>
              </w:rPr>
              <w:t xml:space="preserve">$181.872,60</w:t>
            </w:r>
          </w:p>
        </w:tc>
        <w:tc>
          <w:tcPr/>
          <w:p>
            <w:pPr>
              <w:pStyle w:val="TableText"/>
              <w:ind w:firstLine="0" w:left="0"/>
              <w:jc w:val="right"/>
            </w:pPr>
            <w:r>
              <w:rPr>
                <w:rFonts w:ascii="Times New Roman" w:hAnsi="Times New Roman" w:cs="Times New Roman" w:eastAsia="Times New Roman"/>
                <w:sz w:val="20"/>
                <w:szCs w:val="20"/>
              </w:rPr>
              <w:t xml:space="preserve">$0</w:t>
            </w:r>
          </w:p>
        </w:tc>
        <w:tc>
          <w:tcPr/>
          <w:p>
            <w:pPr>
              <w:pStyle w:val="TableText"/>
              <w:ind w:firstLine="0" w:left="0"/>
              <w:jc w:val="right"/>
            </w:pPr>
            <w:r>
              <w:rPr>
                <w:rFonts w:ascii="Times New Roman" w:hAnsi="Times New Roman" w:cs="Times New Roman" w:eastAsia="Times New Roman"/>
                <w:sz w:val="20"/>
                <w:szCs w:val="20"/>
              </w:rPr>
              <w:t xml:space="preserve">$0</w:t>
            </w:r>
          </w:p>
        </w:tc>
        <w:tc>
          <w:tcPr/>
          <w:p>
            <w:pPr>
              <w:pStyle w:val="TableText"/>
              <w:ind w:firstLine="0" w:left="0"/>
              <w:jc w:val="right"/>
            </w:pPr>
            <w:r>
              <w:rPr>
                <w:rFonts w:ascii="Times New Roman" w:hAnsi="Times New Roman" w:cs="Times New Roman" w:eastAsia="Times New Roman"/>
                <w:sz w:val="20"/>
                <w:szCs w:val="20"/>
              </w:rPr>
              <w:t xml:space="preserve">$181.872,60</w:t>
            </w:r>
          </w:p>
        </w:tc>
      </w:tr>
      <w:tr>
        <w:tc>
          <w:tcPr/>
          <w:p>
            <w:pPr>
              <w:pStyle w:val="TableText"/>
              <w:ind w:firstLine="0" w:left="0"/>
              <w:jc w:val="left"/>
            </w:pPr>
            <w:r>
              <w:rPr>
                <w:rFonts w:ascii="Times New Roman" w:hAnsi="Times New Roman" w:cs="Times New Roman" w:eastAsia="Times New Roman"/>
                <w:sz w:val="20"/>
                <w:szCs w:val="20"/>
              </w:rPr>
              <w:t xml:space="preserve">Actividad 3.2: Montaje y pintura protectora acero A-588</w:t>
            </w:r>
          </w:p>
        </w:tc>
        <w:tc>
          <w:tcPr/>
          <w:p>
            <w:pPr>
              <w:pStyle w:val="TableText"/>
              <w:ind w:firstLine="0" w:left="0"/>
              <w:jc w:val="left"/>
            </w:pPr>
            <w:r>
              <w:rPr>
                <w:rFonts w:ascii="Times New Roman" w:hAnsi="Times New Roman" w:cs="Times New Roman" w:eastAsia="Times New Roman"/>
                <w:sz w:val="20"/>
                <w:szCs w:val="20"/>
              </w:rPr>
              <w:t xml:space="preserve">75 Obras Públicas</w:t>
            </w:r>
          </w:p>
        </w:tc>
        <w:tc>
          <w:tcPr/>
          <w:p>
            <w:pPr>
              <w:pStyle w:val="TableText"/>
              <w:ind w:firstLine="0" w:left="0"/>
              <w:jc w:val="right"/>
            </w:pPr>
            <w:r>
              <w:rPr>
                <w:rFonts w:ascii="Times New Roman" w:hAnsi="Times New Roman" w:cs="Times New Roman" w:eastAsia="Times New Roman"/>
                <w:sz w:val="20"/>
                <w:szCs w:val="20"/>
              </w:rPr>
              <w:t xml:space="preserve">$0</w:t>
            </w:r>
          </w:p>
        </w:tc>
        <w:tc>
          <w:tcPr/>
          <w:p>
            <w:pPr>
              <w:pStyle w:val="TableText"/>
              <w:ind w:firstLine="0" w:left="0"/>
              <w:jc w:val="right"/>
            </w:pPr>
            <w:r>
              <w:rPr>
                <w:rFonts w:ascii="Times New Roman" w:hAnsi="Times New Roman" w:cs="Times New Roman" w:eastAsia="Times New Roman"/>
                <w:sz w:val="20"/>
                <w:szCs w:val="20"/>
              </w:rPr>
              <w:t xml:space="preserve">$0</w:t>
            </w:r>
          </w:p>
        </w:tc>
        <w:tc>
          <w:tcPr/>
          <w:p>
            <w:pPr>
              <w:pStyle w:val="TableText"/>
              <w:ind w:firstLine="0" w:left="0"/>
              <w:jc w:val="right"/>
            </w:pPr>
            <w:r>
              <w:rPr>
                <w:rFonts w:ascii="Times New Roman" w:hAnsi="Times New Roman" w:cs="Times New Roman" w:eastAsia="Times New Roman"/>
                <w:sz w:val="20"/>
                <w:szCs w:val="20"/>
              </w:rPr>
              <w:t xml:space="preserve">$0</w:t>
            </w:r>
          </w:p>
        </w:tc>
        <w:tc>
          <w:tcPr/>
          <w:p>
            <w:pPr>
              <w:pStyle w:val="TableText"/>
              <w:ind w:firstLine="0" w:left="0"/>
              <w:jc w:val="right"/>
            </w:pPr>
            <w:r>
              <w:rPr>
                <w:rFonts w:ascii="Times New Roman" w:hAnsi="Times New Roman" w:cs="Times New Roman" w:eastAsia="Times New Roman"/>
                <w:sz w:val="20"/>
                <w:szCs w:val="20"/>
              </w:rPr>
              <w:t xml:space="preserve">$67.152,96</w:t>
            </w:r>
          </w:p>
        </w:tc>
        <w:tc>
          <w:tcPr/>
          <w:p>
            <w:pPr>
              <w:pStyle w:val="TableText"/>
              <w:ind w:firstLine="0" w:left="0"/>
              <w:jc w:val="right"/>
            </w:pPr>
            <w:r>
              <w:rPr>
                <w:rFonts w:ascii="Times New Roman" w:hAnsi="Times New Roman" w:cs="Times New Roman" w:eastAsia="Times New Roman"/>
                <w:sz w:val="20"/>
                <w:szCs w:val="20"/>
              </w:rPr>
              <w:t xml:space="preserve">$0</w:t>
            </w:r>
          </w:p>
        </w:tc>
        <w:tc>
          <w:tcPr/>
          <w:p>
            <w:pPr>
              <w:pStyle w:val="TableText"/>
              <w:ind w:firstLine="0" w:left="0"/>
              <w:jc w:val="right"/>
            </w:pPr>
            <w:r>
              <w:rPr>
                <w:rFonts w:ascii="Times New Roman" w:hAnsi="Times New Roman" w:cs="Times New Roman" w:eastAsia="Times New Roman"/>
                <w:sz w:val="20"/>
                <w:szCs w:val="20"/>
              </w:rPr>
              <w:t xml:space="preserve">$0</w:t>
            </w:r>
          </w:p>
        </w:tc>
        <w:tc>
          <w:tcPr/>
          <w:p>
            <w:pPr>
              <w:pStyle w:val="TableText"/>
              <w:ind w:firstLine="0" w:left="0"/>
              <w:jc w:val="right"/>
            </w:pPr>
            <w:r>
              <w:rPr>
                <w:rFonts w:ascii="Times New Roman" w:hAnsi="Times New Roman" w:cs="Times New Roman" w:eastAsia="Times New Roman"/>
                <w:sz w:val="20"/>
                <w:szCs w:val="20"/>
              </w:rPr>
              <w:t xml:space="preserve">$67.152,96</w:t>
            </w:r>
          </w:p>
        </w:tc>
      </w:tr>
      <w:tr>
        <w:tc>
          <w:tcPr/>
          <w:p>
            <w:pPr>
              <w:pStyle w:val="TableText"/>
              <w:ind w:firstLine="0" w:left="0"/>
              <w:jc w:val="left"/>
            </w:pPr>
            <w:r>
              <w:rPr>
                <w:rFonts w:ascii="Times New Roman" w:hAnsi="Times New Roman" w:cs="Times New Roman" w:eastAsia="Times New Roman"/>
                <w:b/>
                <w:bCs/>
                <w:sz w:val="20"/>
                <w:szCs w:val="20"/>
              </w:rPr>
              <w:t xml:space="preserve">Componente 4: Mitigación Ambiental, Seguridad Vial e IVA</w:t>
            </w:r>
          </w:p>
        </w:tc>
        <w:tc>
          <w:tcPr/>
          <w:p>
            <w:pPr>
              <w:pStyle w:val="TableText"/>
              <w:ind w:firstLine="0" w:left="0"/>
              <w:jc w:val="left"/>
            </w:pPr>
          </w:p>
        </w:tc>
        <w:tc>
          <w:tcPr/>
          <w:p>
            <w:pPr>
              <w:pStyle w:val="TableText"/>
              <w:ind w:firstLine="0" w:left="0"/>
              <w:jc w:val="left"/>
            </w:pPr>
          </w:p>
        </w:tc>
        <w:tc>
          <w:tcPr/>
          <w:p>
            <w:pPr>
              <w:pStyle w:val="TableText"/>
              <w:ind w:firstLine="0" w:left="0"/>
              <w:jc w:val="left"/>
            </w:pPr>
          </w:p>
        </w:tc>
        <w:tc>
          <w:tcPr/>
          <w:p>
            <w:pPr>
              <w:pStyle w:val="TableText"/>
              <w:ind w:firstLine="0" w:left="0"/>
              <w:jc w:val="left"/>
            </w:pPr>
          </w:p>
        </w:tc>
        <w:tc>
          <w:tcPr/>
          <w:p>
            <w:pPr>
              <w:pStyle w:val="TableText"/>
              <w:ind w:firstLine="0" w:left="0"/>
              <w:jc w:val="left"/>
            </w:pPr>
          </w:p>
        </w:tc>
        <w:tc>
          <w:tcPr/>
          <w:p>
            <w:pPr>
              <w:pStyle w:val="TableText"/>
              <w:ind w:firstLine="0" w:left="0"/>
              <w:jc w:val="left"/>
            </w:pPr>
          </w:p>
        </w:tc>
        <w:tc>
          <w:tcPr/>
          <w:p>
            <w:pPr>
              <w:pStyle w:val="TableText"/>
              <w:ind w:firstLine="0" w:left="0"/>
              <w:jc w:val="left"/>
            </w:pPr>
          </w:p>
        </w:tc>
        <w:tc>
          <w:tcPr/>
          <w:p>
            <w:pPr>
              <w:pStyle w:val="TableText"/>
              <w:ind w:firstLine="0" w:left="0"/>
              <w:jc w:val="left"/>
            </w:pPr>
          </w:p>
        </w:tc>
      </w:tr>
      <w:tr>
        <w:tc>
          <w:tcPr/>
          <w:p>
            <w:pPr>
              <w:pStyle w:val="TableText"/>
              <w:ind w:firstLine="0" w:left="0"/>
              <w:jc w:val="left"/>
            </w:pPr>
            <w:r>
              <w:rPr>
                <w:rFonts w:ascii="Times New Roman" w:hAnsi="Times New Roman" w:cs="Times New Roman" w:eastAsia="Times New Roman"/>
                <w:sz w:val="20"/>
                <w:szCs w:val="20"/>
              </w:rPr>
              <w:t xml:space="preserve">Actividad 4.1: Señalización, letrero y mitigación ambiental</w:t>
            </w:r>
          </w:p>
        </w:tc>
        <w:tc>
          <w:tcPr/>
          <w:p>
            <w:pPr>
              <w:pStyle w:val="TableText"/>
              <w:ind w:firstLine="0" w:left="0"/>
              <w:jc w:val="left"/>
            </w:pPr>
            <w:r>
              <w:rPr>
                <w:rFonts w:ascii="Times New Roman" w:hAnsi="Times New Roman" w:cs="Times New Roman" w:eastAsia="Times New Roman"/>
                <w:sz w:val="20"/>
                <w:szCs w:val="20"/>
              </w:rPr>
              <w:t xml:space="preserve">75 Obras Públicas</w:t>
            </w:r>
          </w:p>
        </w:tc>
        <w:tc>
          <w:tcPr/>
          <w:p>
            <w:pPr>
              <w:pStyle w:val="TableText"/>
              <w:ind w:firstLine="0" w:left="0"/>
              <w:jc w:val="right"/>
            </w:pPr>
            <w:r>
              <w:rPr>
                <w:rFonts w:ascii="Times New Roman" w:hAnsi="Times New Roman" w:cs="Times New Roman" w:eastAsia="Times New Roman"/>
                <w:sz w:val="20"/>
                <w:szCs w:val="20"/>
              </w:rPr>
              <w:t xml:space="preserve">$0</w:t>
            </w:r>
          </w:p>
        </w:tc>
        <w:tc>
          <w:tcPr/>
          <w:p>
            <w:pPr>
              <w:pStyle w:val="TableText"/>
              <w:ind w:firstLine="0" w:left="0"/>
              <w:jc w:val="right"/>
            </w:pPr>
            <w:r>
              <w:rPr>
                <w:rFonts w:ascii="Times New Roman" w:hAnsi="Times New Roman" w:cs="Times New Roman" w:eastAsia="Times New Roman"/>
                <w:sz w:val="20"/>
                <w:szCs w:val="20"/>
              </w:rPr>
              <w:t xml:space="preserve">$0</w:t>
            </w:r>
          </w:p>
        </w:tc>
        <w:tc>
          <w:tcPr/>
          <w:p>
            <w:pPr>
              <w:pStyle w:val="TableText"/>
              <w:ind w:firstLine="0" w:left="0"/>
              <w:jc w:val="right"/>
            </w:pPr>
            <w:r>
              <w:rPr>
                <w:rFonts w:ascii="Times New Roman" w:hAnsi="Times New Roman" w:cs="Times New Roman" w:eastAsia="Times New Roman"/>
                <w:sz w:val="20"/>
                <w:szCs w:val="20"/>
              </w:rPr>
              <w:t xml:space="preserve">$0</w:t>
            </w:r>
          </w:p>
        </w:tc>
        <w:tc>
          <w:tcPr/>
          <w:p>
            <w:pPr>
              <w:pStyle w:val="TableText"/>
              <w:ind w:firstLine="0" w:left="0"/>
              <w:jc w:val="right"/>
            </w:pPr>
            <w:r>
              <w:rPr>
                <w:rFonts w:ascii="Times New Roman" w:hAnsi="Times New Roman" w:cs="Times New Roman" w:eastAsia="Times New Roman"/>
                <w:sz w:val="20"/>
                <w:szCs w:val="20"/>
              </w:rPr>
              <w:t xml:space="preserve">$2.776,59</w:t>
            </w:r>
          </w:p>
        </w:tc>
        <w:tc>
          <w:tcPr/>
          <w:p>
            <w:pPr>
              <w:pStyle w:val="TableText"/>
              <w:ind w:firstLine="0" w:left="0"/>
              <w:jc w:val="right"/>
            </w:pPr>
            <w:r>
              <w:rPr>
                <w:rFonts w:ascii="Times New Roman" w:hAnsi="Times New Roman" w:cs="Times New Roman" w:eastAsia="Times New Roman"/>
                <w:sz w:val="20"/>
                <w:szCs w:val="20"/>
              </w:rPr>
              <w:t xml:space="preserve">$0</w:t>
            </w:r>
          </w:p>
        </w:tc>
        <w:tc>
          <w:tcPr/>
          <w:p>
            <w:pPr>
              <w:pStyle w:val="TableText"/>
              <w:ind w:firstLine="0" w:left="0"/>
              <w:jc w:val="right"/>
            </w:pPr>
            <w:r>
              <w:rPr>
                <w:rFonts w:ascii="Times New Roman" w:hAnsi="Times New Roman" w:cs="Times New Roman" w:eastAsia="Times New Roman"/>
                <w:sz w:val="20"/>
                <w:szCs w:val="20"/>
              </w:rPr>
              <w:t xml:space="preserve">$0</w:t>
            </w:r>
          </w:p>
        </w:tc>
        <w:tc>
          <w:tcPr/>
          <w:p>
            <w:pPr>
              <w:pStyle w:val="TableText"/>
              <w:ind w:firstLine="0" w:left="0"/>
              <w:jc w:val="right"/>
            </w:pPr>
            <w:r>
              <w:rPr>
                <w:rFonts w:ascii="Times New Roman" w:hAnsi="Times New Roman" w:cs="Times New Roman" w:eastAsia="Times New Roman"/>
                <w:sz w:val="20"/>
                <w:szCs w:val="20"/>
              </w:rPr>
              <w:t xml:space="preserve">$2.776,59</w:t>
            </w:r>
          </w:p>
        </w:tc>
      </w:tr>
      <w:tr>
        <w:tc>
          <w:tcPr/>
          <w:p>
            <w:pPr>
              <w:pStyle w:val="TableText"/>
              <w:ind w:firstLine="0" w:left="0"/>
              <w:jc w:val="left"/>
            </w:pPr>
            <w:r>
              <w:rPr>
                <w:rFonts w:ascii="Times New Roman" w:hAnsi="Times New Roman" w:cs="Times New Roman" w:eastAsia="Times New Roman"/>
                <w:sz w:val="20"/>
                <w:szCs w:val="20"/>
              </w:rPr>
              <w:t xml:space="preserve">Actividad 4.2: Impuesto al Valor Agregado (IVA 15%)</w:t>
            </w:r>
          </w:p>
        </w:tc>
        <w:tc>
          <w:tcPr/>
          <w:p>
            <w:pPr>
              <w:pStyle w:val="TableText"/>
              <w:ind w:firstLine="0" w:left="0"/>
              <w:jc w:val="left"/>
            </w:pPr>
            <w:r>
              <w:rPr>
                <w:rFonts w:ascii="Times New Roman" w:hAnsi="Times New Roman" w:cs="Times New Roman" w:eastAsia="Times New Roman"/>
                <w:sz w:val="20"/>
                <w:szCs w:val="20"/>
              </w:rPr>
              <w:t xml:space="preserve">75 Obras Públicas</w:t>
            </w:r>
          </w:p>
        </w:tc>
        <w:tc>
          <w:tcPr/>
          <w:p>
            <w:pPr>
              <w:pStyle w:val="TableText"/>
              <w:ind w:firstLine="0" w:left="0"/>
              <w:jc w:val="right"/>
            </w:pPr>
            <w:r>
              <w:rPr>
                <w:rFonts w:ascii="Times New Roman" w:hAnsi="Times New Roman" w:cs="Times New Roman" w:eastAsia="Times New Roman"/>
                <w:sz w:val="20"/>
                <w:szCs w:val="20"/>
              </w:rPr>
              <w:t xml:space="preserve">$0</w:t>
            </w:r>
          </w:p>
        </w:tc>
        <w:tc>
          <w:tcPr/>
          <w:p>
            <w:pPr>
              <w:pStyle w:val="TableText"/>
              <w:ind w:firstLine="0" w:left="0"/>
              <w:jc w:val="right"/>
            </w:pPr>
            <w:r>
              <w:rPr>
                <w:rFonts w:ascii="Times New Roman" w:hAnsi="Times New Roman" w:cs="Times New Roman" w:eastAsia="Times New Roman"/>
                <w:sz w:val="20"/>
                <w:szCs w:val="20"/>
              </w:rPr>
              <w:t xml:space="preserve">$0</w:t>
            </w:r>
          </w:p>
        </w:tc>
        <w:tc>
          <w:tcPr/>
          <w:p>
            <w:pPr>
              <w:pStyle w:val="TableText"/>
              <w:ind w:firstLine="0" w:left="0"/>
              <w:jc w:val="right"/>
            </w:pPr>
            <w:r>
              <w:rPr>
                <w:rFonts w:ascii="Times New Roman" w:hAnsi="Times New Roman" w:cs="Times New Roman" w:eastAsia="Times New Roman"/>
                <w:sz w:val="20"/>
                <w:szCs w:val="20"/>
              </w:rPr>
              <w:t xml:space="preserve">$0</w:t>
            </w:r>
          </w:p>
        </w:tc>
        <w:tc>
          <w:tcPr/>
          <w:p>
            <w:pPr>
              <w:pStyle w:val="TableText"/>
              <w:ind w:firstLine="0" w:left="0"/>
              <w:jc w:val="right"/>
            </w:pPr>
            <w:r>
              <w:rPr>
                <w:rFonts w:ascii="Times New Roman" w:hAnsi="Times New Roman" w:cs="Times New Roman" w:eastAsia="Times New Roman"/>
                <w:sz w:val="20"/>
                <w:szCs w:val="20"/>
              </w:rPr>
              <w:t xml:space="preserve">$49.601,03</w:t>
            </w:r>
          </w:p>
        </w:tc>
        <w:tc>
          <w:tcPr/>
          <w:p>
            <w:pPr>
              <w:pStyle w:val="TableText"/>
              <w:ind w:firstLine="0" w:left="0"/>
              <w:jc w:val="right"/>
            </w:pPr>
            <w:r>
              <w:rPr>
                <w:rFonts w:ascii="Times New Roman" w:hAnsi="Times New Roman" w:cs="Times New Roman" w:eastAsia="Times New Roman"/>
                <w:sz w:val="20"/>
                <w:szCs w:val="20"/>
              </w:rPr>
              <w:t xml:space="preserve">$0</w:t>
            </w:r>
          </w:p>
        </w:tc>
        <w:tc>
          <w:tcPr/>
          <w:p>
            <w:pPr>
              <w:pStyle w:val="TableText"/>
              <w:ind w:firstLine="0" w:left="0"/>
              <w:jc w:val="right"/>
            </w:pPr>
            <w:r>
              <w:rPr>
                <w:rFonts w:ascii="Times New Roman" w:hAnsi="Times New Roman" w:cs="Times New Roman" w:eastAsia="Times New Roman"/>
                <w:sz w:val="20"/>
                <w:szCs w:val="20"/>
              </w:rPr>
              <w:t xml:space="preserve">$0</w:t>
            </w:r>
          </w:p>
        </w:tc>
        <w:tc>
          <w:tcPr/>
          <w:p>
            <w:pPr>
              <w:pStyle w:val="TableText"/>
              <w:ind w:firstLine="0" w:left="0"/>
              <w:jc w:val="right"/>
            </w:pPr>
            <w:r>
              <w:rPr>
                <w:rFonts w:ascii="Times New Roman" w:hAnsi="Times New Roman" w:cs="Times New Roman" w:eastAsia="Times New Roman"/>
                <w:sz w:val="20"/>
                <w:szCs w:val="20"/>
              </w:rPr>
              <w:t xml:space="preserve">$49.601,03</w:t>
            </w:r>
          </w:p>
        </w:tc>
      </w:tr>
      <w:tr>
        <w:tc>
          <w:tcPr/>
          <w:p>
            <w:pPr>
              <w:pStyle w:val="TableText"/>
              <w:ind w:firstLine="0" w:left="0"/>
              <w:jc w:val="left"/>
            </w:pPr>
            <w:r>
              <w:rPr>
                <w:rFonts w:ascii="Times New Roman" w:hAnsi="Times New Roman" w:cs="Times New Roman" w:eastAsia="Times New Roman"/>
                <w:b/>
                <w:bCs/>
                <w:sz w:val="20"/>
                <w:szCs w:val="20"/>
              </w:rPr>
              <w:t xml:space="preserve">Total</w:t>
            </w:r>
          </w:p>
        </w:tc>
        <w:tc>
          <w:tcPr/>
          <w:p>
            <w:pPr>
              <w:pStyle w:val="TableText"/>
              <w:ind w:firstLine="0" w:left="0"/>
              <w:jc w:val="left"/>
            </w:pPr>
          </w:p>
        </w:tc>
        <w:tc>
          <w:tcPr/>
          <w:p>
            <w:pPr>
              <w:pStyle w:val="TableText"/>
              <w:ind w:firstLine="0" w:left="0"/>
              <w:jc w:val="right"/>
            </w:pPr>
            <w:r>
              <w:rPr>
                <w:rFonts w:ascii="Times New Roman" w:hAnsi="Times New Roman" w:cs="Times New Roman" w:eastAsia="Times New Roman"/>
                <w:b/>
                <w:bCs/>
                <w:sz w:val="20"/>
                <w:szCs w:val="20"/>
              </w:rPr>
              <w:t xml:space="preserve">$0</w:t>
            </w:r>
          </w:p>
        </w:tc>
        <w:tc>
          <w:tcPr/>
          <w:p>
            <w:pPr>
              <w:pStyle w:val="TableText"/>
              <w:ind w:firstLine="0" w:left="0"/>
              <w:jc w:val="right"/>
            </w:pPr>
            <w:r>
              <w:rPr>
                <w:rFonts w:ascii="Times New Roman" w:hAnsi="Times New Roman" w:cs="Times New Roman" w:eastAsia="Times New Roman"/>
                <w:b/>
                <w:bCs/>
                <w:sz w:val="20"/>
                <w:szCs w:val="20"/>
              </w:rPr>
              <w:t xml:space="preserve">$0</w:t>
            </w:r>
          </w:p>
        </w:tc>
        <w:tc>
          <w:tcPr/>
          <w:p>
            <w:pPr>
              <w:pStyle w:val="TableText"/>
              <w:ind w:firstLine="0" w:left="0"/>
              <w:jc w:val="right"/>
            </w:pPr>
            <w:r>
              <w:rPr>
                <w:rFonts w:ascii="Times New Roman" w:hAnsi="Times New Roman" w:cs="Times New Roman" w:eastAsia="Times New Roman"/>
                <w:b/>
                <w:bCs/>
                <w:sz w:val="20"/>
                <w:szCs w:val="20"/>
              </w:rPr>
              <w:t xml:space="preserve">$0</w:t>
            </w:r>
          </w:p>
        </w:tc>
        <w:tc>
          <w:tcPr/>
          <w:p>
            <w:pPr>
              <w:pStyle w:val="TableText"/>
              <w:ind w:firstLine="0" w:left="0"/>
              <w:jc w:val="right"/>
            </w:pPr>
            <w:r>
              <w:rPr>
                <w:rFonts w:ascii="Times New Roman" w:hAnsi="Times New Roman" w:cs="Times New Roman" w:eastAsia="Times New Roman"/>
                <w:b/>
                <w:bCs/>
                <w:sz w:val="20"/>
                <w:szCs w:val="20"/>
              </w:rPr>
              <w:t xml:space="preserve">$380.274,58</w:t>
            </w:r>
          </w:p>
        </w:tc>
        <w:tc>
          <w:tcPr/>
          <w:p>
            <w:pPr>
              <w:pStyle w:val="TableText"/>
              <w:ind w:firstLine="0" w:left="0"/>
              <w:jc w:val="right"/>
            </w:pPr>
            <w:r>
              <w:rPr>
                <w:rFonts w:ascii="Times New Roman" w:hAnsi="Times New Roman" w:cs="Times New Roman" w:eastAsia="Times New Roman"/>
                <w:b/>
                <w:bCs/>
                <w:sz w:val="20"/>
                <w:szCs w:val="20"/>
              </w:rPr>
              <w:t xml:space="preserve">$0</w:t>
            </w:r>
          </w:p>
        </w:tc>
        <w:tc>
          <w:tcPr/>
          <w:p>
            <w:pPr>
              <w:pStyle w:val="TableText"/>
              <w:ind w:firstLine="0" w:left="0"/>
              <w:jc w:val="right"/>
            </w:pPr>
            <w:r>
              <w:rPr>
                <w:rFonts w:ascii="Times New Roman" w:hAnsi="Times New Roman" w:cs="Times New Roman" w:eastAsia="Times New Roman"/>
                <w:b/>
                <w:bCs/>
                <w:sz w:val="20"/>
                <w:szCs w:val="20"/>
              </w:rPr>
              <w:t xml:space="preserve">$0</w:t>
            </w:r>
          </w:p>
        </w:tc>
        <w:tc>
          <w:tcPr/>
          <w:p>
            <w:pPr>
              <w:pStyle w:val="TableText"/>
              <w:ind w:firstLine="0" w:left="0"/>
              <w:jc w:val="right"/>
            </w:pPr>
            <w:r>
              <w:rPr>
                <w:rFonts w:ascii="Times New Roman" w:hAnsi="Times New Roman" w:cs="Times New Roman" w:eastAsia="Times New Roman"/>
                <w:b/>
                <w:bCs/>
                <w:sz w:val="20"/>
                <w:szCs w:val="20"/>
              </w:rPr>
              <w:t xml:space="preserve">$380.274,58</w:t>
            </w:r>
          </w:p>
        </w:tc>
      </w:tr>
    </w:tbl>
    <w:p>
      <w:pPr>
        <w:pStyle w:val="TableNote"/>
        <w:ind w:firstLine="0" w:left="0"/>
        <w:jc w:val="both"/>
      </w:pPr>
      <w:r>
        <w:rPr>
          <w:rFonts w:ascii="Times New Roman" w:hAnsi="Times New Roman" w:cs="Times New Roman" w:eastAsia="Times New Roman"/>
          <w:i/>
          <w:iCs/>
          <w:sz w:val="20"/>
          <w:szCs w:val="20"/>
        </w:rPr>
        <w:t xml:space="preserve">Nota.</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Elaboración conforme al formato oficial de la Guía General para la Presentación de Programas y Proyectos de Inversión Pública (Planifica Ecuador, 2021).</w:t>
      </w:r>
    </w:p>
    <w:p>
      <w:pPr>
        <w:sectPr>
          <w:pgSz w:w="15840" w:h="12240" w:orient="landscape"/>
          <w:pgMar w:top="1440" w:bottom="1440" w:left="1440" w:right="1440"/>
        </w:sectPr>
      </w:pPr>
    </w:p>
    <w:p>
      <w:pPr>
        <w:pStyle w:val="BodyText"/>
      </w:pPr>
      <w:r>
        <w:rPr>
          <w:rFonts w:ascii="Times New Roman" w:hAnsi="Times New Roman" w:cs="Times New Roman" w:eastAsia="Times New Roman"/>
        </w:rPr>
        <w:t xml:space="preserve">La viabilidad financiera del proyecto se estructura mediante concurrencia interinstitucional al amparo del Código Orgánico de Organización Territorial, Autonomía y Descentralización (COOTAD), estableciendo los compromisos de aporte de cada entidad (</w:t>
      </w:r>
      <w:hyperlink w:anchor="tbl-fuentes-puente">
        <w:r>
          <w:rPr>
            <w:rStyle w:val="Hyperlink"/>
          </w:rPr>
          <w:t xml:space="preserve">Tabla 19</w:t>
        </w:r>
      </w:hyperlink>
      <w:r>
        <w:rPr>
          <w:rFonts w:ascii="Times New Roman" w:hAnsi="Times New Roman" w:cs="Times New Roman" w:eastAsia="Times New Roman"/>
        </w:rPr>
        <w:t xml:space="preserve">).</w:t>
      </w:r>
    </w:p>
    <w:p>
      <w:pPr>
        <w:pStyle w:val="TableNumber"/>
        <w:keepNext/>
        <w:ind w:firstLine="0" w:left="0"/>
        <w:jc w:val="left"/>
      </w:pPr>
      <w:r>
        <w:rPr>
          <w:rFonts w:ascii="Times New Roman" w:hAnsi="Times New Roman" w:cs="Times New Roman" w:eastAsia="Times New Roman"/>
          <w:b/>
          <w:bCs/>
          <w:sz w:val="20"/>
          <w:szCs w:val="20"/>
        </w:rPr>
        <w:t xml:space="preserve">Tabla 19</w:t>
      </w:r>
    </w:p>
    <w:p>
      <w:pPr>
        <w:pStyle w:val="TableCaption"/>
        <w:keepNext/>
        <w:ind w:firstLine="0" w:left="0"/>
        <w:jc w:val="left"/>
      </w:pPr>
      <w:r>
        <w:rPr>
          <w:rFonts w:ascii="Times New Roman" w:hAnsi="Times New Roman" w:cs="Times New Roman" w:eastAsia="Times New Roman"/>
          <w:i/>
          <w:iCs/>
          <w:sz w:val="20"/>
          <w:szCs w:val="20"/>
        </w:rPr>
        <w:t xml:space="preserve">Estructura de financiamiento concurrente interinstitucional</w:t>
      </w:r>
    </w:p>
    <w:tbl>
      <w:tblPr>
        <w:tblStyle w:val="Table"/>
        <w:tblLayout w:type="fixed"/>
        <w:tblLook w:firstRow="1" w:lastRow="0" w:firstColumn="0" w:lastColumn="0" w:noHBand="0" w:noVBand="0" w:val="0020"/>
        <w:tblInd w:w="0" w:type="dxa"/>
        <w:tblW w:w="5000" w:type="pct"/>
        <w:tblBorders>
          <w:top w:val="single" w:sz="8" w:space="0" w:color="000000"/>
          <w:bottom w:val="single" w:sz="8" w:space="0" w:color="000000"/>
          <w:left w:val="none" w:sz="0" w:space="0" w:color="000000"/>
          <w:right w:val="none" w:sz="0" w:space="0" w:color="000000"/>
          <w:insideH w:val="none" w:sz="0" w:space="0" w:color="000000"/>
          <w:insideV w:val="none" w:sz="0" w:space="0" w:color="000000"/>
        </w:tblBorders>
      </w:tblPr>
      <w:tblGrid>
        <w:gridCol w:w="1980"/>
        <w:gridCol w:w="1980"/>
        <w:gridCol w:w="1980"/>
        <w:gridCol w:w="1980"/>
      </w:tblGrid>
      <w:tr>
        <w:trPr>
          <w:tblHeader w:val="on"/>
        </w:trPr>
        <w:tc>
          <w:tcPr>
            <w:tcBorders>
              <w:top w:val="single" w:sz="8" w:space="0" w:color="000000"/>
              <w:bottom w:val="single" w:sz="6" w:space="0" w:color="000000"/>
            </w:tcBorders>
          </w:tcPr>
          <w:p>
            <w:pPr>
              <w:pStyle w:val="TableHeader"/>
              <w:keepNext/>
              <w:ind w:firstLine="0" w:left="0"/>
              <w:jc w:val="left"/>
            </w:pPr>
            <w:r>
              <w:rPr>
                <w:rFonts w:ascii="Times New Roman" w:hAnsi="Times New Roman" w:cs="Times New Roman" w:eastAsia="Times New Roman"/>
                <w:sz w:val="20"/>
                <w:szCs w:val="20"/>
              </w:rPr>
              <w:t xml:space="preserve">Institución Participante</w:t>
            </w:r>
          </w:p>
        </w:tc>
        <w:tc>
          <w:tcPr>
            <w:tcBorders>
              <w:top w:val="single" w:sz="8" w:space="0" w:color="000000"/>
              <w:bottom w:val="single" w:sz="6" w:space="0" w:color="000000"/>
            </w:tcBorders>
          </w:tcPr>
          <w:p>
            <w:pPr>
              <w:pStyle w:val="TableHeader"/>
              <w:keepNext/>
              <w:ind w:firstLine="0" w:left="0"/>
              <w:jc w:val="left"/>
            </w:pPr>
            <w:r>
              <w:rPr>
                <w:rFonts w:ascii="Times New Roman" w:hAnsi="Times New Roman" w:cs="Times New Roman" w:eastAsia="Times New Roman"/>
                <w:sz w:val="20"/>
                <w:szCs w:val="20"/>
              </w:rPr>
              <w:t xml:space="preserve">Mecanismo y Naturaleza del Aporte</w:t>
            </w:r>
          </w:p>
        </w:tc>
        <w:tc>
          <w:tcPr>
            <w:tcBorders>
              <w:top w:val="single" w:sz="8" w:space="0" w:color="000000"/>
              <w:bottom w:val="single" w:sz="6" w:space="0" w:color="000000"/>
            </w:tcBorders>
          </w:tcPr>
          <w:p>
            <w:pPr>
              <w:pStyle w:val="TableHeader"/>
              <w:keepNext/>
              <w:ind w:firstLine="0" w:left="0"/>
              <w:jc w:val="right"/>
            </w:pPr>
            <w:r>
              <w:rPr>
                <w:rFonts w:ascii="Times New Roman" w:hAnsi="Times New Roman" w:cs="Times New Roman" w:eastAsia="Times New Roman"/>
                <w:sz w:val="20"/>
                <w:szCs w:val="20"/>
              </w:rPr>
              <w:t xml:space="preserve">Monto (USD)</w:t>
            </w:r>
          </w:p>
        </w:tc>
        <w:tc>
          <w:tcPr>
            <w:tcBorders>
              <w:top w:val="single" w:sz="8" w:space="0" w:color="000000"/>
              <w:bottom w:val="single" w:sz="6" w:space="0" w:color="000000"/>
            </w:tcBorders>
          </w:tcPr>
          <w:p>
            <w:pPr>
              <w:pStyle w:val="TableHeader"/>
              <w:keepNext/>
              <w:ind w:firstLine="0" w:left="0"/>
              <w:jc w:val="right"/>
            </w:pPr>
            <w:r>
              <w:rPr>
                <w:rFonts w:ascii="Times New Roman" w:hAnsi="Times New Roman" w:cs="Times New Roman" w:eastAsia="Times New Roman"/>
                <w:sz w:val="20"/>
                <w:szCs w:val="20"/>
              </w:rPr>
              <w:t xml:space="preserve">Porcentaje (%)</w:t>
            </w:r>
          </w:p>
        </w:tc>
      </w:tr>
      <w:tr>
        <w:tc>
          <w:tcPr/>
          <w:p>
            <w:pPr>
              <w:pStyle w:val="TableText"/>
              <w:ind w:firstLine="0" w:left="0"/>
              <w:jc w:val="left"/>
            </w:pPr>
            <w:r>
              <w:rPr>
                <w:rFonts w:ascii="Times New Roman" w:hAnsi="Times New Roman" w:cs="Times New Roman" w:eastAsia="Times New Roman"/>
                <w:sz w:val="20"/>
                <w:szCs w:val="20"/>
              </w:rPr>
              <w:t xml:space="preserve">GAD Provincial de El Oro (Prefectura)</w:t>
            </w:r>
          </w:p>
        </w:tc>
        <w:tc>
          <w:tcPr/>
          <w:p>
            <w:pPr>
              <w:pStyle w:val="TableText"/>
              <w:ind w:firstLine="0" w:left="0"/>
              <w:jc w:val="left"/>
            </w:pPr>
            <w:r>
              <w:rPr>
                <w:rFonts w:ascii="Times New Roman" w:hAnsi="Times New Roman" w:cs="Times New Roman" w:eastAsia="Times New Roman"/>
                <w:sz w:val="20"/>
                <w:szCs w:val="20"/>
              </w:rPr>
              <w:t xml:space="preserve">Ejecución de obra civil, acero estructural A-588 e IVA</w:t>
            </w:r>
          </w:p>
        </w:tc>
        <w:tc>
          <w:tcPr/>
          <w:p>
            <w:pPr>
              <w:pStyle w:val="TableText"/>
              <w:ind w:firstLine="0" w:left="0"/>
              <w:jc w:val="right"/>
            </w:pPr>
            <w:r>
              <w:rPr>
                <w:rFonts w:ascii="Times New Roman" w:hAnsi="Times New Roman" w:cs="Times New Roman" w:eastAsia="Times New Roman"/>
                <w:sz w:val="20"/>
                <w:szCs w:val="20"/>
              </w:rPr>
              <w:t xml:space="preserve">$310.274,58</w:t>
            </w:r>
          </w:p>
        </w:tc>
        <w:tc>
          <w:tcPr/>
          <w:p>
            <w:pPr>
              <w:pStyle w:val="TableText"/>
              <w:ind w:firstLine="0" w:left="0"/>
              <w:jc w:val="right"/>
            </w:pPr>
            <w:r>
              <w:rPr>
                <w:rFonts w:ascii="Times New Roman" w:hAnsi="Times New Roman" w:cs="Times New Roman" w:eastAsia="Times New Roman"/>
                <w:sz w:val="20"/>
                <w:szCs w:val="20"/>
              </w:rPr>
              <w:t xml:space="preserve">81,59 %</w:t>
            </w:r>
          </w:p>
        </w:tc>
      </w:tr>
      <w:tr>
        <w:tc>
          <w:tcPr/>
          <w:p>
            <w:pPr>
              <w:pStyle w:val="TableText"/>
              <w:ind w:firstLine="0" w:left="0"/>
              <w:jc w:val="left"/>
            </w:pPr>
            <w:r>
              <w:rPr>
                <w:rFonts w:ascii="Times New Roman" w:hAnsi="Times New Roman" w:cs="Times New Roman" w:eastAsia="Times New Roman"/>
                <w:sz w:val="20"/>
                <w:szCs w:val="20"/>
              </w:rPr>
              <w:t xml:space="preserve">GAD Municipal del Cantón Santa Rosa</w:t>
            </w:r>
          </w:p>
        </w:tc>
        <w:tc>
          <w:tcPr/>
          <w:p>
            <w:pPr>
              <w:pStyle w:val="TableText"/>
              <w:ind w:firstLine="0" w:left="0"/>
              <w:jc w:val="left"/>
            </w:pPr>
            <w:r>
              <w:rPr>
                <w:rFonts w:ascii="Times New Roman" w:hAnsi="Times New Roman" w:cs="Times New Roman" w:eastAsia="Times New Roman"/>
                <w:sz w:val="20"/>
                <w:szCs w:val="20"/>
              </w:rPr>
              <w:t xml:space="preserve">Aporte concurrente en cimentaciones y terraplenes</w:t>
            </w:r>
          </w:p>
        </w:tc>
        <w:tc>
          <w:tcPr/>
          <w:p>
            <w:pPr>
              <w:pStyle w:val="TableText"/>
              <w:ind w:firstLine="0" w:left="0"/>
              <w:jc w:val="right"/>
            </w:pPr>
            <w:r>
              <w:rPr>
                <w:rFonts w:ascii="Times New Roman" w:hAnsi="Times New Roman" w:cs="Times New Roman" w:eastAsia="Times New Roman"/>
                <w:sz w:val="20"/>
                <w:szCs w:val="20"/>
              </w:rPr>
              <w:t xml:space="preserve">$45.000,00</w:t>
            </w:r>
          </w:p>
        </w:tc>
        <w:tc>
          <w:tcPr/>
          <w:p>
            <w:pPr>
              <w:pStyle w:val="TableText"/>
              <w:ind w:firstLine="0" w:left="0"/>
              <w:jc w:val="right"/>
            </w:pPr>
            <w:r>
              <w:rPr>
                <w:rFonts w:ascii="Times New Roman" w:hAnsi="Times New Roman" w:cs="Times New Roman" w:eastAsia="Times New Roman"/>
                <w:sz w:val="20"/>
                <w:szCs w:val="20"/>
              </w:rPr>
              <w:t xml:space="preserve">11,83 %</w:t>
            </w:r>
          </w:p>
        </w:tc>
      </w:tr>
      <w:tr>
        <w:tc>
          <w:tcPr/>
          <w:p>
            <w:pPr>
              <w:pStyle w:val="TableText"/>
              <w:ind w:firstLine="0" w:left="0"/>
              <w:jc w:val="left"/>
            </w:pPr>
            <w:r>
              <w:rPr>
                <w:rFonts w:ascii="Times New Roman" w:hAnsi="Times New Roman" w:cs="Times New Roman" w:eastAsia="Times New Roman"/>
                <w:sz w:val="20"/>
                <w:szCs w:val="20"/>
              </w:rPr>
              <w:t xml:space="preserve">GAD Parroquial Rural de Torata</w:t>
            </w:r>
          </w:p>
        </w:tc>
        <w:tc>
          <w:tcPr/>
          <w:p>
            <w:pPr>
              <w:pStyle w:val="TableText"/>
              <w:ind w:firstLine="0" w:left="0"/>
              <w:jc w:val="left"/>
            </w:pPr>
            <w:r>
              <w:rPr>
                <w:rFonts w:ascii="Times New Roman" w:hAnsi="Times New Roman" w:cs="Times New Roman" w:eastAsia="Times New Roman"/>
                <w:sz w:val="20"/>
                <w:szCs w:val="20"/>
              </w:rPr>
              <w:t xml:space="preserve">Contraparte local en obras preliminares y mitigación</w:t>
            </w:r>
          </w:p>
        </w:tc>
        <w:tc>
          <w:tcPr/>
          <w:p>
            <w:pPr>
              <w:pStyle w:val="TableText"/>
              <w:ind w:firstLine="0" w:left="0"/>
              <w:jc w:val="right"/>
            </w:pPr>
            <w:r>
              <w:rPr>
                <w:rFonts w:ascii="Times New Roman" w:hAnsi="Times New Roman" w:cs="Times New Roman" w:eastAsia="Times New Roman"/>
                <w:sz w:val="20"/>
                <w:szCs w:val="20"/>
              </w:rPr>
              <w:t xml:space="preserve">$25.000,00</w:t>
            </w:r>
          </w:p>
        </w:tc>
        <w:tc>
          <w:tcPr/>
          <w:p>
            <w:pPr>
              <w:pStyle w:val="TableText"/>
              <w:ind w:firstLine="0" w:left="0"/>
              <w:jc w:val="right"/>
            </w:pPr>
            <w:r>
              <w:rPr>
                <w:rFonts w:ascii="Times New Roman" w:hAnsi="Times New Roman" w:cs="Times New Roman" w:eastAsia="Times New Roman"/>
                <w:sz w:val="20"/>
                <w:szCs w:val="20"/>
              </w:rPr>
              <w:t xml:space="preserve">6,58 %</w:t>
            </w:r>
          </w:p>
        </w:tc>
      </w:tr>
      <w:tr>
        <w:tc>
          <w:tcPr/>
          <w:p>
            <w:pPr>
              <w:pStyle w:val="TableText"/>
              <w:ind w:firstLine="0" w:left="0"/>
              <w:jc w:val="left"/>
            </w:pPr>
            <w:r>
              <w:rPr>
                <w:rFonts w:ascii="Times New Roman" w:hAnsi="Times New Roman" w:cs="Times New Roman" w:eastAsia="Times New Roman"/>
                <w:b/>
                <w:bCs/>
                <w:sz w:val="20"/>
                <w:szCs w:val="20"/>
              </w:rPr>
              <w:t xml:space="preserve">TOTAL</w:t>
            </w:r>
          </w:p>
        </w:tc>
        <w:tc>
          <w:tcPr/>
          <w:p>
            <w:pPr>
              <w:pStyle w:val="TableText"/>
              <w:ind w:firstLine="0" w:left="0"/>
              <w:jc w:val="left"/>
            </w:pPr>
            <w:r>
              <w:rPr>
                <w:rFonts w:ascii="Times New Roman" w:hAnsi="Times New Roman" w:cs="Times New Roman" w:eastAsia="Times New Roman"/>
                <w:b/>
                <w:bCs/>
                <w:sz w:val="20"/>
                <w:szCs w:val="20"/>
              </w:rPr>
              <w:t xml:space="preserve">Fuentes de Financiamiento Comprometidas</w:t>
            </w:r>
          </w:p>
        </w:tc>
        <w:tc>
          <w:tcPr/>
          <w:p>
            <w:pPr>
              <w:pStyle w:val="TableText"/>
              <w:ind w:firstLine="0" w:left="0"/>
              <w:jc w:val="right"/>
            </w:pPr>
            <w:r>
              <w:rPr>
                <w:rFonts w:ascii="Times New Roman" w:hAnsi="Times New Roman" w:cs="Times New Roman" w:eastAsia="Times New Roman"/>
                <w:b/>
                <w:bCs/>
                <w:sz w:val="20"/>
                <w:szCs w:val="20"/>
              </w:rPr>
              <w:t xml:space="preserve">$380.274,58</w:t>
            </w:r>
          </w:p>
        </w:tc>
        <w:tc>
          <w:tcPr/>
          <w:p>
            <w:pPr>
              <w:pStyle w:val="TableText"/>
              <w:ind w:firstLine="0" w:left="0"/>
              <w:jc w:val="right"/>
            </w:pPr>
            <w:r>
              <w:rPr>
                <w:rFonts w:ascii="Times New Roman" w:hAnsi="Times New Roman" w:cs="Times New Roman" w:eastAsia="Times New Roman"/>
                <w:b/>
                <w:bCs/>
                <w:sz w:val="20"/>
                <w:szCs w:val="20"/>
              </w:rPr>
              <w:t xml:space="preserve">100,00 %</w:t>
            </w:r>
          </w:p>
        </w:tc>
      </w:tr>
    </w:tbl>
    <w:p>
      <w:pPr>
        <w:pStyle w:val="TableNote"/>
        <w:ind w:firstLine="0" w:left="0"/>
        <w:jc w:val="both"/>
      </w:pPr>
      <w:r>
        <w:rPr>
          <w:rFonts w:ascii="Times New Roman" w:hAnsi="Times New Roman" w:cs="Times New Roman" w:eastAsia="Times New Roman"/>
          <w:i/>
          <w:iCs/>
          <w:sz w:val="20"/>
          <w:szCs w:val="20"/>
        </w:rPr>
        <w:t xml:space="preserve">Nota.</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Convenio Específico de Cooperación Interinstitucional Prefectura - Municipio - GAD Parroquial Torata.</w:t>
      </w:r>
    </w:p>
    <w:bookmarkEnd w:id="109"/>
    <w:bookmarkStart w:id="118" w:name="estrategia-de-ejecución"/>
    <w:p>
      <w:pPr>
        <w:pStyle w:val="Heading1"/>
      </w:pPr>
      <w:r>
        <w:rPr>
          <w:rFonts w:ascii="Times New Roman" w:hAnsi="Times New Roman" w:cs="Times New Roman" w:eastAsia="Times New Roman"/>
          <w:b/>
          <w:bCs/>
        </w:rPr>
        <w:t xml:space="preserve">7. Estrategia de ejecución</w:t>
      </w:r>
    </w:p>
    <w:bookmarkStart w:id="110" w:name="estructura-operativa"/>
    <w:p>
      <w:pPr>
        <w:pStyle w:val="Heading2"/>
      </w:pPr>
      <w:r>
        <w:rPr>
          <w:rFonts w:ascii="Times New Roman" w:hAnsi="Times New Roman" w:cs="Times New Roman" w:eastAsia="Times New Roman"/>
          <w:b/>
          <w:bCs/>
        </w:rPr>
        <w:t xml:space="preserve">7.1 Estructura operativa</w:t>
      </w:r>
    </w:p>
    <w:p>
      <w:pPr>
        <w:pStyle w:val="FirstParagraph"/>
      </w:pPr>
      <w:r>
        <w:rPr>
          <w:rFonts w:ascii="Times New Roman" w:hAnsi="Times New Roman" w:cs="Times New Roman" w:eastAsia="Times New Roman"/>
        </w:rPr>
        <w:t xml:space="preserve">El proyecto se ejecuta bajo la rectoría y competencia exclusiva de vialidad rural del Gobierno Autónomo Descentralizado Provincial de El Oro, conforme al artículo 263, literal b) de la Constitución y artículo 42 del COOTAD</w:t>
      </w:r>
      <w:r>
        <w:rPr>
          <w:rFonts w:ascii="Times New Roman" w:hAnsi="Times New Roman" w:cs="Times New Roman" w:eastAsia="Times New Roman"/>
        </w:rPr>
        <w:t xml:space="preserve"> </w:t>
      </w:r>
      <w:r>
        <w:rPr>
          <w:rFonts w:ascii="Times New Roman" w:hAnsi="Times New Roman" w:cs="Times New Roman" w:eastAsia="Times New Roman"/>
        </w:rPr>
        <w:t xml:space="preserve">Asamblea Nacional del Ecuador (</w:t>
      </w:r>
      <w:hyperlink w:anchor="ref-cootad2010">
        <w:r>
          <w:rPr>
            <w:rStyle w:val="Hyperlink"/>
          </w:rPr>
          <w:t xml:space="preserve">2010a</w:t>
        </w:r>
      </w:hyperlink>
      <w:r>
        <w:rPr>
          <w:rFonts w:ascii="Times New Roman" w:hAnsi="Times New Roman" w:cs="Times New Roman" w:eastAsia="Times New Roman"/>
        </w:rPr>
        <w:t xml:space="preserve">)</w:t>
      </w:r>
      <w:r>
        <w:rPr>
          <w:rFonts w:ascii="Times New Roman" w:hAnsi="Times New Roman" w:cs="Times New Roman" w:eastAsia="Times New Roman"/>
        </w:rPr>
        <w:t xml:space="preserve">. Se adopta una estrategia de ejecución concurrente y articulada en un periodo de 120 días calendario (cuatro meses):</w:t>
      </w:r>
    </w:p>
    <w:p>
      <w:pPr>
        <w:pStyle w:val="Compact"/>
        <w:numPr>
          <w:ilvl w:val="0"/>
          <w:numId w:val="1016"/>
        </w:numPr>
      </w:pPr>
      <w:r>
        <w:rPr>
          <w:rFonts w:ascii="Times New Roman" w:hAnsi="Times New Roman" w:cs="Times New Roman" w:eastAsia="Times New Roman"/>
        </w:rPr>
        <w:t xml:space="preserve">GAD Provincial de El Oro (Entidad Financiera y Rectora de Obra Civil): Ejecución y fiscalización de la obra civil integral, montaje de la estructura metálica ASTM A-588 de 30 metros y obras de cimentación.</w:t>
      </w:r>
    </w:p>
    <w:p>
      <w:pPr>
        <w:pStyle w:val="Compact"/>
        <w:numPr>
          <w:ilvl w:val="0"/>
          <w:numId w:val="1016"/>
        </w:numPr>
      </w:pPr>
      <w:r>
        <w:rPr>
          <w:rFonts w:ascii="Times New Roman" w:hAnsi="Times New Roman" w:cs="Times New Roman" w:eastAsia="Times New Roman"/>
        </w:rPr>
        <w:t xml:space="preserve">GAD Municipal del Cantón Santa Rosa (Entidad Cooperante Técnica): Aporte concurrente en maquinaria pesada para terraplenes de acceso y obras de drenaje.</w:t>
      </w:r>
    </w:p>
    <w:p>
      <w:pPr>
        <w:pStyle w:val="Compact"/>
        <w:numPr>
          <w:ilvl w:val="0"/>
          <w:numId w:val="1016"/>
        </w:numPr>
      </w:pPr>
      <w:r>
        <w:rPr>
          <w:rFonts w:ascii="Times New Roman" w:hAnsi="Times New Roman" w:cs="Times New Roman" w:eastAsia="Times New Roman"/>
        </w:rPr>
        <w:t xml:space="preserve">GAD Parroquial Rural de Torata (Entidad Coordinadora Territorial): Gestión predial comunitaria, veeduría social y aporte en obras preliminares y mitigación.</w:t>
      </w:r>
    </w:p>
    <w:bookmarkEnd w:id="110"/>
    <w:bookmarkStart w:id="112" w:name="Xa9f8ad743325739ae973976c30eaba89bdf0852"/>
    <w:p>
      <w:pPr>
        <w:pStyle w:val="Heading2"/>
      </w:pPr>
      <w:r>
        <w:rPr>
          <w:rFonts w:ascii="Times New Roman" w:hAnsi="Times New Roman" w:cs="Times New Roman" w:eastAsia="Times New Roman"/>
          <w:b/>
          <w:bCs/>
        </w:rPr>
        <w:t xml:space="preserve">7.2 Arreglos institucionales y modalidad de ejecución</w:t>
      </w:r>
    </w:p>
    <w:p>
      <w:pPr>
        <w:pStyle w:val="FirstParagraph"/>
      </w:pPr>
      <w:r>
        <w:rPr>
          <w:rFonts w:ascii="Times New Roman" w:hAnsi="Times New Roman" w:cs="Times New Roman" w:eastAsia="Times New Roman"/>
        </w:rPr>
        <w:t xml:space="preserve">De existir acuerdos con instituciones públicas y/o privadas para la ejecución del proyecto, describir los mismos a continuación.</w:t>
      </w:r>
    </w:p>
    <w:p>
      <w:pPr>
        <w:pStyle w:val="BodyText"/>
      </w:pPr>
      <w:r>
        <w:rPr>
          <w:rFonts w:ascii="Times New Roman" w:hAnsi="Times New Roman" w:cs="Times New Roman" w:eastAsia="Times New Roman"/>
        </w:rPr>
        <w:t xml:space="preserve">La</w:t>
      </w:r>
      <w:r>
        <w:rPr>
          <w:rFonts w:ascii="Times New Roman" w:hAnsi="Times New Roman" w:cs="Times New Roman" w:eastAsia="Times New Roman"/>
        </w:rPr>
        <w:t xml:space="preserve"> </w:t>
      </w:r>
      <w:hyperlink w:anchor="tbl-arreglos-institucionales-oficial">
        <w:r>
          <w:rPr>
            <w:rStyle w:val="Hyperlink"/>
          </w:rPr>
          <w:t xml:space="preserve">Tabla 20</w:t>
        </w:r>
      </w:hyperlink>
      <w:r>
        <w:rPr>
          <w:rFonts w:ascii="Times New Roman" w:hAnsi="Times New Roman" w:cs="Times New Roman" w:eastAsia="Times New Roman"/>
        </w:rPr>
        <w:t xml:space="preserve"> </w:t>
      </w:r>
      <w:r>
        <w:rPr>
          <w:rFonts w:ascii="Times New Roman" w:hAnsi="Times New Roman" w:cs="Times New Roman" w:eastAsia="Times New Roman"/>
        </w:rPr>
        <w:t xml:space="preserve">resume los arreglos institucionales y la modalidad de ejecución formalizada.</w:t>
      </w:r>
    </w:p>
    <w:p>
      <w:pPr>
        <w:pStyle w:val="TableNumber"/>
        <w:keepNext/>
        <w:ind w:firstLine="0" w:left="0"/>
        <w:jc w:val="left"/>
      </w:pPr>
      <w:r>
        <w:rPr>
          <w:rFonts w:ascii="Times New Roman" w:hAnsi="Times New Roman" w:cs="Times New Roman" w:eastAsia="Times New Roman"/>
          <w:b/>
          <w:bCs/>
          <w:sz w:val="20"/>
          <w:szCs w:val="20"/>
        </w:rPr>
        <w:t xml:space="preserve">Tabla 20</w:t>
      </w:r>
    </w:p>
    <w:p>
      <w:pPr>
        <w:pStyle w:val="TableCaption"/>
        <w:keepNext/>
        <w:ind w:firstLine="0" w:left="0"/>
        <w:jc w:val="left"/>
      </w:pPr>
      <w:r>
        <w:rPr>
          <w:rFonts w:ascii="Times New Roman" w:hAnsi="Times New Roman" w:cs="Times New Roman" w:eastAsia="Times New Roman"/>
          <w:i/>
          <w:iCs/>
          <w:sz w:val="20"/>
          <w:szCs w:val="20"/>
        </w:rPr>
        <w:t xml:space="preserve">Arreglos institucionales y modalidad de ejecución</w:t>
      </w:r>
    </w:p>
    <w:tbl>
      <w:tblPr>
        <w:tblStyle w:val="Table"/>
        <w:tblLayout w:type="fixed"/>
        <w:tblLook w:firstRow="1" w:lastRow="0" w:firstColumn="0" w:lastColumn="0" w:noHBand="0" w:noVBand="0" w:val="0020"/>
        <w:tblInd w:w="0" w:type="dxa"/>
        <w:tblW w:w="5000" w:type="pct"/>
        <w:tblBorders>
          <w:top w:val="single" w:sz="8" w:space="0" w:color="000000"/>
          <w:bottom w:val="single" w:sz="8" w:space="0" w:color="000000"/>
          <w:left w:val="none" w:sz="0" w:space="0" w:color="000000"/>
          <w:right w:val="none" w:sz="0" w:space="0" w:color="000000"/>
          <w:insideH w:val="none" w:sz="0" w:space="0" w:color="000000"/>
          <w:insideV w:val="none" w:sz="0" w:space="0" w:color="000000"/>
        </w:tblBorders>
      </w:tblPr>
      <w:tblGrid>
        <w:gridCol w:w="2640"/>
        <w:gridCol w:w="2640"/>
        <w:gridCol w:w="2640"/>
      </w:tblGrid>
      <w:tr>
        <w:trPr>
          <w:tblHeader w:val="on"/>
        </w:trPr>
        <w:tc>
          <w:tcPr>
            <w:tcBorders>
              <w:top w:val="single" w:sz="8" w:space="0" w:color="000000"/>
              <w:bottom w:val="single" w:sz="6" w:space="0" w:color="000000"/>
            </w:tcBorders>
          </w:tcPr>
          <w:p>
            <w:pPr>
              <w:pStyle w:val="TableHeader"/>
              <w:keepNext/>
              <w:ind w:firstLine="0" w:left="0"/>
              <w:jc w:val="left"/>
            </w:pPr>
            <w:r>
              <w:rPr>
                <w:rFonts w:ascii="Times New Roman" w:hAnsi="Times New Roman" w:cs="Times New Roman" w:eastAsia="Times New Roman"/>
                <w:sz w:val="20"/>
                <w:szCs w:val="20"/>
              </w:rPr>
              <w:t xml:space="preserve">Directa (D) o Indirecta (I)*</w:t>
            </w:r>
          </w:p>
        </w:tc>
        <w:tc>
          <w:tcPr>
            <w:tcBorders>
              <w:top w:val="single" w:sz="8" w:space="0" w:color="000000"/>
              <w:bottom w:val="single" w:sz="6" w:space="0" w:color="000000"/>
            </w:tcBorders>
          </w:tcPr>
          <w:p>
            <w:pPr>
              <w:pStyle w:val="TableHeader"/>
              <w:keepNext/>
              <w:ind w:firstLine="0" w:left="0"/>
              <w:jc w:val="left"/>
            </w:pPr>
            <w:r>
              <w:rPr>
                <w:rFonts w:ascii="Times New Roman" w:hAnsi="Times New Roman" w:cs="Times New Roman" w:eastAsia="Times New Roman"/>
                <w:sz w:val="20"/>
                <w:szCs w:val="20"/>
              </w:rPr>
              <w:t xml:space="preserve">Tipo de arreglo**</w:t>
            </w:r>
          </w:p>
        </w:tc>
        <w:tc>
          <w:tcPr>
            <w:tcBorders>
              <w:top w:val="single" w:sz="8" w:space="0" w:color="000000"/>
              <w:bottom w:val="single" w:sz="6" w:space="0" w:color="000000"/>
            </w:tcBorders>
          </w:tcPr>
          <w:p>
            <w:pPr>
              <w:pStyle w:val="TableHeader"/>
              <w:keepNext/>
              <w:ind w:firstLine="0" w:left="0"/>
              <w:jc w:val="left"/>
            </w:pPr>
            <w:r>
              <w:rPr>
                <w:rFonts w:ascii="Times New Roman" w:hAnsi="Times New Roman" w:cs="Times New Roman" w:eastAsia="Times New Roman"/>
                <w:sz w:val="20"/>
                <w:szCs w:val="20"/>
              </w:rPr>
              <w:t xml:space="preserve">Instituciones Involucradas</w:t>
            </w:r>
          </w:p>
        </w:tc>
      </w:tr>
      <w:tr>
        <w:tc>
          <w:tcPr/>
          <w:p>
            <w:pPr>
              <w:pStyle w:val="TableText"/>
              <w:ind w:firstLine="0" w:left="0"/>
              <w:jc w:val="left"/>
            </w:pPr>
            <w:r>
              <w:rPr>
                <w:rFonts w:ascii="Times New Roman" w:hAnsi="Times New Roman" w:cs="Times New Roman" w:eastAsia="Times New Roman"/>
                <w:sz w:val="20"/>
                <w:szCs w:val="20"/>
              </w:rPr>
              <w:t xml:space="preserve">Directa (D)</w:t>
            </w:r>
          </w:p>
        </w:tc>
        <w:tc>
          <w:tcPr/>
          <w:p>
            <w:pPr>
              <w:pStyle w:val="TableText"/>
              <w:ind w:firstLine="0" w:left="0"/>
              <w:jc w:val="left"/>
            </w:pPr>
            <w:r>
              <w:rPr>
                <w:rFonts w:ascii="Times New Roman" w:hAnsi="Times New Roman" w:cs="Times New Roman" w:eastAsia="Times New Roman"/>
                <w:sz w:val="20"/>
                <w:szCs w:val="20"/>
              </w:rPr>
              <w:t xml:space="preserve">Competencia Exclusiva y Fiscalización</w:t>
            </w:r>
          </w:p>
        </w:tc>
        <w:tc>
          <w:tcPr/>
          <w:p>
            <w:pPr>
              <w:pStyle w:val="TableText"/>
              <w:ind w:firstLine="0" w:left="0"/>
              <w:jc w:val="left"/>
            </w:pPr>
            <w:r>
              <w:rPr>
                <w:rFonts w:ascii="Times New Roman" w:hAnsi="Times New Roman" w:cs="Times New Roman" w:eastAsia="Times New Roman"/>
                <w:sz w:val="20"/>
                <w:szCs w:val="20"/>
              </w:rPr>
              <w:t xml:space="preserve">GAD Provincial de El Oro</w:t>
            </w:r>
          </w:p>
        </w:tc>
      </w:tr>
      <w:tr>
        <w:tc>
          <w:tcPr/>
          <w:p>
            <w:pPr>
              <w:pStyle w:val="TableText"/>
              <w:ind w:firstLine="0" w:left="0"/>
              <w:jc w:val="left"/>
            </w:pPr>
            <w:r>
              <w:rPr>
                <w:rFonts w:ascii="Times New Roman" w:hAnsi="Times New Roman" w:cs="Times New Roman" w:eastAsia="Times New Roman"/>
                <w:sz w:val="20"/>
                <w:szCs w:val="20"/>
              </w:rPr>
              <w:t xml:space="preserve">Indirecta (I)</w:t>
            </w:r>
          </w:p>
        </w:tc>
        <w:tc>
          <w:tcPr/>
          <w:p>
            <w:pPr>
              <w:pStyle w:val="TableText"/>
              <w:ind w:firstLine="0" w:left="0"/>
              <w:jc w:val="left"/>
            </w:pPr>
            <w:r>
              <w:rPr>
                <w:rFonts w:ascii="Times New Roman" w:hAnsi="Times New Roman" w:cs="Times New Roman" w:eastAsia="Times New Roman"/>
                <w:sz w:val="20"/>
                <w:szCs w:val="20"/>
              </w:rPr>
              <w:t xml:space="preserve">Convenio de Concurrencia (Art. 55 COOTAD)</w:t>
            </w:r>
          </w:p>
        </w:tc>
        <w:tc>
          <w:tcPr/>
          <w:p>
            <w:pPr>
              <w:pStyle w:val="TableText"/>
              <w:ind w:firstLine="0" w:left="0"/>
              <w:jc w:val="left"/>
            </w:pPr>
            <w:r>
              <w:rPr>
                <w:rFonts w:ascii="Times New Roman" w:hAnsi="Times New Roman" w:cs="Times New Roman" w:eastAsia="Times New Roman"/>
                <w:sz w:val="20"/>
                <w:szCs w:val="20"/>
              </w:rPr>
              <w:t xml:space="preserve">GAD Municipal de Santa Rosa</w:t>
            </w:r>
          </w:p>
        </w:tc>
      </w:tr>
      <w:tr>
        <w:tc>
          <w:tcPr/>
          <w:p>
            <w:pPr>
              <w:pStyle w:val="TableText"/>
              <w:ind w:firstLine="0" w:left="0"/>
              <w:jc w:val="left"/>
            </w:pPr>
            <w:r>
              <w:rPr>
                <w:rFonts w:ascii="Times New Roman" w:hAnsi="Times New Roman" w:cs="Times New Roman" w:eastAsia="Times New Roman"/>
                <w:sz w:val="20"/>
                <w:szCs w:val="20"/>
              </w:rPr>
              <w:t xml:space="preserve">Indirecta (I)</w:t>
            </w:r>
          </w:p>
        </w:tc>
        <w:tc>
          <w:tcPr/>
          <w:p>
            <w:pPr>
              <w:pStyle w:val="TableText"/>
              <w:ind w:firstLine="0" w:left="0"/>
              <w:jc w:val="left"/>
            </w:pPr>
            <w:r>
              <w:rPr>
                <w:rFonts w:ascii="Times New Roman" w:hAnsi="Times New Roman" w:cs="Times New Roman" w:eastAsia="Times New Roman"/>
                <w:sz w:val="20"/>
                <w:szCs w:val="20"/>
              </w:rPr>
              <w:t xml:space="preserve">Convenio de Cooperación (Art. 65 COOTAD)</w:t>
            </w:r>
          </w:p>
        </w:tc>
        <w:tc>
          <w:tcPr/>
          <w:p>
            <w:pPr>
              <w:pStyle w:val="TableText"/>
              <w:ind w:firstLine="0" w:left="0"/>
              <w:jc w:val="left"/>
            </w:pPr>
            <w:r>
              <w:rPr>
                <w:rFonts w:ascii="Times New Roman" w:hAnsi="Times New Roman" w:cs="Times New Roman" w:eastAsia="Times New Roman"/>
                <w:sz w:val="20"/>
                <w:szCs w:val="20"/>
              </w:rPr>
              <w:t xml:space="preserve">GAD Parroquial Rural de Torata</w:t>
            </w:r>
          </w:p>
        </w:tc>
      </w:tr>
      <w:tr>
        <w:tc>
          <w:tcPr/>
          <w:p>
            <w:pPr>
              <w:pStyle w:val="TableText"/>
              <w:ind w:firstLine="0" w:left="0"/>
              <w:jc w:val="left"/>
            </w:pPr>
            <w:r>
              <w:rPr>
                <w:rFonts w:ascii="Times New Roman" w:hAnsi="Times New Roman" w:cs="Times New Roman" w:eastAsia="Times New Roman"/>
                <w:sz w:val="20"/>
                <w:szCs w:val="20"/>
              </w:rPr>
              <w:t xml:space="preserve">Directa (D)</w:t>
            </w:r>
          </w:p>
        </w:tc>
        <w:tc>
          <w:tcPr/>
          <w:p>
            <w:pPr>
              <w:pStyle w:val="TableText"/>
              <w:ind w:firstLine="0" w:left="0"/>
              <w:jc w:val="left"/>
            </w:pPr>
            <w:r>
              <w:rPr>
                <w:rFonts w:ascii="Times New Roman" w:hAnsi="Times New Roman" w:cs="Times New Roman" w:eastAsia="Times New Roman"/>
                <w:sz w:val="20"/>
                <w:szCs w:val="20"/>
              </w:rPr>
              <w:t xml:space="preserve">Contratación Pública Obras Civiles (LOSNCP)</w:t>
            </w:r>
          </w:p>
        </w:tc>
        <w:tc>
          <w:tcPr/>
          <w:p>
            <w:pPr>
              <w:pStyle w:val="TableText"/>
              <w:ind w:firstLine="0" w:left="0"/>
              <w:jc w:val="left"/>
            </w:pPr>
            <w:r>
              <w:rPr>
                <w:rFonts w:ascii="Times New Roman" w:hAnsi="Times New Roman" w:cs="Times New Roman" w:eastAsia="Times New Roman"/>
                <w:sz w:val="20"/>
                <w:szCs w:val="20"/>
              </w:rPr>
              <w:t xml:space="preserve">Empresa Contratista / SERCOP</w:t>
            </w:r>
          </w:p>
        </w:tc>
      </w:tr>
    </w:tbl>
    <w:p>
      <w:pPr>
        <w:pStyle w:val="TableNote"/>
        <w:ind w:firstLine="0" w:left="0"/>
        <w:jc w:val="both"/>
      </w:pPr>
      <w:r>
        <w:rPr>
          <w:rFonts w:ascii="Times New Roman" w:hAnsi="Times New Roman" w:cs="Times New Roman" w:eastAsia="Times New Roman"/>
          <w:i/>
          <w:iCs/>
          <w:sz w:val="20"/>
          <w:szCs w:val="20"/>
        </w:rPr>
        <w:t xml:space="preserve">Nota.</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 Ejecución Directa: La institución que presenta el proyecto lo ejecuta; sin la intervención de otra institución, aunque exista un convenio. * Ejecución Indirecta: Existe un convenio con otra institución para la ejecución. ** Convenio, contrato u otra forma de arreglo con otra entidad para la ejecución del componente.</w:t>
      </w:r>
    </w:p>
    <w:p>
      <w:pPr>
        <w:pStyle w:val="BodyText"/>
      </w:pPr>
      <w:r>
        <w:rPr>
          <w:rFonts w:ascii="Times New Roman" w:hAnsi="Times New Roman" w:cs="Times New Roman" w:eastAsia="Times New Roman"/>
        </w:rPr>
        <w:t xml:space="preserve">Adicionalmente, se establecen estrategias para la coordinación interinstitucional orientadas a formar alianzas que favorezcan la ejecución, garantizando el cumplimiento estricto del cronograma de obra y la correcta liquidación de transferencias concurrentes.</w:t>
      </w:r>
    </w:p>
    <w:bookmarkEnd w:id="112"/>
    <w:bookmarkStart w:id="114" w:name="Xc3f1f35fc91513c55654c3410fff324edc3ae42"/>
    <w:p>
      <w:pPr>
        <w:pStyle w:val="Heading2"/>
      </w:pPr>
      <w:r>
        <w:rPr>
          <w:rFonts w:ascii="Times New Roman" w:hAnsi="Times New Roman" w:cs="Times New Roman" w:eastAsia="Times New Roman"/>
          <w:b/>
          <w:bCs/>
        </w:rPr>
        <w:t xml:space="preserve">7.3 Cronograma valorado por componentes y actividades</w:t>
      </w:r>
    </w:p>
    <w:p>
      <w:pPr>
        <w:pStyle w:val="FirstParagraph"/>
      </w:pPr>
      <w:r>
        <w:rPr>
          <w:rFonts w:ascii="Times New Roman" w:hAnsi="Times New Roman" w:cs="Times New Roman" w:eastAsia="Times New Roman"/>
        </w:rPr>
        <w:t xml:space="preserve">Se establecerá la valoración de cada acción a ser ejecutada por el proyecto de forma cronológica. Los proyectos con plazo de ejecución mayor a un año, deben presentar el cronograma valorado a nivel de grupo de gasto, mensualmente para el primer año y anualmente para los años siguientes, según el catálogo presupuestario del Ministerio de Economía y Finanzas.</w:t>
      </w:r>
    </w:p>
    <w:p>
      <w:pPr>
        <w:pStyle w:val="BodyText"/>
      </w:pPr>
      <w:r>
        <w:rPr>
          <w:rFonts w:ascii="Times New Roman" w:hAnsi="Times New Roman" w:cs="Times New Roman" w:eastAsia="Times New Roman"/>
        </w:rPr>
        <w:t xml:space="preserve">La</w:t>
      </w:r>
      <w:r>
        <w:rPr>
          <w:rFonts w:ascii="Times New Roman" w:hAnsi="Times New Roman" w:cs="Times New Roman" w:eastAsia="Times New Roman"/>
        </w:rPr>
        <w:t xml:space="preserve"> </w:t>
      </w:r>
      <w:hyperlink w:anchor="tbl-cronograma-valorado-oficial">
        <w:r>
          <w:rPr>
            <w:rStyle w:val="Hyperlink"/>
          </w:rPr>
          <w:t xml:space="preserve">Tabla 21</w:t>
        </w:r>
      </w:hyperlink>
      <w:r>
        <w:rPr>
          <w:rFonts w:ascii="Times New Roman" w:hAnsi="Times New Roman" w:cs="Times New Roman" w:eastAsia="Times New Roman"/>
        </w:rPr>
        <w:t xml:space="preserve"> </w:t>
      </w:r>
      <w:r>
        <w:rPr>
          <w:rFonts w:ascii="Times New Roman" w:hAnsi="Times New Roman" w:cs="Times New Roman" w:eastAsia="Times New Roman"/>
        </w:rPr>
        <w:t xml:space="preserve">presenta el cronograma valorado por componente y fuente de financiamiento para el periodo de ejecución de la obra.</w:t>
      </w:r>
    </w:p>
    <w:p>
      <w:pPr>
        <w:pStyle w:val="TableNumber"/>
        <w:keepNext/>
        <w:ind w:firstLine="0" w:left="0"/>
        <w:jc w:val="left"/>
      </w:pPr>
      <w:r>
        <w:rPr>
          <w:rFonts w:ascii="Times New Roman" w:hAnsi="Times New Roman" w:cs="Times New Roman" w:eastAsia="Times New Roman"/>
          <w:b/>
          <w:bCs/>
          <w:sz w:val="20"/>
          <w:szCs w:val="20"/>
        </w:rPr>
        <w:t xml:space="preserve">Tabla 21</w:t>
      </w:r>
    </w:p>
    <w:p>
      <w:pPr>
        <w:pStyle w:val="TableCaption"/>
        <w:keepNext/>
        <w:ind w:firstLine="0" w:left="0"/>
        <w:jc w:val="left"/>
      </w:pPr>
      <w:r>
        <w:rPr>
          <w:rFonts w:ascii="Times New Roman" w:hAnsi="Times New Roman" w:cs="Times New Roman" w:eastAsia="Times New Roman"/>
          <w:i/>
          <w:iCs/>
          <w:sz w:val="20"/>
          <w:szCs w:val="20"/>
        </w:rPr>
        <w:t xml:space="preserve">Cronograma valorado por componente y fuente de financiamiento (en dólares)</w:t>
      </w:r>
    </w:p>
    <w:p>
      <w:pPr>
        <w:sectPr>
          <w:pgSz w:w="12240" w:h="15840" w:orient="portrait"/>
          <w:pgMar w:top="1440" w:bottom="1440" w:left="1440" w:right="1440"/>
        </w:sectPr>
      </w:pPr>
    </w:p>
    <w:tbl>
      <w:tblPr>
        <w:tblStyle w:val="Table"/>
        <w:tblLayout w:type="fixed"/>
        <w:tblLook w:firstRow="1" w:lastRow="0" w:firstColumn="0" w:lastColumn="0" w:noHBand="0" w:noVBand="0" w:val="0020"/>
        <w:tblInd w:w="0" w:type="dxa"/>
        <w:tblW w:w="5000" w:type="pct"/>
        <w:tblBorders>
          <w:top w:val="single" w:sz="8" w:space="0" w:color="000000"/>
          <w:bottom w:val="single" w:sz="8" w:space="0" w:color="000000"/>
          <w:left w:val="none" w:sz="0" w:space="0" w:color="000000"/>
          <w:right w:val="none" w:sz="0" w:space="0" w:color="000000"/>
          <w:insideH w:val="none" w:sz="0" w:space="0" w:color="000000"/>
          <w:insideV w:val="none" w:sz="0" w:space="0" w:color="000000"/>
        </w:tblBorders>
      </w:tblPr>
      <w:tblGrid>
        <w:gridCol w:w="1320"/>
        <w:gridCol w:w="1320"/>
        <w:gridCol w:w="1320"/>
        <w:gridCol w:w="1320"/>
        <w:gridCol w:w="1320"/>
        <w:gridCol w:w="1320"/>
      </w:tblGrid>
      <w:tr>
        <w:trPr>
          <w:tblHeader w:val="on"/>
        </w:trPr>
        <w:tc>
          <w:tcPr>
            <w:tcBorders>
              <w:top w:val="single" w:sz="8" w:space="0" w:color="000000"/>
              <w:bottom w:val="single" w:sz="6" w:space="0" w:color="000000"/>
            </w:tcBorders>
          </w:tcPr>
          <w:p>
            <w:pPr>
              <w:pStyle w:val="TableHeader"/>
              <w:keepNext/>
              <w:ind w:firstLine="0" w:left="0"/>
              <w:jc w:val="left"/>
            </w:pPr>
            <w:r>
              <w:rPr>
                <w:rFonts w:ascii="Times New Roman" w:hAnsi="Times New Roman" w:cs="Times New Roman" w:eastAsia="Times New Roman"/>
                <w:sz w:val="20"/>
                <w:szCs w:val="20"/>
              </w:rPr>
              <w:t xml:space="preserve">Componentes / Rubros</w:t>
            </w:r>
          </w:p>
        </w:tc>
        <w:tc>
          <w:tcPr>
            <w:tcBorders>
              <w:top w:val="single" w:sz="8" w:space="0" w:color="000000"/>
              <w:bottom w:val="single" w:sz="6" w:space="0" w:color="000000"/>
            </w:tcBorders>
          </w:tcPr>
          <w:p>
            <w:pPr>
              <w:pStyle w:val="TableHeader"/>
              <w:keepNext/>
              <w:ind w:firstLine="0" w:left="0"/>
              <w:jc w:val="right"/>
            </w:pPr>
            <w:r>
              <w:rPr>
                <w:rFonts w:ascii="Times New Roman" w:hAnsi="Times New Roman" w:cs="Times New Roman" w:eastAsia="Times New Roman"/>
                <w:sz w:val="20"/>
                <w:szCs w:val="20"/>
              </w:rPr>
              <w:t xml:space="preserve">Mes 1 (USD)</w:t>
            </w:r>
          </w:p>
        </w:tc>
        <w:tc>
          <w:tcPr>
            <w:tcBorders>
              <w:top w:val="single" w:sz="8" w:space="0" w:color="000000"/>
              <w:bottom w:val="single" w:sz="6" w:space="0" w:color="000000"/>
            </w:tcBorders>
          </w:tcPr>
          <w:p>
            <w:pPr>
              <w:pStyle w:val="TableHeader"/>
              <w:keepNext/>
              <w:ind w:firstLine="0" w:left="0"/>
              <w:jc w:val="right"/>
            </w:pPr>
            <w:r>
              <w:rPr>
                <w:rFonts w:ascii="Times New Roman" w:hAnsi="Times New Roman" w:cs="Times New Roman" w:eastAsia="Times New Roman"/>
                <w:sz w:val="20"/>
                <w:szCs w:val="20"/>
              </w:rPr>
              <w:t xml:space="preserve">Mes 2 (USD)</w:t>
            </w:r>
          </w:p>
        </w:tc>
        <w:tc>
          <w:tcPr>
            <w:tcBorders>
              <w:top w:val="single" w:sz="8" w:space="0" w:color="000000"/>
              <w:bottom w:val="single" w:sz="6" w:space="0" w:color="000000"/>
            </w:tcBorders>
          </w:tcPr>
          <w:p>
            <w:pPr>
              <w:pStyle w:val="TableHeader"/>
              <w:keepNext/>
              <w:ind w:firstLine="0" w:left="0"/>
              <w:jc w:val="right"/>
            </w:pPr>
            <w:r>
              <w:rPr>
                <w:rFonts w:ascii="Times New Roman" w:hAnsi="Times New Roman" w:cs="Times New Roman" w:eastAsia="Times New Roman"/>
                <w:sz w:val="20"/>
                <w:szCs w:val="20"/>
              </w:rPr>
              <w:t xml:space="preserve">Mes 3 (USD)</w:t>
            </w:r>
          </w:p>
        </w:tc>
        <w:tc>
          <w:tcPr>
            <w:tcBorders>
              <w:top w:val="single" w:sz="8" w:space="0" w:color="000000"/>
              <w:bottom w:val="single" w:sz="6" w:space="0" w:color="000000"/>
            </w:tcBorders>
          </w:tcPr>
          <w:p>
            <w:pPr>
              <w:pStyle w:val="TableHeader"/>
              <w:keepNext/>
              <w:ind w:firstLine="0" w:left="0"/>
              <w:jc w:val="right"/>
            </w:pPr>
            <w:r>
              <w:rPr>
                <w:rFonts w:ascii="Times New Roman" w:hAnsi="Times New Roman" w:cs="Times New Roman" w:eastAsia="Times New Roman"/>
                <w:sz w:val="20"/>
                <w:szCs w:val="20"/>
              </w:rPr>
              <w:t xml:space="preserve">Mes 4 (USD)</w:t>
            </w:r>
          </w:p>
        </w:tc>
        <w:tc>
          <w:tcPr>
            <w:tcBorders>
              <w:top w:val="single" w:sz="8" w:space="0" w:color="000000"/>
              <w:bottom w:val="single" w:sz="6" w:space="0" w:color="000000"/>
            </w:tcBorders>
          </w:tcPr>
          <w:p>
            <w:pPr>
              <w:pStyle w:val="TableHeader"/>
              <w:keepNext/>
              <w:ind w:firstLine="0" w:left="0"/>
              <w:jc w:val="right"/>
            </w:pPr>
            <w:r>
              <w:rPr>
                <w:rFonts w:ascii="Times New Roman" w:hAnsi="Times New Roman" w:cs="Times New Roman" w:eastAsia="Times New Roman"/>
                <w:sz w:val="20"/>
                <w:szCs w:val="20"/>
              </w:rPr>
              <w:t xml:space="preserve">TOTAL (USD)</w:t>
            </w:r>
          </w:p>
        </w:tc>
      </w:tr>
      <w:tr>
        <w:tc>
          <w:tcPr/>
          <w:p>
            <w:pPr>
              <w:pStyle w:val="TableText"/>
              <w:ind w:firstLine="0" w:left="0"/>
              <w:jc w:val="left"/>
            </w:pPr>
            <w:r>
              <w:rPr>
                <w:rFonts w:ascii="Times New Roman" w:hAnsi="Times New Roman" w:cs="Times New Roman" w:eastAsia="Times New Roman"/>
                <w:b/>
                <w:bCs/>
                <w:sz w:val="20"/>
                <w:szCs w:val="20"/>
              </w:rPr>
              <w:t xml:space="preserve">Componente 1: Obras Preliminares</w:t>
            </w:r>
          </w:p>
        </w:tc>
        <w:tc>
          <w:tcPr/>
          <w:p>
            <w:pPr>
              <w:pStyle w:val="TableText"/>
              <w:ind w:firstLine="0" w:left="0"/>
              <w:jc w:val="right"/>
            </w:pPr>
            <w:r>
              <w:rPr>
                <w:rFonts w:ascii="Times New Roman" w:hAnsi="Times New Roman" w:cs="Times New Roman" w:eastAsia="Times New Roman"/>
                <w:sz w:val="20"/>
                <w:szCs w:val="20"/>
              </w:rPr>
              <w:t xml:space="preserve">$3.827,74</w:t>
            </w:r>
          </w:p>
        </w:tc>
        <w:tc>
          <w:tcPr/>
          <w:p>
            <w:pPr>
              <w:pStyle w:val="TableText"/>
              <w:ind w:firstLine="0" w:left="0"/>
              <w:jc w:val="right"/>
            </w:pPr>
            <w:r>
              <w:rPr>
                <w:rFonts w:ascii="Times New Roman" w:hAnsi="Times New Roman" w:cs="Times New Roman" w:eastAsia="Times New Roman"/>
                <w:sz w:val="20"/>
                <w:szCs w:val="20"/>
              </w:rPr>
              <w:t xml:space="preserve">$0,00</w:t>
            </w:r>
          </w:p>
        </w:tc>
        <w:tc>
          <w:tcPr/>
          <w:p>
            <w:pPr>
              <w:pStyle w:val="TableText"/>
              <w:ind w:firstLine="0" w:left="0"/>
              <w:jc w:val="right"/>
            </w:pPr>
            <w:r>
              <w:rPr>
                <w:rFonts w:ascii="Times New Roman" w:hAnsi="Times New Roman" w:cs="Times New Roman" w:eastAsia="Times New Roman"/>
                <w:sz w:val="20"/>
                <w:szCs w:val="20"/>
              </w:rPr>
              <w:t xml:space="preserve">$0,00</w:t>
            </w:r>
          </w:p>
        </w:tc>
        <w:tc>
          <w:tcPr/>
          <w:p>
            <w:pPr>
              <w:pStyle w:val="TableText"/>
              <w:ind w:firstLine="0" w:left="0"/>
              <w:jc w:val="right"/>
            </w:pPr>
            <w:r>
              <w:rPr>
                <w:rFonts w:ascii="Times New Roman" w:hAnsi="Times New Roman" w:cs="Times New Roman" w:eastAsia="Times New Roman"/>
                <w:sz w:val="20"/>
                <w:szCs w:val="20"/>
              </w:rPr>
              <w:t xml:space="preserve">$0,00</w:t>
            </w:r>
          </w:p>
        </w:tc>
        <w:tc>
          <w:tcPr/>
          <w:p>
            <w:pPr>
              <w:pStyle w:val="TableText"/>
              <w:ind w:firstLine="0" w:left="0"/>
              <w:jc w:val="right"/>
            </w:pPr>
            <w:r>
              <w:rPr>
                <w:rFonts w:ascii="Times New Roman" w:hAnsi="Times New Roman" w:cs="Times New Roman" w:eastAsia="Times New Roman"/>
                <w:sz w:val="20"/>
                <w:szCs w:val="20"/>
              </w:rPr>
              <w:t xml:space="preserve">$3.827,74</w:t>
            </w:r>
          </w:p>
        </w:tc>
      </w:tr>
      <w:tr>
        <w:tc>
          <w:tcPr/>
          <w:p>
            <w:pPr>
              <w:pStyle w:val="TableText"/>
              <w:ind w:firstLine="0" w:left="0"/>
              <w:jc w:val="left"/>
            </w:pPr>
            <w:r>
              <w:rPr>
                <w:rFonts w:ascii="Times New Roman" w:hAnsi="Times New Roman" w:cs="Times New Roman" w:eastAsia="Times New Roman"/>
                <w:b/>
                <w:bCs/>
                <w:sz w:val="20"/>
                <w:szCs w:val="20"/>
              </w:rPr>
              <w:t xml:space="preserve">Componente 2: Infraestructura Fluvial</w:t>
            </w:r>
          </w:p>
        </w:tc>
        <w:tc>
          <w:tcPr/>
          <w:p>
            <w:pPr>
              <w:pStyle w:val="TableText"/>
              <w:ind w:firstLine="0" w:left="0"/>
              <w:jc w:val="right"/>
            </w:pPr>
            <w:r>
              <w:rPr>
                <w:rFonts w:ascii="Times New Roman" w:hAnsi="Times New Roman" w:cs="Times New Roman" w:eastAsia="Times New Roman"/>
                <w:sz w:val="20"/>
                <w:szCs w:val="20"/>
              </w:rPr>
              <w:t xml:space="preserve">$30.000,00</w:t>
            </w:r>
          </w:p>
        </w:tc>
        <w:tc>
          <w:tcPr/>
          <w:p>
            <w:pPr>
              <w:pStyle w:val="TableText"/>
              <w:ind w:firstLine="0" w:left="0"/>
              <w:jc w:val="right"/>
            </w:pPr>
            <w:r>
              <w:rPr>
                <w:rFonts w:ascii="Times New Roman" w:hAnsi="Times New Roman" w:cs="Times New Roman" w:eastAsia="Times New Roman"/>
                <w:sz w:val="20"/>
                <w:szCs w:val="20"/>
              </w:rPr>
              <w:t xml:space="preserve">$45.041,65</w:t>
            </w:r>
          </w:p>
        </w:tc>
        <w:tc>
          <w:tcPr/>
          <w:p>
            <w:pPr>
              <w:pStyle w:val="TableText"/>
              <w:ind w:firstLine="0" w:left="0"/>
              <w:jc w:val="right"/>
            </w:pPr>
            <w:r>
              <w:rPr>
                <w:rFonts w:ascii="Times New Roman" w:hAnsi="Times New Roman" w:cs="Times New Roman" w:eastAsia="Times New Roman"/>
                <w:sz w:val="20"/>
                <w:szCs w:val="20"/>
              </w:rPr>
              <w:t xml:space="preserve">$0,00</w:t>
            </w:r>
          </w:p>
        </w:tc>
        <w:tc>
          <w:tcPr/>
          <w:p>
            <w:pPr>
              <w:pStyle w:val="TableText"/>
              <w:ind w:firstLine="0" w:left="0"/>
              <w:jc w:val="right"/>
            </w:pPr>
            <w:r>
              <w:rPr>
                <w:rFonts w:ascii="Times New Roman" w:hAnsi="Times New Roman" w:cs="Times New Roman" w:eastAsia="Times New Roman"/>
                <w:sz w:val="20"/>
                <w:szCs w:val="20"/>
              </w:rPr>
              <w:t xml:space="preserve">$0,00</w:t>
            </w:r>
          </w:p>
        </w:tc>
        <w:tc>
          <w:tcPr/>
          <w:p>
            <w:pPr>
              <w:pStyle w:val="TableText"/>
              <w:ind w:firstLine="0" w:left="0"/>
              <w:jc w:val="right"/>
            </w:pPr>
            <w:r>
              <w:rPr>
                <w:rFonts w:ascii="Times New Roman" w:hAnsi="Times New Roman" w:cs="Times New Roman" w:eastAsia="Times New Roman"/>
                <w:sz w:val="20"/>
                <w:szCs w:val="20"/>
              </w:rPr>
              <w:t xml:space="preserve">$75.041,65</w:t>
            </w:r>
          </w:p>
        </w:tc>
      </w:tr>
      <w:tr>
        <w:tc>
          <w:tcPr/>
          <w:p>
            <w:pPr>
              <w:pStyle w:val="TableText"/>
              <w:ind w:firstLine="0" w:left="0"/>
              <w:jc w:val="left"/>
            </w:pPr>
            <w:r>
              <w:rPr>
                <w:rFonts w:ascii="Times New Roman" w:hAnsi="Times New Roman" w:cs="Times New Roman" w:eastAsia="Times New Roman"/>
                <w:b/>
                <w:bCs/>
                <w:sz w:val="20"/>
                <w:szCs w:val="20"/>
              </w:rPr>
              <w:t xml:space="preserve">Componente 3: Superestructura Acero A-588</w:t>
            </w:r>
          </w:p>
        </w:tc>
        <w:tc>
          <w:tcPr/>
          <w:p>
            <w:pPr>
              <w:pStyle w:val="TableText"/>
              <w:ind w:firstLine="0" w:left="0"/>
              <w:jc w:val="right"/>
            </w:pPr>
            <w:r>
              <w:rPr>
                <w:rFonts w:ascii="Times New Roman" w:hAnsi="Times New Roman" w:cs="Times New Roman" w:eastAsia="Times New Roman"/>
                <w:sz w:val="20"/>
                <w:szCs w:val="20"/>
              </w:rPr>
              <w:t xml:space="preserve">$35.000,00</w:t>
            </w:r>
          </w:p>
        </w:tc>
        <w:tc>
          <w:tcPr/>
          <w:p>
            <w:pPr>
              <w:pStyle w:val="TableText"/>
              <w:ind w:firstLine="0" w:left="0"/>
              <w:jc w:val="right"/>
            </w:pPr>
            <w:r>
              <w:rPr>
                <w:rFonts w:ascii="Times New Roman" w:hAnsi="Times New Roman" w:cs="Times New Roman" w:eastAsia="Times New Roman"/>
                <w:sz w:val="20"/>
                <w:szCs w:val="20"/>
              </w:rPr>
              <w:t xml:space="preserve">$50.000,00</w:t>
            </w:r>
          </w:p>
        </w:tc>
        <w:tc>
          <w:tcPr/>
          <w:p>
            <w:pPr>
              <w:pStyle w:val="TableText"/>
              <w:ind w:firstLine="0" w:left="0"/>
              <w:jc w:val="right"/>
            </w:pPr>
            <w:r>
              <w:rPr>
                <w:rFonts w:ascii="Times New Roman" w:hAnsi="Times New Roman" w:cs="Times New Roman" w:eastAsia="Times New Roman"/>
                <w:sz w:val="20"/>
                <w:szCs w:val="20"/>
              </w:rPr>
              <w:t xml:space="preserve">$75.000,00</w:t>
            </w:r>
          </w:p>
        </w:tc>
        <w:tc>
          <w:tcPr/>
          <w:p>
            <w:pPr>
              <w:pStyle w:val="TableText"/>
              <w:ind w:firstLine="0" w:left="0"/>
              <w:jc w:val="right"/>
            </w:pPr>
            <w:r>
              <w:rPr>
                <w:rFonts w:ascii="Times New Roman" w:hAnsi="Times New Roman" w:cs="Times New Roman" w:eastAsia="Times New Roman"/>
                <w:sz w:val="20"/>
                <w:szCs w:val="20"/>
              </w:rPr>
              <w:t xml:space="preserve">$89.025,56</w:t>
            </w:r>
          </w:p>
        </w:tc>
        <w:tc>
          <w:tcPr/>
          <w:p>
            <w:pPr>
              <w:pStyle w:val="TableText"/>
              <w:ind w:firstLine="0" w:left="0"/>
              <w:jc w:val="right"/>
            </w:pPr>
            <w:r>
              <w:rPr>
                <w:rFonts w:ascii="Times New Roman" w:hAnsi="Times New Roman" w:cs="Times New Roman" w:eastAsia="Times New Roman"/>
                <w:sz w:val="20"/>
                <w:szCs w:val="20"/>
              </w:rPr>
              <w:t xml:space="preserve">$249.025,56</w:t>
            </w:r>
          </w:p>
        </w:tc>
      </w:tr>
      <w:tr>
        <w:tc>
          <w:tcPr/>
          <w:p>
            <w:pPr>
              <w:pStyle w:val="TableText"/>
              <w:ind w:firstLine="0" w:left="0"/>
              <w:jc w:val="left"/>
            </w:pPr>
            <w:r>
              <w:rPr>
                <w:rFonts w:ascii="Times New Roman" w:hAnsi="Times New Roman" w:cs="Times New Roman" w:eastAsia="Times New Roman"/>
                <w:b/>
                <w:bCs/>
                <w:sz w:val="20"/>
                <w:szCs w:val="20"/>
              </w:rPr>
              <w:t xml:space="preserve">Componente 4: Mitigación Ambiental e IVA</w:t>
            </w:r>
          </w:p>
        </w:tc>
        <w:tc>
          <w:tcPr/>
          <w:p>
            <w:pPr>
              <w:pStyle w:val="TableText"/>
              <w:ind w:firstLine="0" w:left="0"/>
              <w:jc w:val="right"/>
            </w:pPr>
            <w:r>
              <w:rPr>
                <w:rFonts w:ascii="Times New Roman" w:hAnsi="Times New Roman" w:cs="Times New Roman" w:eastAsia="Times New Roman"/>
                <w:sz w:val="20"/>
                <w:szCs w:val="20"/>
              </w:rPr>
              <w:t xml:space="preserve">$2.776,59</w:t>
            </w:r>
          </w:p>
        </w:tc>
        <w:tc>
          <w:tcPr/>
          <w:p>
            <w:pPr>
              <w:pStyle w:val="TableText"/>
              <w:ind w:firstLine="0" w:left="0"/>
              <w:jc w:val="right"/>
            </w:pPr>
            <w:r>
              <w:rPr>
                <w:rFonts w:ascii="Times New Roman" w:hAnsi="Times New Roman" w:cs="Times New Roman" w:eastAsia="Times New Roman"/>
                <w:sz w:val="20"/>
                <w:szCs w:val="20"/>
              </w:rPr>
              <w:t xml:space="preserve">$0,00</w:t>
            </w:r>
          </w:p>
        </w:tc>
        <w:tc>
          <w:tcPr/>
          <w:p>
            <w:pPr>
              <w:pStyle w:val="TableText"/>
              <w:ind w:firstLine="0" w:left="0"/>
              <w:jc w:val="right"/>
            </w:pPr>
            <w:r>
              <w:rPr>
                <w:rFonts w:ascii="Times New Roman" w:hAnsi="Times New Roman" w:cs="Times New Roman" w:eastAsia="Times New Roman"/>
                <w:sz w:val="20"/>
                <w:szCs w:val="20"/>
              </w:rPr>
              <w:t xml:space="preserve">$0,00</w:t>
            </w:r>
          </w:p>
        </w:tc>
        <w:tc>
          <w:tcPr/>
          <w:p>
            <w:pPr>
              <w:pStyle w:val="TableText"/>
              <w:ind w:firstLine="0" w:left="0"/>
              <w:jc w:val="right"/>
            </w:pPr>
            <w:r>
              <w:rPr>
                <w:rFonts w:ascii="Times New Roman" w:hAnsi="Times New Roman" w:cs="Times New Roman" w:eastAsia="Times New Roman"/>
                <w:sz w:val="20"/>
                <w:szCs w:val="20"/>
              </w:rPr>
              <w:t xml:space="preserve">$49.601,03</w:t>
            </w:r>
          </w:p>
        </w:tc>
        <w:tc>
          <w:tcPr/>
          <w:p>
            <w:pPr>
              <w:pStyle w:val="TableText"/>
              <w:ind w:firstLine="0" w:left="0"/>
              <w:jc w:val="right"/>
            </w:pPr>
            <w:r>
              <w:rPr>
                <w:rFonts w:ascii="Times New Roman" w:hAnsi="Times New Roman" w:cs="Times New Roman" w:eastAsia="Times New Roman"/>
                <w:sz w:val="20"/>
                <w:szCs w:val="20"/>
              </w:rPr>
              <w:t xml:space="preserve">$52.377,62</w:t>
            </w:r>
          </w:p>
        </w:tc>
      </w:tr>
      <w:tr>
        <w:tc>
          <w:tcPr/>
          <w:p>
            <w:pPr>
              <w:pStyle w:val="TableText"/>
              <w:ind w:firstLine="0" w:left="0"/>
              <w:jc w:val="left"/>
            </w:pPr>
            <w:r>
              <w:rPr>
                <w:rFonts w:ascii="Times New Roman" w:hAnsi="Times New Roman" w:cs="Times New Roman" w:eastAsia="Times New Roman"/>
                <w:b/>
                <w:bCs/>
                <w:sz w:val="20"/>
                <w:szCs w:val="20"/>
              </w:rPr>
              <w:t xml:space="preserve">Inversión Mensual Programada</w:t>
            </w:r>
          </w:p>
        </w:tc>
        <w:tc>
          <w:tcPr/>
          <w:p>
            <w:pPr>
              <w:pStyle w:val="TableText"/>
              <w:ind w:firstLine="0" w:left="0"/>
              <w:jc w:val="right"/>
            </w:pPr>
            <w:r>
              <w:rPr>
                <w:rFonts w:ascii="Times New Roman" w:hAnsi="Times New Roman" w:cs="Times New Roman" w:eastAsia="Times New Roman"/>
                <w:b/>
                <w:bCs/>
                <w:sz w:val="20"/>
                <w:szCs w:val="20"/>
              </w:rPr>
              <w:t xml:space="preserve">$71.604,33</w:t>
            </w:r>
          </w:p>
        </w:tc>
        <w:tc>
          <w:tcPr/>
          <w:p>
            <w:pPr>
              <w:pStyle w:val="TableText"/>
              <w:ind w:firstLine="0" w:left="0"/>
              <w:jc w:val="right"/>
            </w:pPr>
            <w:r>
              <w:rPr>
                <w:rFonts w:ascii="Times New Roman" w:hAnsi="Times New Roman" w:cs="Times New Roman" w:eastAsia="Times New Roman"/>
                <w:b/>
                <w:bCs/>
                <w:sz w:val="20"/>
                <w:szCs w:val="20"/>
              </w:rPr>
              <w:t xml:space="preserve">$95.041,65</w:t>
            </w:r>
          </w:p>
        </w:tc>
        <w:tc>
          <w:tcPr/>
          <w:p>
            <w:pPr>
              <w:pStyle w:val="TableText"/>
              <w:ind w:firstLine="0" w:left="0"/>
              <w:jc w:val="right"/>
            </w:pPr>
            <w:r>
              <w:rPr>
                <w:rFonts w:ascii="Times New Roman" w:hAnsi="Times New Roman" w:cs="Times New Roman" w:eastAsia="Times New Roman"/>
                <w:b/>
                <w:bCs/>
                <w:sz w:val="20"/>
                <w:szCs w:val="20"/>
              </w:rPr>
              <w:t xml:space="preserve">$75.000,00</w:t>
            </w:r>
          </w:p>
        </w:tc>
        <w:tc>
          <w:tcPr/>
          <w:p>
            <w:pPr>
              <w:pStyle w:val="TableText"/>
              <w:ind w:firstLine="0" w:left="0"/>
              <w:jc w:val="right"/>
            </w:pPr>
            <w:r>
              <w:rPr>
                <w:rFonts w:ascii="Times New Roman" w:hAnsi="Times New Roman" w:cs="Times New Roman" w:eastAsia="Times New Roman"/>
                <w:b/>
                <w:bCs/>
                <w:sz w:val="20"/>
                <w:szCs w:val="20"/>
              </w:rPr>
              <w:t xml:space="preserve">$138.626,59</w:t>
            </w:r>
          </w:p>
        </w:tc>
        <w:tc>
          <w:tcPr/>
          <w:p>
            <w:pPr>
              <w:pStyle w:val="TableText"/>
              <w:ind w:firstLine="0" w:left="0"/>
              <w:jc w:val="right"/>
            </w:pPr>
            <w:r>
              <w:rPr>
                <w:rFonts w:ascii="Times New Roman" w:hAnsi="Times New Roman" w:cs="Times New Roman" w:eastAsia="Times New Roman"/>
                <w:b/>
                <w:bCs/>
                <w:sz w:val="20"/>
                <w:szCs w:val="20"/>
              </w:rPr>
              <w:t xml:space="preserve">$380.274,58</w:t>
            </w:r>
          </w:p>
        </w:tc>
      </w:tr>
      <w:tr>
        <w:tc>
          <w:tcPr/>
          <w:p>
            <w:pPr>
              <w:pStyle w:val="TableText"/>
              <w:ind w:firstLine="0" w:left="0"/>
              <w:jc w:val="left"/>
            </w:pPr>
            <w:r>
              <w:rPr>
                <w:rFonts w:ascii="Times New Roman" w:hAnsi="Times New Roman" w:cs="Times New Roman" w:eastAsia="Times New Roman"/>
                <w:b/>
                <w:bCs/>
                <w:sz w:val="20"/>
                <w:szCs w:val="20"/>
              </w:rPr>
              <w:t xml:space="preserve">Avance Físico-Financiero Acumulado</w:t>
            </w:r>
          </w:p>
        </w:tc>
        <w:tc>
          <w:tcPr/>
          <w:p>
            <w:pPr>
              <w:pStyle w:val="TableText"/>
              <w:ind w:firstLine="0" w:left="0"/>
              <w:jc w:val="right"/>
            </w:pPr>
            <w:r>
              <w:rPr>
                <w:rFonts w:ascii="Times New Roman" w:hAnsi="Times New Roman" w:cs="Times New Roman" w:eastAsia="Times New Roman"/>
                <w:b/>
                <w:bCs/>
                <w:sz w:val="20"/>
                <w:szCs w:val="20"/>
              </w:rPr>
              <w:t xml:space="preserve">18,83 %</w:t>
            </w:r>
          </w:p>
        </w:tc>
        <w:tc>
          <w:tcPr/>
          <w:p>
            <w:pPr>
              <w:pStyle w:val="TableText"/>
              <w:ind w:firstLine="0" w:left="0"/>
              <w:jc w:val="right"/>
            </w:pPr>
            <w:r>
              <w:rPr>
                <w:rFonts w:ascii="Times New Roman" w:hAnsi="Times New Roman" w:cs="Times New Roman" w:eastAsia="Times New Roman"/>
                <w:b/>
                <w:bCs/>
                <w:sz w:val="20"/>
                <w:szCs w:val="20"/>
              </w:rPr>
              <w:t xml:space="preserve">43,82 %</w:t>
            </w:r>
          </w:p>
        </w:tc>
        <w:tc>
          <w:tcPr/>
          <w:p>
            <w:pPr>
              <w:pStyle w:val="TableText"/>
              <w:ind w:firstLine="0" w:left="0"/>
              <w:jc w:val="right"/>
            </w:pPr>
            <w:r>
              <w:rPr>
                <w:rFonts w:ascii="Times New Roman" w:hAnsi="Times New Roman" w:cs="Times New Roman" w:eastAsia="Times New Roman"/>
                <w:b/>
                <w:bCs/>
                <w:sz w:val="20"/>
                <w:szCs w:val="20"/>
              </w:rPr>
              <w:t xml:space="preserve">63,55 %</w:t>
            </w:r>
          </w:p>
        </w:tc>
        <w:tc>
          <w:tcPr/>
          <w:p>
            <w:pPr>
              <w:pStyle w:val="TableText"/>
              <w:ind w:firstLine="0" w:left="0"/>
              <w:jc w:val="right"/>
            </w:pPr>
            <w:r>
              <w:rPr>
                <w:rFonts w:ascii="Times New Roman" w:hAnsi="Times New Roman" w:cs="Times New Roman" w:eastAsia="Times New Roman"/>
                <w:b/>
                <w:bCs/>
                <w:sz w:val="20"/>
                <w:szCs w:val="20"/>
              </w:rPr>
              <w:t xml:space="preserve">100,00 %</w:t>
            </w:r>
          </w:p>
        </w:tc>
        <w:tc>
          <w:tcPr/>
          <w:p>
            <w:pPr>
              <w:pStyle w:val="TableText"/>
              <w:ind w:firstLine="0" w:left="0"/>
              <w:jc w:val="right"/>
            </w:pPr>
            <w:r>
              <w:rPr>
                <w:rFonts w:ascii="Times New Roman" w:hAnsi="Times New Roman" w:cs="Times New Roman" w:eastAsia="Times New Roman"/>
                <w:b/>
                <w:bCs/>
                <w:sz w:val="20"/>
                <w:szCs w:val="20"/>
              </w:rPr>
              <w:t xml:space="preserve">100,00 %</w:t>
            </w:r>
          </w:p>
        </w:tc>
      </w:tr>
    </w:tbl>
    <w:p>
      <w:pPr>
        <w:pStyle w:val="TableNote"/>
        <w:ind w:firstLine="0" w:left="0"/>
        <w:jc w:val="both"/>
      </w:pPr>
      <w:r>
        <w:rPr>
          <w:rFonts w:ascii="Times New Roman" w:hAnsi="Times New Roman" w:cs="Times New Roman" w:eastAsia="Times New Roman"/>
          <w:i/>
          <w:iCs/>
          <w:sz w:val="20"/>
          <w:szCs w:val="20"/>
        </w:rPr>
        <w:t xml:space="preserve">Nota.</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Elaboración técnica conforme al Cronograma Valorado Oficial del Expediente Técnico (GAD Provincial de El Oro, 2026).</w:t>
      </w:r>
    </w:p>
    <w:p>
      <w:pPr>
        <w:sectPr>
          <w:pgSz w:w="15840" w:h="12240" w:orient="landscape"/>
          <w:pgMar w:top="1440" w:bottom="1440" w:left="1440" w:right="1440"/>
        </w:sectPr>
      </w:pPr>
    </w:p>
    <w:bookmarkEnd w:id="114"/>
    <w:bookmarkStart w:id="117" w:name="demanda-pública-nacional-plurianual"/>
    <w:p>
      <w:pPr>
        <w:pStyle w:val="Heading2"/>
      </w:pPr>
      <w:r>
        <w:rPr>
          <w:rFonts w:ascii="Times New Roman" w:hAnsi="Times New Roman" w:cs="Times New Roman" w:eastAsia="Times New Roman"/>
          <w:b/>
          <w:bCs/>
        </w:rPr>
        <w:t xml:space="preserve">7.4 Demanda pública nacional plurianual</w:t>
      </w:r>
    </w:p>
    <w:p>
      <w:pPr>
        <w:pStyle w:val="FirstParagraph"/>
      </w:pPr>
      <w:r>
        <w:rPr>
          <w:rFonts w:ascii="Times New Roman" w:hAnsi="Times New Roman" w:cs="Times New Roman" w:eastAsia="Times New Roman"/>
        </w:rPr>
        <w:t xml:space="preserve">En las compras públicas se debe dar cumplimiento a lo establecido en el artículo 288 de la Constitución de la República, los artículos 9 y 52 de la Ley Orgánica del Sistema Nacional de Contratación Pública y el artículo 64 del Código Orgánico de Planificación y Finanzas Públicas.</w:t>
      </w:r>
    </w:p>
    <w:p>
      <w:pPr>
        <w:pStyle w:val="BodyText"/>
      </w:pPr>
      <w:r>
        <w:rPr>
          <w:rFonts w:ascii="Times New Roman" w:hAnsi="Times New Roman" w:cs="Times New Roman" w:eastAsia="Times New Roman"/>
        </w:rPr>
        <w:t xml:space="preserve">La determinación de la demanda pública nacional plurianual de cada proyecto, deberá contemplar lo señalado en la normativa emitida por la Secretaría Técnica de Planificación</w:t>
      </w:r>
      <w:r>
        <w:rPr>
          <w:rFonts w:ascii="Times New Roman" w:hAnsi="Times New Roman" w:cs="Times New Roman" w:eastAsia="Times New Roman"/>
        </w:rPr>
        <w:t xml:space="preserve"> </w:t>
      </w:r>
      <w:r>
        <w:rPr>
          <w:rFonts w:ascii="Times New Roman" w:hAnsi="Times New Roman" w:cs="Times New Roman" w:eastAsia="Times New Roman"/>
        </w:rPr>
        <w:t xml:space="preserve">“Planifica Ecuador”</w:t>
      </w:r>
      <w:r>
        <w:rPr>
          <w:rFonts w:ascii="Times New Roman" w:hAnsi="Times New Roman" w:cs="Times New Roman" w:eastAsia="Times New Roman"/>
        </w:rPr>
        <w:t xml:space="preserve"> </w:t>
      </w:r>
      <w:r>
        <w:rPr>
          <w:rFonts w:ascii="Times New Roman" w:hAnsi="Times New Roman" w:cs="Times New Roman" w:eastAsia="Times New Roman"/>
        </w:rPr>
        <w:t xml:space="preserve">para el efecto; y se presentará bajo el siguiente formato:</w:t>
      </w:r>
    </w:p>
    <w:bookmarkStart w:id="116" w:name="X7e7a2bc0ed15f3e15e8c1e9d6217b3677fc0010"/>
    <w:p>
      <w:pPr>
        <w:pStyle w:val="Heading3"/>
      </w:pPr>
      <w:r>
        <w:rPr>
          <w:rFonts w:ascii="Times New Roman" w:hAnsi="Times New Roman" w:cs="Times New Roman" w:eastAsia="Times New Roman"/>
          <w:b/>
          <w:bCs/>
        </w:rPr>
        <w:t xml:space="preserve">7.4.1 Determinación de la demanda pública nacional plurianual</w:t>
      </w:r>
    </w:p>
    <w:p>
      <w:pPr>
        <w:pStyle w:val="FirstParagraph"/>
      </w:pPr>
      <w:r>
        <w:rPr>
          <w:rFonts w:ascii="Times New Roman" w:hAnsi="Times New Roman" w:cs="Times New Roman" w:eastAsia="Times New Roman"/>
        </w:rPr>
        <w:t xml:space="preserve">La demanda pública se desagrega conforme a los códigos CPC de 9 dígitos del SERCOP, detallando rubro, unidad, costo y origen de los insumos (</w:t>
      </w:r>
      <w:hyperlink w:anchor="tbl-demanda-publica-puente">
        <w:r>
          <w:rPr>
            <w:rStyle w:val="Hyperlink"/>
          </w:rPr>
          <w:t xml:space="preserve">Tabla 22</w:t>
        </w:r>
      </w:hyperlink>
      <w:r>
        <w:rPr>
          <w:rFonts w:ascii="Times New Roman" w:hAnsi="Times New Roman" w:cs="Times New Roman" w:eastAsia="Times New Roman"/>
        </w:rPr>
        <w:t xml:space="preserve">).</w:t>
      </w:r>
    </w:p>
    <w:p>
      <w:pPr>
        <w:pStyle w:val="TableNumber"/>
        <w:keepNext/>
        <w:ind w:firstLine="0" w:left="0"/>
        <w:jc w:val="left"/>
      </w:pPr>
      <w:r>
        <w:rPr>
          <w:rFonts w:ascii="Times New Roman" w:hAnsi="Times New Roman" w:cs="Times New Roman" w:eastAsia="Times New Roman"/>
          <w:b/>
          <w:bCs/>
          <w:sz w:val="20"/>
          <w:szCs w:val="20"/>
        </w:rPr>
        <w:t xml:space="preserve">Tabla 22</w:t>
      </w:r>
    </w:p>
    <w:p>
      <w:pPr>
        <w:pStyle w:val="TableCaption"/>
        <w:keepNext/>
        <w:ind w:firstLine="0" w:left="0"/>
        <w:jc w:val="left"/>
      </w:pPr>
      <w:r>
        <w:rPr>
          <w:rFonts w:ascii="Times New Roman" w:hAnsi="Times New Roman" w:cs="Times New Roman" w:eastAsia="Times New Roman"/>
          <w:i/>
          <w:iCs/>
          <w:sz w:val="20"/>
          <w:szCs w:val="20"/>
        </w:rPr>
        <w:t xml:space="preserve">Matriz oficial de demanda pública plurianual del proyecto</w:t>
      </w:r>
    </w:p>
    <w:p>
      <w:pPr>
        <w:sectPr>
          <w:pgSz w:w="12240" w:h="15840" w:orient="portrait"/>
          <w:pgMar w:top="1440" w:bottom="1440" w:left="1440" w:right="1440"/>
        </w:sectPr>
      </w:pPr>
    </w:p>
    <w:tbl>
      <w:tblPr>
        <w:tblStyle w:val="Table"/>
        <w:tblLayout w:type="fixed"/>
        <w:tblLook w:firstRow="1" w:lastRow="0" w:firstColumn="0" w:lastColumn="0" w:noHBand="0" w:noVBand="0" w:val="0020"/>
        <w:tblInd w:w="0" w:type="dxa"/>
        <w:tblW w:w="5000" w:type="pct"/>
        <w:tblBorders>
          <w:top w:val="single" w:sz="8" w:space="0" w:color="000000"/>
          <w:bottom w:val="single" w:sz="8" w:space="0" w:color="000000"/>
          <w:left w:val="none" w:sz="0" w:space="0" w:color="000000"/>
          <w:right w:val="none" w:sz="0" w:space="0" w:color="000000"/>
          <w:insideH w:val="none" w:sz="0" w:space="0" w:color="000000"/>
          <w:insideV w:val="none" w:sz="0" w:space="0" w:color="000000"/>
        </w:tblBorders>
      </w:tblPr>
      <w:tblGrid>
        <w:gridCol w:w="880"/>
        <w:gridCol w:w="880"/>
        <w:gridCol w:w="704"/>
        <w:gridCol w:w="704"/>
        <w:gridCol w:w="880"/>
        <w:gridCol w:w="704"/>
        <w:gridCol w:w="880"/>
        <w:gridCol w:w="880"/>
        <w:gridCol w:w="704"/>
        <w:gridCol w:w="704"/>
      </w:tblGrid>
      <w:tr>
        <w:trPr>
          <w:tblHeader w:val="on"/>
        </w:trPr>
        <w:tc>
          <w:tcPr>
            <w:tcBorders>
              <w:top w:val="single" w:sz="8" w:space="0" w:color="000000"/>
              <w:bottom w:val="single" w:sz="6" w:space="0" w:color="000000"/>
            </w:tcBorders>
          </w:tcPr>
          <w:p>
            <w:pPr>
              <w:pStyle w:val="TableHeader"/>
              <w:keepNext/>
              <w:ind w:firstLine="0" w:left="0"/>
              <w:jc w:val="center"/>
            </w:pPr>
            <w:r>
              <w:rPr>
                <w:rFonts w:ascii="Times New Roman" w:hAnsi="Times New Roman" w:cs="Times New Roman" w:eastAsia="Times New Roman"/>
                <w:sz w:val="20"/>
                <w:szCs w:val="20"/>
              </w:rPr>
              <w:t xml:space="preserve">CÓDIGO CPC</w:t>
            </w:r>
          </w:p>
        </w:tc>
        <w:tc>
          <w:tcPr>
            <w:tcBorders>
              <w:top w:val="single" w:sz="8" w:space="0" w:color="000000"/>
              <w:bottom w:val="single" w:sz="6" w:space="0" w:color="000000"/>
            </w:tcBorders>
          </w:tcPr>
          <w:p>
            <w:pPr>
              <w:pStyle w:val="TableHeader"/>
              <w:keepNext/>
              <w:ind w:firstLine="0" w:left="0"/>
              <w:jc w:val="center"/>
            </w:pPr>
            <w:r>
              <w:rPr>
                <w:rFonts w:ascii="Times New Roman" w:hAnsi="Times New Roman" w:cs="Times New Roman" w:eastAsia="Times New Roman"/>
                <w:sz w:val="20"/>
                <w:szCs w:val="20"/>
              </w:rPr>
              <w:t xml:space="preserve">TIPO COMPRA</w:t>
            </w:r>
          </w:p>
        </w:tc>
        <w:tc>
          <w:tcPr>
            <w:tcBorders>
              <w:top w:val="single" w:sz="8" w:space="0" w:color="000000"/>
              <w:bottom w:val="single" w:sz="6" w:space="0" w:color="000000"/>
            </w:tcBorders>
          </w:tcPr>
          <w:p>
            <w:pPr>
              <w:pStyle w:val="TableHeader"/>
              <w:keepNext/>
              <w:ind w:firstLine="0" w:left="0"/>
              <w:jc w:val="left"/>
            </w:pPr>
            <w:r>
              <w:rPr>
                <w:rFonts w:ascii="Times New Roman" w:hAnsi="Times New Roman" w:cs="Times New Roman" w:eastAsia="Times New Roman"/>
                <w:sz w:val="20"/>
                <w:szCs w:val="20"/>
              </w:rPr>
              <w:t xml:space="preserve">DETALLE DEL PRODUCTO</w:t>
            </w:r>
          </w:p>
        </w:tc>
        <w:tc>
          <w:tcPr>
            <w:tcBorders>
              <w:top w:val="single" w:sz="8" w:space="0" w:color="000000"/>
              <w:bottom w:val="single" w:sz="6" w:space="0" w:color="000000"/>
            </w:tcBorders>
          </w:tcPr>
          <w:p>
            <w:pPr>
              <w:pStyle w:val="TableHeader"/>
              <w:keepNext/>
              <w:ind w:firstLine="0" w:left="0"/>
              <w:jc w:val="right"/>
            </w:pPr>
            <w:r>
              <w:rPr>
                <w:rFonts w:ascii="Times New Roman" w:hAnsi="Times New Roman" w:cs="Times New Roman" w:eastAsia="Times New Roman"/>
                <w:sz w:val="20"/>
                <w:szCs w:val="20"/>
              </w:rPr>
              <w:t xml:space="preserve">CANTIDAD ANUAL</w:t>
            </w:r>
          </w:p>
        </w:tc>
        <w:tc>
          <w:tcPr>
            <w:tcBorders>
              <w:top w:val="single" w:sz="8" w:space="0" w:color="000000"/>
              <w:bottom w:val="single" w:sz="6" w:space="0" w:color="000000"/>
            </w:tcBorders>
          </w:tcPr>
          <w:p>
            <w:pPr>
              <w:pStyle w:val="TableHeader"/>
              <w:keepNext/>
              <w:ind w:firstLine="0" w:left="0"/>
              <w:jc w:val="center"/>
            </w:pPr>
            <w:r>
              <w:rPr>
                <w:rFonts w:ascii="Times New Roman" w:hAnsi="Times New Roman" w:cs="Times New Roman" w:eastAsia="Times New Roman"/>
                <w:sz w:val="20"/>
                <w:szCs w:val="20"/>
              </w:rPr>
              <w:t xml:space="preserve">UNIDAD</w:t>
            </w:r>
          </w:p>
        </w:tc>
        <w:tc>
          <w:tcPr>
            <w:tcBorders>
              <w:top w:val="single" w:sz="8" w:space="0" w:color="000000"/>
              <w:bottom w:val="single" w:sz="6" w:space="0" w:color="000000"/>
            </w:tcBorders>
          </w:tcPr>
          <w:p>
            <w:pPr>
              <w:pStyle w:val="TableHeader"/>
              <w:keepNext/>
              <w:ind w:firstLine="0" w:left="0"/>
              <w:jc w:val="right"/>
            </w:pPr>
            <w:r>
              <w:rPr>
                <w:rFonts w:ascii="Times New Roman" w:hAnsi="Times New Roman" w:cs="Times New Roman" w:eastAsia="Times New Roman"/>
                <w:sz w:val="20"/>
                <w:szCs w:val="20"/>
              </w:rPr>
              <w:t xml:space="preserve">COSTO UNITARIO</w:t>
            </w:r>
          </w:p>
        </w:tc>
        <w:tc>
          <w:tcPr>
            <w:tcBorders>
              <w:top w:val="single" w:sz="8" w:space="0" w:color="000000"/>
              <w:bottom w:val="single" w:sz="6" w:space="0" w:color="000000"/>
            </w:tcBorders>
          </w:tcPr>
          <w:p>
            <w:pPr>
              <w:pStyle w:val="TableHeader"/>
              <w:keepNext/>
              <w:ind w:firstLine="0" w:left="0"/>
              <w:jc w:val="center"/>
            </w:pPr>
            <w:r>
              <w:rPr>
                <w:rFonts w:ascii="Times New Roman" w:hAnsi="Times New Roman" w:cs="Times New Roman" w:eastAsia="Times New Roman"/>
                <w:sz w:val="20"/>
                <w:szCs w:val="20"/>
              </w:rPr>
              <w:t xml:space="preserve">ORIGEN NACIONAL</w:t>
            </w:r>
          </w:p>
        </w:tc>
        <w:tc>
          <w:tcPr>
            <w:tcBorders>
              <w:top w:val="single" w:sz="8" w:space="0" w:color="000000"/>
              <w:bottom w:val="single" w:sz="6" w:space="0" w:color="000000"/>
            </w:tcBorders>
          </w:tcPr>
          <w:p>
            <w:pPr>
              <w:pStyle w:val="TableHeader"/>
              <w:keepNext/>
              <w:ind w:firstLine="0" w:left="0"/>
              <w:jc w:val="center"/>
            </w:pPr>
            <w:r>
              <w:rPr>
                <w:rFonts w:ascii="Times New Roman" w:hAnsi="Times New Roman" w:cs="Times New Roman" w:eastAsia="Times New Roman"/>
                <w:sz w:val="20"/>
                <w:szCs w:val="20"/>
              </w:rPr>
              <w:t xml:space="preserve">ORIGEN IMPORT.</w:t>
            </w:r>
          </w:p>
        </w:tc>
        <w:tc>
          <w:tcPr>
            <w:tcBorders>
              <w:top w:val="single" w:sz="8" w:space="0" w:color="000000"/>
              <w:bottom w:val="single" w:sz="6" w:space="0" w:color="000000"/>
            </w:tcBorders>
          </w:tcPr>
          <w:p>
            <w:pPr>
              <w:pStyle w:val="TableHeader"/>
              <w:keepNext/>
              <w:ind w:firstLine="0" w:left="0"/>
              <w:jc w:val="right"/>
            </w:pPr>
            <w:r>
              <w:rPr>
                <w:rFonts w:ascii="Times New Roman" w:hAnsi="Times New Roman" w:cs="Times New Roman" w:eastAsia="Times New Roman"/>
                <w:sz w:val="20"/>
                <w:szCs w:val="20"/>
              </w:rPr>
              <w:t xml:space="preserve">Monto Año 1 (USD)</w:t>
            </w:r>
          </w:p>
        </w:tc>
        <w:tc>
          <w:tcPr>
            <w:tcBorders>
              <w:top w:val="single" w:sz="8" w:space="0" w:color="000000"/>
              <w:bottom w:val="single" w:sz="6" w:space="0" w:color="000000"/>
            </w:tcBorders>
          </w:tcPr>
          <w:p>
            <w:pPr>
              <w:pStyle w:val="TableHeader"/>
              <w:keepNext/>
              <w:ind w:firstLine="0" w:left="0"/>
              <w:jc w:val="right"/>
            </w:pPr>
            <w:r>
              <w:rPr>
                <w:rFonts w:ascii="Times New Roman" w:hAnsi="Times New Roman" w:cs="Times New Roman" w:eastAsia="Times New Roman"/>
                <w:sz w:val="20"/>
                <w:szCs w:val="20"/>
              </w:rPr>
              <w:t xml:space="preserve">TOTAL (USD)</w:t>
            </w:r>
          </w:p>
        </w:tc>
      </w:tr>
      <w:tr>
        <w:tc>
          <w:tcPr/>
          <w:p>
            <w:pPr>
              <w:pStyle w:val="TableText"/>
              <w:ind w:firstLine="0" w:left="0"/>
              <w:jc w:val="center"/>
            </w:pPr>
            <w:r>
              <w:rPr>
                <w:rFonts w:ascii="Times New Roman" w:hAnsi="Times New Roman" w:cs="Times New Roman" w:eastAsia="Times New Roman"/>
                <w:sz w:val="20"/>
                <w:szCs w:val="20"/>
              </w:rPr>
              <w:t xml:space="preserve">853400432</w:t>
            </w:r>
          </w:p>
        </w:tc>
        <w:tc>
          <w:tcPr/>
          <w:p>
            <w:pPr>
              <w:pStyle w:val="TableText"/>
              <w:ind w:firstLine="0" w:left="0"/>
              <w:jc w:val="center"/>
            </w:pPr>
            <w:r>
              <w:rPr>
                <w:rFonts w:ascii="Times New Roman" w:hAnsi="Times New Roman" w:cs="Times New Roman" w:eastAsia="Times New Roman"/>
                <w:sz w:val="20"/>
                <w:szCs w:val="20"/>
              </w:rPr>
              <w:t xml:space="preserve">Servicio</w:t>
            </w:r>
          </w:p>
        </w:tc>
        <w:tc>
          <w:tcPr/>
          <w:p>
            <w:pPr>
              <w:pStyle w:val="TableText"/>
              <w:ind w:firstLine="0" w:left="0"/>
              <w:jc w:val="left"/>
            </w:pPr>
            <w:r>
              <w:rPr>
                <w:rFonts w:ascii="Times New Roman" w:hAnsi="Times New Roman" w:cs="Times New Roman" w:eastAsia="Times New Roman"/>
                <w:sz w:val="20"/>
                <w:szCs w:val="20"/>
              </w:rPr>
              <w:t xml:space="preserve">Limpieza y desbroce vegetal</w:t>
            </w:r>
          </w:p>
        </w:tc>
        <w:tc>
          <w:tcPr/>
          <w:p>
            <w:pPr>
              <w:pStyle w:val="TableText"/>
              <w:ind w:firstLine="0" w:left="0"/>
              <w:jc w:val="right"/>
            </w:pPr>
            <w:r>
              <w:rPr>
                <w:rFonts w:ascii="Times New Roman" w:hAnsi="Times New Roman" w:cs="Times New Roman" w:eastAsia="Times New Roman"/>
                <w:sz w:val="20"/>
                <w:szCs w:val="20"/>
              </w:rPr>
              <w:t xml:space="preserve">1.352,42</w:t>
            </w:r>
          </w:p>
        </w:tc>
        <w:tc>
          <w:tcPr/>
          <w:p>
            <w:pPr>
              <w:pStyle w:val="TableText"/>
              <w:ind w:firstLine="0" w:left="0"/>
              <w:jc w:val="center"/>
            </w:pPr>
            <w:r>
              <w:rPr>
                <w:rFonts w:ascii="Times New Roman" w:hAnsi="Times New Roman" w:cs="Times New Roman" w:eastAsia="Times New Roman"/>
                <w:sz w:val="20"/>
                <w:szCs w:val="20"/>
              </w:rPr>
              <w:t xml:space="preserve">m²</w:t>
            </w:r>
          </w:p>
        </w:tc>
        <w:tc>
          <w:tcPr/>
          <w:p>
            <w:pPr>
              <w:pStyle w:val="TableText"/>
              <w:ind w:firstLine="0" w:left="0"/>
              <w:jc w:val="right"/>
            </w:pPr>
            <w:r>
              <w:rPr>
                <w:rFonts w:ascii="Times New Roman" w:hAnsi="Times New Roman" w:cs="Times New Roman" w:eastAsia="Times New Roman"/>
                <w:sz w:val="20"/>
                <w:szCs w:val="20"/>
              </w:rPr>
              <w:t xml:space="preserve">$1,73</w:t>
            </w:r>
          </w:p>
        </w:tc>
        <w:tc>
          <w:tcPr/>
          <w:p>
            <w:pPr>
              <w:pStyle w:val="TableText"/>
              <w:ind w:firstLine="0" w:left="0"/>
              <w:jc w:val="center"/>
            </w:pPr>
            <w:r>
              <w:rPr>
                <w:rFonts w:ascii="Times New Roman" w:hAnsi="Times New Roman" w:cs="Times New Roman" w:eastAsia="Times New Roman"/>
                <w:sz w:val="20"/>
                <w:szCs w:val="20"/>
              </w:rPr>
              <w:t xml:space="preserve">97,08%</w:t>
            </w:r>
          </w:p>
        </w:tc>
        <w:tc>
          <w:tcPr/>
          <w:p>
            <w:pPr>
              <w:pStyle w:val="TableText"/>
              <w:ind w:firstLine="0" w:left="0"/>
              <w:jc w:val="center"/>
            </w:pPr>
            <w:r>
              <w:rPr>
                <w:rFonts w:ascii="Times New Roman" w:hAnsi="Times New Roman" w:cs="Times New Roman" w:eastAsia="Times New Roman"/>
                <w:sz w:val="20"/>
                <w:szCs w:val="20"/>
              </w:rPr>
              <w:t xml:space="preserve">2,92%</w:t>
            </w:r>
          </w:p>
        </w:tc>
        <w:tc>
          <w:tcPr/>
          <w:p>
            <w:pPr>
              <w:pStyle w:val="TableText"/>
              <w:ind w:firstLine="0" w:left="0"/>
              <w:jc w:val="right"/>
            </w:pPr>
            <w:r>
              <w:rPr>
                <w:rFonts w:ascii="Times New Roman" w:hAnsi="Times New Roman" w:cs="Times New Roman" w:eastAsia="Times New Roman"/>
                <w:sz w:val="20"/>
                <w:szCs w:val="20"/>
              </w:rPr>
              <w:t xml:space="preserve">$2.339,69</w:t>
            </w:r>
          </w:p>
        </w:tc>
        <w:tc>
          <w:tcPr/>
          <w:p>
            <w:pPr>
              <w:pStyle w:val="TableText"/>
              <w:ind w:firstLine="0" w:left="0"/>
              <w:jc w:val="right"/>
            </w:pPr>
            <w:r>
              <w:rPr>
                <w:rFonts w:ascii="Times New Roman" w:hAnsi="Times New Roman" w:cs="Times New Roman" w:eastAsia="Times New Roman"/>
                <w:sz w:val="20"/>
                <w:szCs w:val="20"/>
              </w:rPr>
              <w:t xml:space="preserve">$2.339,69</w:t>
            </w:r>
          </w:p>
        </w:tc>
      </w:tr>
      <w:tr>
        <w:tc>
          <w:tcPr/>
          <w:p>
            <w:pPr>
              <w:pStyle w:val="TableText"/>
              <w:ind w:firstLine="0" w:left="0"/>
              <w:jc w:val="center"/>
            </w:pPr>
            <w:r>
              <w:rPr>
                <w:rFonts w:ascii="Times New Roman" w:hAnsi="Times New Roman" w:cs="Times New Roman" w:eastAsia="Times New Roman"/>
                <w:sz w:val="20"/>
                <w:szCs w:val="20"/>
              </w:rPr>
              <w:t xml:space="preserve">511400013</w:t>
            </w:r>
          </w:p>
        </w:tc>
        <w:tc>
          <w:tcPr/>
          <w:p>
            <w:pPr>
              <w:pStyle w:val="TableText"/>
              <w:ind w:firstLine="0" w:left="0"/>
              <w:jc w:val="center"/>
            </w:pPr>
            <w:r>
              <w:rPr>
                <w:rFonts w:ascii="Times New Roman" w:hAnsi="Times New Roman" w:cs="Times New Roman" w:eastAsia="Times New Roman"/>
                <w:sz w:val="20"/>
                <w:szCs w:val="20"/>
              </w:rPr>
              <w:t xml:space="preserve">Obra</w:t>
            </w:r>
          </w:p>
        </w:tc>
        <w:tc>
          <w:tcPr/>
          <w:p>
            <w:pPr>
              <w:pStyle w:val="TableText"/>
              <w:ind w:firstLine="0" w:left="0"/>
              <w:jc w:val="left"/>
            </w:pPr>
            <w:r>
              <w:rPr>
                <w:rFonts w:ascii="Times New Roman" w:hAnsi="Times New Roman" w:cs="Times New Roman" w:eastAsia="Times New Roman"/>
                <w:sz w:val="20"/>
                <w:szCs w:val="20"/>
              </w:rPr>
              <w:t xml:space="preserve">Trazado y replanteo topográfico</w:t>
            </w:r>
          </w:p>
        </w:tc>
        <w:tc>
          <w:tcPr/>
          <w:p>
            <w:pPr>
              <w:pStyle w:val="TableText"/>
              <w:ind w:firstLine="0" w:left="0"/>
              <w:jc w:val="right"/>
            </w:pPr>
            <w:r>
              <w:rPr>
                <w:rFonts w:ascii="Times New Roman" w:hAnsi="Times New Roman" w:cs="Times New Roman" w:eastAsia="Times New Roman"/>
                <w:sz w:val="20"/>
                <w:szCs w:val="20"/>
              </w:rPr>
              <w:t xml:space="preserve">664,31</w:t>
            </w:r>
          </w:p>
        </w:tc>
        <w:tc>
          <w:tcPr/>
          <w:p>
            <w:pPr>
              <w:pStyle w:val="TableText"/>
              <w:ind w:firstLine="0" w:left="0"/>
              <w:jc w:val="center"/>
            </w:pPr>
            <w:r>
              <w:rPr>
                <w:rFonts w:ascii="Times New Roman" w:hAnsi="Times New Roman" w:cs="Times New Roman" w:eastAsia="Times New Roman"/>
                <w:sz w:val="20"/>
                <w:szCs w:val="20"/>
              </w:rPr>
              <w:t xml:space="preserve">m²</w:t>
            </w:r>
          </w:p>
        </w:tc>
        <w:tc>
          <w:tcPr/>
          <w:p>
            <w:pPr>
              <w:pStyle w:val="TableText"/>
              <w:ind w:firstLine="0" w:left="0"/>
              <w:jc w:val="right"/>
            </w:pPr>
            <w:r>
              <w:rPr>
                <w:rFonts w:ascii="Times New Roman" w:hAnsi="Times New Roman" w:cs="Times New Roman" w:eastAsia="Times New Roman"/>
                <w:sz w:val="20"/>
                <w:szCs w:val="20"/>
              </w:rPr>
              <w:t xml:space="preserve">$2,24</w:t>
            </w:r>
          </w:p>
        </w:tc>
        <w:tc>
          <w:tcPr/>
          <w:p>
            <w:pPr>
              <w:pStyle w:val="TableText"/>
              <w:ind w:firstLine="0" w:left="0"/>
              <w:jc w:val="center"/>
            </w:pPr>
            <w:r>
              <w:rPr>
                <w:rFonts w:ascii="Times New Roman" w:hAnsi="Times New Roman" w:cs="Times New Roman" w:eastAsia="Times New Roman"/>
                <w:sz w:val="20"/>
                <w:szCs w:val="20"/>
              </w:rPr>
              <w:t xml:space="preserve">80,64%</w:t>
            </w:r>
          </w:p>
        </w:tc>
        <w:tc>
          <w:tcPr/>
          <w:p>
            <w:pPr>
              <w:pStyle w:val="TableText"/>
              <w:ind w:firstLine="0" w:left="0"/>
              <w:jc w:val="center"/>
            </w:pPr>
            <w:r>
              <w:rPr>
                <w:rFonts w:ascii="Times New Roman" w:hAnsi="Times New Roman" w:cs="Times New Roman" w:eastAsia="Times New Roman"/>
                <w:sz w:val="20"/>
                <w:szCs w:val="20"/>
              </w:rPr>
              <w:t xml:space="preserve">19,36%</w:t>
            </w:r>
          </w:p>
        </w:tc>
        <w:tc>
          <w:tcPr/>
          <w:p>
            <w:pPr>
              <w:pStyle w:val="TableText"/>
              <w:ind w:firstLine="0" w:left="0"/>
              <w:jc w:val="right"/>
            </w:pPr>
            <w:r>
              <w:rPr>
                <w:rFonts w:ascii="Times New Roman" w:hAnsi="Times New Roman" w:cs="Times New Roman" w:eastAsia="Times New Roman"/>
                <w:sz w:val="20"/>
                <w:szCs w:val="20"/>
              </w:rPr>
              <w:t xml:space="preserve">$1.488,05</w:t>
            </w:r>
          </w:p>
        </w:tc>
        <w:tc>
          <w:tcPr/>
          <w:p>
            <w:pPr>
              <w:pStyle w:val="TableText"/>
              <w:ind w:firstLine="0" w:left="0"/>
              <w:jc w:val="right"/>
            </w:pPr>
            <w:r>
              <w:rPr>
                <w:rFonts w:ascii="Times New Roman" w:hAnsi="Times New Roman" w:cs="Times New Roman" w:eastAsia="Times New Roman"/>
                <w:sz w:val="20"/>
                <w:szCs w:val="20"/>
              </w:rPr>
              <w:t xml:space="preserve">$1.488,05</w:t>
            </w:r>
          </w:p>
        </w:tc>
      </w:tr>
      <w:tr>
        <w:tc>
          <w:tcPr/>
          <w:p>
            <w:pPr>
              <w:pStyle w:val="TableText"/>
              <w:ind w:firstLine="0" w:left="0"/>
              <w:jc w:val="center"/>
            </w:pPr>
            <w:r>
              <w:rPr>
                <w:rFonts w:ascii="Times New Roman" w:hAnsi="Times New Roman" w:cs="Times New Roman" w:eastAsia="Times New Roman"/>
                <w:sz w:val="20"/>
                <w:szCs w:val="20"/>
              </w:rPr>
              <w:t xml:space="preserve">541220013</w:t>
            </w:r>
          </w:p>
        </w:tc>
        <w:tc>
          <w:tcPr/>
          <w:p>
            <w:pPr>
              <w:pStyle w:val="TableText"/>
              <w:ind w:firstLine="0" w:left="0"/>
              <w:jc w:val="center"/>
            </w:pPr>
            <w:r>
              <w:rPr>
                <w:rFonts w:ascii="Times New Roman" w:hAnsi="Times New Roman" w:cs="Times New Roman" w:eastAsia="Times New Roman"/>
                <w:sz w:val="20"/>
                <w:szCs w:val="20"/>
              </w:rPr>
              <w:t xml:space="preserve">Obra</w:t>
            </w:r>
          </w:p>
        </w:tc>
        <w:tc>
          <w:tcPr/>
          <w:p>
            <w:pPr>
              <w:pStyle w:val="TableText"/>
              <w:ind w:firstLine="0" w:left="0"/>
              <w:jc w:val="left"/>
            </w:pPr>
            <w:r>
              <w:rPr>
                <w:rFonts w:ascii="Times New Roman" w:hAnsi="Times New Roman" w:cs="Times New Roman" w:eastAsia="Times New Roman"/>
                <w:sz w:val="20"/>
                <w:szCs w:val="20"/>
              </w:rPr>
              <w:t xml:space="preserve">Movimiento tierras y cimentaciones</w:t>
            </w:r>
          </w:p>
        </w:tc>
        <w:tc>
          <w:tcPr/>
          <w:p>
            <w:pPr>
              <w:pStyle w:val="TableText"/>
              <w:ind w:firstLine="0" w:left="0"/>
              <w:jc w:val="right"/>
            </w:pPr>
            <w:r>
              <w:rPr>
                <w:rFonts w:ascii="Times New Roman" w:hAnsi="Times New Roman" w:cs="Times New Roman" w:eastAsia="Times New Roman"/>
                <w:sz w:val="20"/>
                <w:szCs w:val="20"/>
              </w:rPr>
              <w:t xml:space="preserve">1.190,88</w:t>
            </w:r>
          </w:p>
        </w:tc>
        <w:tc>
          <w:tcPr/>
          <w:p>
            <w:pPr>
              <w:pStyle w:val="TableText"/>
              <w:ind w:firstLine="0" w:left="0"/>
              <w:jc w:val="center"/>
            </w:pPr>
            <w:r>
              <w:rPr>
                <w:rFonts w:ascii="Times New Roman" w:hAnsi="Times New Roman" w:cs="Times New Roman" w:eastAsia="Times New Roman"/>
                <w:sz w:val="20"/>
                <w:szCs w:val="20"/>
              </w:rPr>
              <w:t xml:space="preserve">m³</w:t>
            </w:r>
          </w:p>
        </w:tc>
        <w:tc>
          <w:tcPr/>
          <w:p>
            <w:pPr>
              <w:pStyle w:val="TableText"/>
              <w:ind w:firstLine="0" w:left="0"/>
              <w:jc w:val="right"/>
            </w:pPr>
            <w:r>
              <w:rPr>
                <w:rFonts w:ascii="Times New Roman" w:hAnsi="Times New Roman" w:cs="Times New Roman" w:eastAsia="Times New Roman"/>
                <w:sz w:val="20"/>
                <w:szCs w:val="20"/>
              </w:rPr>
              <w:t xml:space="preserve">$18,84</w:t>
            </w:r>
          </w:p>
        </w:tc>
        <w:tc>
          <w:tcPr/>
          <w:p>
            <w:pPr>
              <w:pStyle w:val="TableText"/>
              <w:ind w:firstLine="0" w:left="0"/>
              <w:jc w:val="center"/>
            </w:pPr>
            <w:r>
              <w:rPr>
                <w:rFonts w:ascii="Times New Roman" w:hAnsi="Times New Roman" w:cs="Times New Roman" w:eastAsia="Times New Roman"/>
                <w:sz w:val="20"/>
                <w:szCs w:val="20"/>
              </w:rPr>
              <w:t xml:space="preserve">85,00%</w:t>
            </w:r>
          </w:p>
        </w:tc>
        <w:tc>
          <w:tcPr/>
          <w:p>
            <w:pPr>
              <w:pStyle w:val="TableText"/>
              <w:ind w:firstLine="0" w:left="0"/>
              <w:jc w:val="center"/>
            </w:pPr>
            <w:r>
              <w:rPr>
                <w:rFonts w:ascii="Times New Roman" w:hAnsi="Times New Roman" w:cs="Times New Roman" w:eastAsia="Times New Roman"/>
                <w:sz w:val="20"/>
                <w:szCs w:val="20"/>
              </w:rPr>
              <w:t xml:space="preserve">15,00%</w:t>
            </w:r>
          </w:p>
        </w:tc>
        <w:tc>
          <w:tcPr/>
          <w:p>
            <w:pPr>
              <w:pStyle w:val="TableText"/>
              <w:ind w:firstLine="0" w:left="0"/>
              <w:jc w:val="right"/>
            </w:pPr>
            <w:r>
              <w:rPr>
                <w:rFonts w:ascii="Times New Roman" w:hAnsi="Times New Roman" w:cs="Times New Roman" w:eastAsia="Times New Roman"/>
                <w:sz w:val="20"/>
                <w:szCs w:val="20"/>
              </w:rPr>
              <w:t xml:space="preserve">$22.433,04</w:t>
            </w:r>
          </w:p>
        </w:tc>
        <w:tc>
          <w:tcPr/>
          <w:p>
            <w:pPr>
              <w:pStyle w:val="TableText"/>
              <w:ind w:firstLine="0" w:left="0"/>
              <w:jc w:val="right"/>
            </w:pPr>
            <w:r>
              <w:rPr>
                <w:rFonts w:ascii="Times New Roman" w:hAnsi="Times New Roman" w:cs="Times New Roman" w:eastAsia="Times New Roman"/>
                <w:sz w:val="20"/>
                <w:szCs w:val="20"/>
              </w:rPr>
              <w:t xml:space="preserve">$22.433,04</w:t>
            </w:r>
          </w:p>
        </w:tc>
      </w:tr>
      <w:tr>
        <w:tc>
          <w:tcPr/>
          <w:p>
            <w:pPr>
              <w:pStyle w:val="TableText"/>
              <w:ind w:firstLine="0" w:left="0"/>
              <w:jc w:val="center"/>
            </w:pPr>
            <w:r>
              <w:rPr>
                <w:rFonts w:ascii="Times New Roman" w:hAnsi="Times New Roman" w:cs="Times New Roman" w:eastAsia="Times New Roman"/>
                <w:sz w:val="20"/>
                <w:szCs w:val="20"/>
              </w:rPr>
              <w:t xml:space="preserve">375100014</w:t>
            </w:r>
          </w:p>
        </w:tc>
        <w:tc>
          <w:tcPr/>
          <w:p>
            <w:pPr>
              <w:pStyle w:val="TableText"/>
              <w:ind w:firstLine="0" w:left="0"/>
              <w:jc w:val="center"/>
            </w:pPr>
            <w:r>
              <w:rPr>
                <w:rFonts w:ascii="Times New Roman" w:hAnsi="Times New Roman" w:cs="Times New Roman" w:eastAsia="Times New Roman"/>
                <w:sz w:val="20"/>
                <w:szCs w:val="20"/>
              </w:rPr>
              <w:t xml:space="preserve">Bien</w:t>
            </w:r>
          </w:p>
        </w:tc>
        <w:tc>
          <w:tcPr/>
          <w:p>
            <w:pPr>
              <w:pStyle w:val="TableText"/>
              <w:ind w:firstLine="0" w:left="0"/>
              <w:jc w:val="left"/>
            </w:pPr>
            <w:r>
              <w:rPr>
                <w:rFonts w:ascii="Times New Roman" w:hAnsi="Times New Roman" w:cs="Times New Roman" w:eastAsia="Times New Roman"/>
                <w:sz w:val="20"/>
                <w:szCs w:val="20"/>
              </w:rPr>
              <w:t xml:space="preserve">Hormigón simple f’c=240 kg/cm²</w:t>
            </w:r>
          </w:p>
        </w:tc>
        <w:tc>
          <w:tcPr/>
          <w:p>
            <w:pPr>
              <w:pStyle w:val="TableText"/>
              <w:ind w:firstLine="0" w:left="0"/>
              <w:jc w:val="right"/>
            </w:pPr>
            <w:r>
              <w:rPr>
                <w:rFonts w:ascii="Times New Roman" w:hAnsi="Times New Roman" w:cs="Times New Roman" w:eastAsia="Times New Roman"/>
                <w:sz w:val="20"/>
                <w:szCs w:val="20"/>
              </w:rPr>
              <w:t xml:space="preserve">68,50</w:t>
            </w:r>
          </w:p>
        </w:tc>
        <w:tc>
          <w:tcPr/>
          <w:p>
            <w:pPr>
              <w:pStyle w:val="TableText"/>
              <w:ind w:firstLine="0" w:left="0"/>
              <w:jc w:val="center"/>
            </w:pPr>
            <w:r>
              <w:rPr>
                <w:rFonts w:ascii="Times New Roman" w:hAnsi="Times New Roman" w:cs="Times New Roman" w:eastAsia="Times New Roman"/>
                <w:sz w:val="20"/>
                <w:szCs w:val="20"/>
              </w:rPr>
              <w:t xml:space="preserve">m³</w:t>
            </w:r>
          </w:p>
        </w:tc>
        <w:tc>
          <w:tcPr/>
          <w:p>
            <w:pPr>
              <w:pStyle w:val="TableText"/>
              <w:ind w:firstLine="0" w:left="0"/>
              <w:jc w:val="right"/>
            </w:pPr>
            <w:r>
              <w:rPr>
                <w:rFonts w:ascii="Times New Roman" w:hAnsi="Times New Roman" w:cs="Times New Roman" w:eastAsia="Times New Roman"/>
                <w:sz w:val="20"/>
                <w:szCs w:val="20"/>
              </w:rPr>
              <w:t xml:space="preserve">$280,68</w:t>
            </w:r>
          </w:p>
        </w:tc>
        <w:tc>
          <w:tcPr/>
          <w:p>
            <w:pPr>
              <w:pStyle w:val="TableText"/>
              <w:ind w:firstLine="0" w:left="0"/>
              <w:jc w:val="center"/>
            </w:pPr>
            <w:r>
              <w:rPr>
                <w:rFonts w:ascii="Times New Roman" w:hAnsi="Times New Roman" w:cs="Times New Roman" w:eastAsia="Times New Roman"/>
                <w:sz w:val="20"/>
                <w:szCs w:val="20"/>
              </w:rPr>
              <w:t xml:space="preserve">75,00%</w:t>
            </w:r>
          </w:p>
        </w:tc>
        <w:tc>
          <w:tcPr/>
          <w:p>
            <w:pPr>
              <w:pStyle w:val="TableText"/>
              <w:ind w:firstLine="0" w:left="0"/>
              <w:jc w:val="center"/>
            </w:pPr>
            <w:r>
              <w:rPr>
                <w:rFonts w:ascii="Times New Roman" w:hAnsi="Times New Roman" w:cs="Times New Roman" w:eastAsia="Times New Roman"/>
                <w:sz w:val="20"/>
                <w:szCs w:val="20"/>
              </w:rPr>
              <w:t xml:space="preserve">25,00%</w:t>
            </w:r>
          </w:p>
        </w:tc>
        <w:tc>
          <w:tcPr/>
          <w:p>
            <w:pPr>
              <w:pStyle w:val="TableText"/>
              <w:ind w:firstLine="0" w:left="0"/>
              <w:jc w:val="right"/>
            </w:pPr>
            <w:r>
              <w:rPr>
                <w:rFonts w:ascii="Times New Roman" w:hAnsi="Times New Roman" w:cs="Times New Roman" w:eastAsia="Times New Roman"/>
                <w:sz w:val="20"/>
                <w:szCs w:val="20"/>
              </w:rPr>
              <w:t xml:space="preserve">$19.226,58</w:t>
            </w:r>
          </w:p>
        </w:tc>
        <w:tc>
          <w:tcPr/>
          <w:p>
            <w:pPr>
              <w:pStyle w:val="TableText"/>
              <w:ind w:firstLine="0" w:left="0"/>
              <w:jc w:val="right"/>
            </w:pPr>
            <w:r>
              <w:rPr>
                <w:rFonts w:ascii="Times New Roman" w:hAnsi="Times New Roman" w:cs="Times New Roman" w:eastAsia="Times New Roman"/>
                <w:sz w:val="20"/>
                <w:szCs w:val="20"/>
              </w:rPr>
              <w:t xml:space="preserve">$19.226,58</w:t>
            </w:r>
          </w:p>
        </w:tc>
      </w:tr>
      <w:tr>
        <w:tc>
          <w:tcPr/>
          <w:p>
            <w:pPr>
              <w:pStyle w:val="TableText"/>
              <w:ind w:firstLine="0" w:left="0"/>
              <w:jc w:val="center"/>
            </w:pPr>
            <w:r>
              <w:rPr>
                <w:rFonts w:ascii="Times New Roman" w:hAnsi="Times New Roman" w:cs="Times New Roman" w:eastAsia="Times New Roman"/>
                <w:sz w:val="20"/>
                <w:szCs w:val="20"/>
              </w:rPr>
              <w:t xml:space="preserve">412610012</w:t>
            </w:r>
          </w:p>
        </w:tc>
        <w:tc>
          <w:tcPr/>
          <w:p>
            <w:pPr>
              <w:pStyle w:val="TableText"/>
              <w:ind w:firstLine="0" w:left="0"/>
              <w:jc w:val="center"/>
            </w:pPr>
            <w:r>
              <w:rPr>
                <w:rFonts w:ascii="Times New Roman" w:hAnsi="Times New Roman" w:cs="Times New Roman" w:eastAsia="Times New Roman"/>
                <w:sz w:val="20"/>
                <w:szCs w:val="20"/>
              </w:rPr>
              <w:t xml:space="preserve">Bien</w:t>
            </w:r>
          </w:p>
        </w:tc>
        <w:tc>
          <w:tcPr/>
          <w:p>
            <w:pPr>
              <w:pStyle w:val="TableText"/>
              <w:ind w:firstLine="0" w:left="0"/>
              <w:jc w:val="left"/>
            </w:pPr>
            <w:r>
              <w:rPr>
                <w:rFonts w:ascii="Times New Roman" w:hAnsi="Times New Roman" w:cs="Times New Roman" w:eastAsia="Times New Roman"/>
                <w:sz w:val="20"/>
                <w:szCs w:val="20"/>
              </w:rPr>
              <w:t xml:space="preserve">Acero de refuerzo fy=4200 kg/cm²</w:t>
            </w:r>
          </w:p>
        </w:tc>
        <w:tc>
          <w:tcPr/>
          <w:p>
            <w:pPr>
              <w:pStyle w:val="TableText"/>
              <w:ind w:firstLine="0" w:left="0"/>
              <w:jc w:val="right"/>
            </w:pPr>
            <w:r>
              <w:rPr>
                <w:rFonts w:ascii="Times New Roman" w:hAnsi="Times New Roman" w:cs="Times New Roman" w:eastAsia="Times New Roman"/>
                <w:sz w:val="20"/>
                <w:szCs w:val="20"/>
              </w:rPr>
              <w:t xml:space="preserve">10.736,50</w:t>
            </w:r>
          </w:p>
        </w:tc>
        <w:tc>
          <w:tcPr/>
          <w:p>
            <w:pPr>
              <w:pStyle w:val="TableText"/>
              <w:ind w:firstLine="0" w:left="0"/>
              <w:jc w:val="center"/>
            </w:pPr>
            <w:r>
              <w:rPr>
                <w:rFonts w:ascii="Times New Roman" w:hAnsi="Times New Roman" w:cs="Times New Roman" w:eastAsia="Times New Roman"/>
                <w:sz w:val="20"/>
                <w:szCs w:val="20"/>
              </w:rPr>
              <w:t xml:space="preserve">kg</w:t>
            </w:r>
          </w:p>
        </w:tc>
        <w:tc>
          <w:tcPr/>
          <w:p>
            <w:pPr>
              <w:pStyle w:val="TableText"/>
              <w:ind w:firstLine="0" w:left="0"/>
              <w:jc w:val="right"/>
            </w:pPr>
            <w:r>
              <w:rPr>
                <w:rFonts w:ascii="Times New Roman" w:hAnsi="Times New Roman" w:cs="Times New Roman" w:eastAsia="Times New Roman"/>
                <w:sz w:val="20"/>
                <w:szCs w:val="20"/>
              </w:rPr>
              <w:t xml:space="preserve">$2,60</w:t>
            </w:r>
          </w:p>
        </w:tc>
        <w:tc>
          <w:tcPr/>
          <w:p>
            <w:pPr>
              <w:pStyle w:val="TableText"/>
              <w:ind w:firstLine="0" w:left="0"/>
              <w:jc w:val="center"/>
            </w:pPr>
            <w:r>
              <w:rPr>
                <w:rFonts w:ascii="Times New Roman" w:hAnsi="Times New Roman" w:cs="Times New Roman" w:eastAsia="Times New Roman"/>
                <w:sz w:val="20"/>
                <w:szCs w:val="20"/>
              </w:rPr>
              <w:t xml:space="preserve">65,00%</w:t>
            </w:r>
          </w:p>
        </w:tc>
        <w:tc>
          <w:tcPr/>
          <w:p>
            <w:pPr>
              <w:pStyle w:val="TableText"/>
              <w:ind w:firstLine="0" w:left="0"/>
              <w:jc w:val="center"/>
            </w:pPr>
            <w:r>
              <w:rPr>
                <w:rFonts w:ascii="Times New Roman" w:hAnsi="Times New Roman" w:cs="Times New Roman" w:eastAsia="Times New Roman"/>
                <w:sz w:val="20"/>
                <w:szCs w:val="20"/>
              </w:rPr>
              <w:t xml:space="preserve">35,00%</w:t>
            </w:r>
          </w:p>
        </w:tc>
        <w:tc>
          <w:tcPr/>
          <w:p>
            <w:pPr>
              <w:pStyle w:val="TableText"/>
              <w:ind w:firstLine="0" w:left="0"/>
              <w:jc w:val="right"/>
            </w:pPr>
            <w:r>
              <w:rPr>
                <w:rFonts w:ascii="Times New Roman" w:hAnsi="Times New Roman" w:cs="Times New Roman" w:eastAsia="Times New Roman"/>
                <w:sz w:val="20"/>
                <w:szCs w:val="20"/>
              </w:rPr>
              <w:t xml:space="preserve">$27.914,90</w:t>
            </w:r>
          </w:p>
        </w:tc>
        <w:tc>
          <w:tcPr/>
          <w:p>
            <w:pPr>
              <w:pStyle w:val="TableText"/>
              <w:ind w:firstLine="0" w:left="0"/>
              <w:jc w:val="right"/>
            </w:pPr>
            <w:r>
              <w:rPr>
                <w:rFonts w:ascii="Times New Roman" w:hAnsi="Times New Roman" w:cs="Times New Roman" w:eastAsia="Times New Roman"/>
                <w:sz w:val="20"/>
                <w:szCs w:val="20"/>
              </w:rPr>
              <w:t xml:space="preserve">$27.914,90</w:t>
            </w:r>
          </w:p>
        </w:tc>
      </w:tr>
      <w:tr>
        <w:tc>
          <w:tcPr/>
          <w:p>
            <w:pPr>
              <w:pStyle w:val="TableText"/>
              <w:ind w:firstLine="0" w:left="0"/>
              <w:jc w:val="center"/>
            </w:pPr>
            <w:r>
              <w:rPr>
                <w:rFonts w:ascii="Times New Roman" w:hAnsi="Times New Roman" w:cs="Times New Roman" w:eastAsia="Times New Roman"/>
                <w:sz w:val="20"/>
                <w:szCs w:val="20"/>
              </w:rPr>
              <w:t xml:space="preserve">421110012</w:t>
            </w:r>
          </w:p>
        </w:tc>
        <w:tc>
          <w:tcPr/>
          <w:p>
            <w:pPr>
              <w:pStyle w:val="TableText"/>
              <w:ind w:firstLine="0" w:left="0"/>
              <w:jc w:val="center"/>
            </w:pPr>
            <w:r>
              <w:rPr>
                <w:rFonts w:ascii="Times New Roman" w:hAnsi="Times New Roman" w:cs="Times New Roman" w:eastAsia="Times New Roman"/>
                <w:sz w:val="20"/>
                <w:szCs w:val="20"/>
              </w:rPr>
              <w:t xml:space="preserve">Bien/Obra</w:t>
            </w:r>
          </w:p>
        </w:tc>
        <w:tc>
          <w:tcPr/>
          <w:p>
            <w:pPr>
              <w:pStyle w:val="TableText"/>
              <w:ind w:firstLine="0" w:left="0"/>
              <w:jc w:val="left"/>
            </w:pPr>
            <w:r>
              <w:rPr>
                <w:rFonts w:ascii="Times New Roman" w:hAnsi="Times New Roman" w:cs="Times New Roman" w:eastAsia="Times New Roman"/>
                <w:sz w:val="20"/>
                <w:szCs w:val="20"/>
              </w:rPr>
              <w:t xml:space="preserve">Suministro y fab. acero ASTM A-588</w:t>
            </w:r>
          </w:p>
        </w:tc>
        <w:tc>
          <w:tcPr/>
          <w:p>
            <w:pPr>
              <w:pStyle w:val="TableText"/>
              <w:ind w:firstLine="0" w:left="0"/>
              <w:jc w:val="right"/>
            </w:pPr>
            <w:r>
              <w:rPr>
                <w:rFonts w:ascii="Times New Roman" w:hAnsi="Times New Roman" w:cs="Times New Roman" w:eastAsia="Times New Roman"/>
                <w:sz w:val="20"/>
                <w:szCs w:val="20"/>
              </w:rPr>
              <w:t xml:space="preserve">39.972,00</w:t>
            </w:r>
          </w:p>
        </w:tc>
        <w:tc>
          <w:tcPr/>
          <w:p>
            <w:pPr>
              <w:pStyle w:val="TableText"/>
              <w:ind w:firstLine="0" w:left="0"/>
              <w:jc w:val="center"/>
            </w:pPr>
            <w:r>
              <w:rPr>
                <w:rFonts w:ascii="Times New Roman" w:hAnsi="Times New Roman" w:cs="Times New Roman" w:eastAsia="Times New Roman"/>
                <w:sz w:val="20"/>
                <w:szCs w:val="20"/>
              </w:rPr>
              <w:t xml:space="preserve">kg</w:t>
            </w:r>
          </w:p>
        </w:tc>
        <w:tc>
          <w:tcPr/>
          <w:p>
            <w:pPr>
              <w:pStyle w:val="TableText"/>
              <w:ind w:firstLine="0" w:left="0"/>
              <w:jc w:val="right"/>
            </w:pPr>
            <w:r>
              <w:rPr>
                <w:rFonts w:ascii="Times New Roman" w:hAnsi="Times New Roman" w:cs="Times New Roman" w:eastAsia="Times New Roman"/>
                <w:sz w:val="20"/>
                <w:szCs w:val="20"/>
              </w:rPr>
              <w:t xml:space="preserve">$4,55</w:t>
            </w:r>
          </w:p>
        </w:tc>
        <w:tc>
          <w:tcPr/>
          <w:p>
            <w:pPr>
              <w:pStyle w:val="TableText"/>
              <w:ind w:firstLine="0" w:left="0"/>
              <w:jc w:val="center"/>
            </w:pPr>
            <w:r>
              <w:rPr>
                <w:rFonts w:ascii="Times New Roman" w:hAnsi="Times New Roman" w:cs="Times New Roman" w:eastAsia="Times New Roman"/>
                <w:sz w:val="20"/>
                <w:szCs w:val="20"/>
              </w:rPr>
              <w:t xml:space="preserve">45,00%</w:t>
            </w:r>
          </w:p>
        </w:tc>
        <w:tc>
          <w:tcPr/>
          <w:p>
            <w:pPr>
              <w:pStyle w:val="TableText"/>
              <w:ind w:firstLine="0" w:left="0"/>
              <w:jc w:val="center"/>
            </w:pPr>
            <w:r>
              <w:rPr>
                <w:rFonts w:ascii="Times New Roman" w:hAnsi="Times New Roman" w:cs="Times New Roman" w:eastAsia="Times New Roman"/>
                <w:sz w:val="20"/>
                <w:szCs w:val="20"/>
              </w:rPr>
              <w:t xml:space="preserve">55,00%</w:t>
            </w:r>
          </w:p>
        </w:tc>
        <w:tc>
          <w:tcPr/>
          <w:p>
            <w:pPr>
              <w:pStyle w:val="TableText"/>
              <w:ind w:firstLine="0" w:left="0"/>
              <w:jc w:val="right"/>
            </w:pPr>
            <w:r>
              <w:rPr>
                <w:rFonts w:ascii="Times New Roman" w:hAnsi="Times New Roman" w:cs="Times New Roman" w:eastAsia="Times New Roman"/>
                <w:sz w:val="20"/>
                <w:szCs w:val="20"/>
              </w:rPr>
              <w:t xml:space="preserve">$181.872,60</w:t>
            </w:r>
          </w:p>
        </w:tc>
        <w:tc>
          <w:tcPr/>
          <w:p>
            <w:pPr>
              <w:pStyle w:val="TableText"/>
              <w:ind w:firstLine="0" w:left="0"/>
              <w:jc w:val="right"/>
            </w:pPr>
            <w:r>
              <w:rPr>
                <w:rFonts w:ascii="Times New Roman" w:hAnsi="Times New Roman" w:cs="Times New Roman" w:eastAsia="Times New Roman"/>
                <w:sz w:val="20"/>
                <w:szCs w:val="20"/>
              </w:rPr>
              <w:t xml:space="preserve">$181.872,60</w:t>
            </w:r>
          </w:p>
        </w:tc>
      </w:tr>
      <w:tr>
        <w:tc>
          <w:tcPr/>
          <w:p>
            <w:pPr>
              <w:pStyle w:val="TableText"/>
              <w:ind w:firstLine="0" w:left="0"/>
              <w:jc w:val="center"/>
            </w:pPr>
            <w:r>
              <w:rPr>
                <w:rFonts w:ascii="Times New Roman" w:hAnsi="Times New Roman" w:cs="Times New Roman" w:eastAsia="Times New Roman"/>
                <w:sz w:val="20"/>
                <w:szCs w:val="20"/>
              </w:rPr>
              <w:t xml:space="preserve">541290013</w:t>
            </w:r>
          </w:p>
        </w:tc>
        <w:tc>
          <w:tcPr/>
          <w:p>
            <w:pPr>
              <w:pStyle w:val="TableText"/>
              <w:ind w:firstLine="0" w:left="0"/>
              <w:jc w:val="center"/>
            </w:pPr>
            <w:r>
              <w:rPr>
                <w:rFonts w:ascii="Times New Roman" w:hAnsi="Times New Roman" w:cs="Times New Roman" w:eastAsia="Times New Roman"/>
                <w:sz w:val="20"/>
                <w:szCs w:val="20"/>
              </w:rPr>
              <w:t xml:space="preserve">Obra</w:t>
            </w:r>
          </w:p>
        </w:tc>
        <w:tc>
          <w:tcPr/>
          <w:p>
            <w:pPr>
              <w:pStyle w:val="TableText"/>
              <w:ind w:firstLine="0" w:left="0"/>
              <w:jc w:val="left"/>
            </w:pPr>
            <w:r>
              <w:rPr>
                <w:rFonts w:ascii="Times New Roman" w:hAnsi="Times New Roman" w:cs="Times New Roman" w:eastAsia="Times New Roman"/>
                <w:sz w:val="20"/>
                <w:szCs w:val="20"/>
              </w:rPr>
              <w:t xml:space="preserve">Montaje y pintura acero ASTM A-588</w:t>
            </w:r>
          </w:p>
        </w:tc>
        <w:tc>
          <w:tcPr/>
          <w:p>
            <w:pPr>
              <w:pStyle w:val="TableText"/>
              <w:ind w:firstLine="0" w:left="0"/>
              <w:jc w:val="right"/>
            </w:pPr>
            <w:r>
              <w:rPr>
                <w:rFonts w:ascii="Times New Roman" w:hAnsi="Times New Roman" w:cs="Times New Roman" w:eastAsia="Times New Roman"/>
                <w:sz w:val="20"/>
                <w:szCs w:val="20"/>
              </w:rPr>
              <w:t xml:space="preserve">39.972,00</w:t>
            </w:r>
          </w:p>
        </w:tc>
        <w:tc>
          <w:tcPr/>
          <w:p>
            <w:pPr>
              <w:pStyle w:val="TableText"/>
              <w:ind w:firstLine="0" w:left="0"/>
              <w:jc w:val="center"/>
            </w:pPr>
            <w:r>
              <w:rPr>
                <w:rFonts w:ascii="Times New Roman" w:hAnsi="Times New Roman" w:cs="Times New Roman" w:eastAsia="Times New Roman"/>
                <w:sz w:val="20"/>
                <w:szCs w:val="20"/>
              </w:rPr>
              <w:t xml:space="preserve">kg</w:t>
            </w:r>
          </w:p>
        </w:tc>
        <w:tc>
          <w:tcPr/>
          <w:p>
            <w:pPr>
              <w:pStyle w:val="TableText"/>
              <w:ind w:firstLine="0" w:left="0"/>
              <w:jc w:val="right"/>
            </w:pPr>
            <w:r>
              <w:rPr>
                <w:rFonts w:ascii="Times New Roman" w:hAnsi="Times New Roman" w:cs="Times New Roman" w:eastAsia="Times New Roman"/>
                <w:sz w:val="20"/>
                <w:szCs w:val="20"/>
              </w:rPr>
              <w:t xml:space="preserve">$1,68</w:t>
            </w:r>
          </w:p>
        </w:tc>
        <w:tc>
          <w:tcPr/>
          <w:p>
            <w:pPr>
              <w:pStyle w:val="TableText"/>
              <w:ind w:firstLine="0" w:left="0"/>
              <w:jc w:val="center"/>
            </w:pPr>
            <w:r>
              <w:rPr>
                <w:rFonts w:ascii="Times New Roman" w:hAnsi="Times New Roman" w:cs="Times New Roman" w:eastAsia="Times New Roman"/>
                <w:sz w:val="20"/>
                <w:szCs w:val="20"/>
              </w:rPr>
              <w:t xml:space="preserve">70,00%</w:t>
            </w:r>
          </w:p>
        </w:tc>
        <w:tc>
          <w:tcPr/>
          <w:p>
            <w:pPr>
              <w:pStyle w:val="TableText"/>
              <w:ind w:firstLine="0" w:left="0"/>
              <w:jc w:val="center"/>
            </w:pPr>
            <w:r>
              <w:rPr>
                <w:rFonts w:ascii="Times New Roman" w:hAnsi="Times New Roman" w:cs="Times New Roman" w:eastAsia="Times New Roman"/>
                <w:sz w:val="20"/>
                <w:szCs w:val="20"/>
              </w:rPr>
              <w:t xml:space="preserve">30,00%</w:t>
            </w:r>
          </w:p>
        </w:tc>
        <w:tc>
          <w:tcPr/>
          <w:p>
            <w:pPr>
              <w:pStyle w:val="TableText"/>
              <w:ind w:firstLine="0" w:left="0"/>
              <w:jc w:val="right"/>
            </w:pPr>
            <w:r>
              <w:rPr>
                <w:rFonts w:ascii="Times New Roman" w:hAnsi="Times New Roman" w:cs="Times New Roman" w:eastAsia="Times New Roman"/>
                <w:sz w:val="20"/>
                <w:szCs w:val="20"/>
              </w:rPr>
              <w:t xml:space="preserve">$67.152,96</w:t>
            </w:r>
          </w:p>
        </w:tc>
        <w:tc>
          <w:tcPr/>
          <w:p>
            <w:pPr>
              <w:pStyle w:val="TableText"/>
              <w:ind w:firstLine="0" w:left="0"/>
              <w:jc w:val="right"/>
            </w:pPr>
            <w:r>
              <w:rPr>
                <w:rFonts w:ascii="Times New Roman" w:hAnsi="Times New Roman" w:cs="Times New Roman" w:eastAsia="Times New Roman"/>
                <w:sz w:val="20"/>
                <w:szCs w:val="20"/>
              </w:rPr>
              <w:t xml:space="preserve">$67.152,96</w:t>
            </w:r>
          </w:p>
        </w:tc>
      </w:tr>
      <w:tr>
        <w:tc>
          <w:tcPr/>
          <w:p>
            <w:pPr>
              <w:pStyle w:val="TableText"/>
              <w:ind w:firstLine="0" w:left="0"/>
              <w:jc w:val="center"/>
            </w:pPr>
            <w:r>
              <w:rPr>
                <w:rFonts w:ascii="Times New Roman" w:hAnsi="Times New Roman" w:cs="Times New Roman" w:eastAsia="Times New Roman"/>
                <w:sz w:val="20"/>
                <w:szCs w:val="20"/>
              </w:rPr>
              <w:t xml:space="preserve">542100013</w:t>
            </w:r>
          </w:p>
        </w:tc>
        <w:tc>
          <w:tcPr/>
          <w:p>
            <w:pPr>
              <w:pStyle w:val="TableText"/>
              <w:ind w:firstLine="0" w:left="0"/>
              <w:jc w:val="center"/>
            </w:pPr>
            <w:r>
              <w:rPr>
                <w:rFonts w:ascii="Times New Roman" w:hAnsi="Times New Roman" w:cs="Times New Roman" w:eastAsia="Times New Roman"/>
                <w:sz w:val="20"/>
                <w:szCs w:val="20"/>
              </w:rPr>
              <w:t xml:space="preserve">Obra</w:t>
            </w:r>
          </w:p>
        </w:tc>
        <w:tc>
          <w:tcPr/>
          <w:p>
            <w:pPr>
              <w:pStyle w:val="TableText"/>
              <w:ind w:firstLine="0" w:left="0"/>
              <w:jc w:val="left"/>
            </w:pPr>
            <w:r>
              <w:rPr>
                <w:rFonts w:ascii="Times New Roman" w:hAnsi="Times New Roman" w:cs="Times New Roman" w:eastAsia="Times New Roman"/>
                <w:sz w:val="20"/>
                <w:szCs w:val="20"/>
              </w:rPr>
              <w:t xml:space="preserve">Gaviones y obras ribereñas</w:t>
            </w:r>
          </w:p>
        </w:tc>
        <w:tc>
          <w:tcPr/>
          <w:p>
            <w:pPr>
              <w:pStyle w:val="TableText"/>
              <w:ind w:firstLine="0" w:left="0"/>
              <w:jc w:val="right"/>
            </w:pPr>
            <w:r>
              <w:rPr>
                <w:rFonts w:ascii="Times New Roman" w:hAnsi="Times New Roman" w:cs="Times New Roman" w:eastAsia="Times New Roman"/>
                <w:sz w:val="20"/>
                <w:szCs w:val="20"/>
              </w:rPr>
              <w:t xml:space="preserve">55,70</w:t>
            </w:r>
          </w:p>
        </w:tc>
        <w:tc>
          <w:tcPr/>
          <w:p>
            <w:pPr>
              <w:pStyle w:val="TableText"/>
              <w:ind w:firstLine="0" w:left="0"/>
              <w:jc w:val="center"/>
            </w:pPr>
            <w:r>
              <w:rPr>
                <w:rFonts w:ascii="Times New Roman" w:hAnsi="Times New Roman" w:cs="Times New Roman" w:eastAsia="Times New Roman"/>
                <w:sz w:val="20"/>
                <w:szCs w:val="20"/>
              </w:rPr>
              <w:t xml:space="preserve">m³</w:t>
            </w:r>
          </w:p>
        </w:tc>
        <w:tc>
          <w:tcPr/>
          <w:p>
            <w:pPr>
              <w:pStyle w:val="TableText"/>
              <w:ind w:firstLine="0" w:left="0"/>
              <w:jc w:val="right"/>
            </w:pPr>
            <w:r>
              <w:rPr>
                <w:rFonts w:ascii="Times New Roman" w:hAnsi="Times New Roman" w:cs="Times New Roman" w:eastAsia="Times New Roman"/>
                <w:sz w:val="20"/>
                <w:szCs w:val="20"/>
              </w:rPr>
              <w:t xml:space="preserve">$95,71</w:t>
            </w:r>
          </w:p>
        </w:tc>
        <w:tc>
          <w:tcPr/>
          <w:p>
            <w:pPr>
              <w:pStyle w:val="TableText"/>
              <w:ind w:firstLine="0" w:left="0"/>
              <w:jc w:val="center"/>
            </w:pPr>
            <w:r>
              <w:rPr>
                <w:rFonts w:ascii="Times New Roman" w:hAnsi="Times New Roman" w:cs="Times New Roman" w:eastAsia="Times New Roman"/>
                <w:sz w:val="20"/>
                <w:szCs w:val="20"/>
              </w:rPr>
              <w:t xml:space="preserve">80,00%</w:t>
            </w:r>
          </w:p>
        </w:tc>
        <w:tc>
          <w:tcPr/>
          <w:p>
            <w:pPr>
              <w:pStyle w:val="TableText"/>
              <w:ind w:firstLine="0" w:left="0"/>
              <w:jc w:val="center"/>
            </w:pPr>
            <w:r>
              <w:rPr>
                <w:rFonts w:ascii="Times New Roman" w:hAnsi="Times New Roman" w:cs="Times New Roman" w:eastAsia="Times New Roman"/>
                <w:sz w:val="20"/>
                <w:szCs w:val="20"/>
              </w:rPr>
              <w:t xml:space="preserve">20,00%</w:t>
            </w:r>
          </w:p>
        </w:tc>
        <w:tc>
          <w:tcPr/>
          <w:p>
            <w:pPr>
              <w:pStyle w:val="TableText"/>
              <w:ind w:firstLine="0" w:left="0"/>
              <w:jc w:val="right"/>
            </w:pPr>
            <w:r>
              <w:rPr>
                <w:rFonts w:ascii="Times New Roman" w:hAnsi="Times New Roman" w:cs="Times New Roman" w:eastAsia="Times New Roman"/>
                <w:sz w:val="20"/>
                <w:szCs w:val="20"/>
              </w:rPr>
              <w:t xml:space="preserve">$5.331,05</w:t>
            </w:r>
          </w:p>
        </w:tc>
        <w:tc>
          <w:tcPr/>
          <w:p>
            <w:pPr>
              <w:pStyle w:val="TableText"/>
              <w:ind w:firstLine="0" w:left="0"/>
              <w:jc w:val="right"/>
            </w:pPr>
            <w:r>
              <w:rPr>
                <w:rFonts w:ascii="Times New Roman" w:hAnsi="Times New Roman" w:cs="Times New Roman" w:eastAsia="Times New Roman"/>
                <w:sz w:val="20"/>
                <w:szCs w:val="20"/>
              </w:rPr>
              <w:t xml:space="preserve">$5.331,05</w:t>
            </w:r>
          </w:p>
        </w:tc>
      </w:tr>
      <w:tr>
        <w:tc>
          <w:tcPr/>
          <w:p>
            <w:pPr>
              <w:pStyle w:val="TableText"/>
              <w:ind w:firstLine="0" w:left="0"/>
              <w:jc w:val="center"/>
            </w:pPr>
            <w:r>
              <w:rPr>
                <w:rFonts w:ascii="Times New Roman" w:hAnsi="Times New Roman" w:cs="Times New Roman" w:eastAsia="Times New Roman"/>
                <w:sz w:val="20"/>
                <w:szCs w:val="20"/>
              </w:rPr>
              <w:t xml:space="preserve">421901063</w:t>
            </w:r>
          </w:p>
        </w:tc>
        <w:tc>
          <w:tcPr/>
          <w:p>
            <w:pPr>
              <w:pStyle w:val="TableText"/>
              <w:ind w:firstLine="0" w:left="0"/>
              <w:jc w:val="center"/>
            </w:pPr>
            <w:r>
              <w:rPr>
                <w:rFonts w:ascii="Times New Roman" w:hAnsi="Times New Roman" w:cs="Times New Roman" w:eastAsia="Times New Roman"/>
                <w:sz w:val="20"/>
                <w:szCs w:val="20"/>
              </w:rPr>
              <w:t xml:space="preserve">Bien</w:t>
            </w:r>
          </w:p>
        </w:tc>
        <w:tc>
          <w:tcPr/>
          <w:p>
            <w:pPr>
              <w:pStyle w:val="TableText"/>
              <w:ind w:firstLine="0" w:left="0"/>
              <w:jc w:val="left"/>
            </w:pPr>
            <w:r>
              <w:rPr>
                <w:rFonts w:ascii="Times New Roman" w:hAnsi="Times New Roman" w:cs="Times New Roman" w:eastAsia="Times New Roman"/>
                <w:sz w:val="20"/>
                <w:szCs w:val="20"/>
              </w:rPr>
              <w:t xml:space="preserve">Mitigación ambiental y señalización</w:t>
            </w:r>
          </w:p>
        </w:tc>
        <w:tc>
          <w:tcPr/>
          <w:p>
            <w:pPr>
              <w:pStyle w:val="TableText"/>
              <w:ind w:firstLine="0" w:left="0"/>
              <w:jc w:val="right"/>
            </w:pPr>
            <w:r>
              <w:rPr>
                <w:rFonts w:ascii="Times New Roman" w:hAnsi="Times New Roman" w:cs="Times New Roman" w:eastAsia="Times New Roman"/>
                <w:sz w:val="20"/>
                <w:szCs w:val="20"/>
              </w:rPr>
              <w:t xml:space="preserve">1,00</w:t>
            </w:r>
          </w:p>
        </w:tc>
        <w:tc>
          <w:tcPr/>
          <w:p>
            <w:pPr>
              <w:pStyle w:val="TableText"/>
              <w:ind w:firstLine="0" w:left="0"/>
              <w:jc w:val="center"/>
            </w:pPr>
            <w:r>
              <w:rPr>
                <w:rFonts w:ascii="Times New Roman" w:hAnsi="Times New Roman" w:cs="Times New Roman" w:eastAsia="Times New Roman"/>
                <w:sz w:val="20"/>
                <w:szCs w:val="20"/>
              </w:rPr>
              <w:t xml:space="preserve">Global</w:t>
            </w:r>
          </w:p>
        </w:tc>
        <w:tc>
          <w:tcPr/>
          <w:p>
            <w:pPr>
              <w:pStyle w:val="TableText"/>
              <w:ind w:firstLine="0" w:left="0"/>
              <w:jc w:val="right"/>
            </w:pPr>
            <w:r>
              <w:rPr>
                <w:rFonts w:ascii="Times New Roman" w:hAnsi="Times New Roman" w:cs="Times New Roman" w:eastAsia="Times New Roman"/>
                <w:sz w:val="20"/>
                <w:szCs w:val="20"/>
              </w:rPr>
              <w:t xml:space="preserve">$2.776,59</w:t>
            </w:r>
          </w:p>
        </w:tc>
        <w:tc>
          <w:tcPr/>
          <w:p>
            <w:pPr>
              <w:pStyle w:val="TableText"/>
              <w:ind w:firstLine="0" w:left="0"/>
              <w:jc w:val="center"/>
            </w:pPr>
            <w:r>
              <w:rPr>
                <w:rFonts w:ascii="Times New Roman" w:hAnsi="Times New Roman" w:cs="Times New Roman" w:eastAsia="Times New Roman"/>
                <w:sz w:val="20"/>
                <w:szCs w:val="20"/>
              </w:rPr>
              <w:t xml:space="preserve">60,00%</w:t>
            </w:r>
          </w:p>
        </w:tc>
        <w:tc>
          <w:tcPr/>
          <w:p>
            <w:pPr>
              <w:pStyle w:val="TableText"/>
              <w:ind w:firstLine="0" w:left="0"/>
              <w:jc w:val="center"/>
            </w:pPr>
            <w:r>
              <w:rPr>
                <w:rFonts w:ascii="Times New Roman" w:hAnsi="Times New Roman" w:cs="Times New Roman" w:eastAsia="Times New Roman"/>
                <w:sz w:val="20"/>
                <w:szCs w:val="20"/>
              </w:rPr>
              <w:t xml:space="preserve">40,00%</w:t>
            </w:r>
          </w:p>
        </w:tc>
        <w:tc>
          <w:tcPr/>
          <w:p>
            <w:pPr>
              <w:pStyle w:val="TableText"/>
              <w:ind w:firstLine="0" w:left="0"/>
              <w:jc w:val="right"/>
            </w:pPr>
            <w:r>
              <w:rPr>
                <w:rFonts w:ascii="Times New Roman" w:hAnsi="Times New Roman" w:cs="Times New Roman" w:eastAsia="Times New Roman"/>
                <w:sz w:val="20"/>
                <w:szCs w:val="20"/>
              </w:rPr>
              <w:t xml:space="preserve">$2.776,59</w:t>
            </w:r>
          </w:p>
        </w:tc>
        <w:tc>
          <w:tcPr/>
          <w:p>
            <w:pPr>
              <w:pStyle w:val="TableText"/>
              <w:ind w:firstLine="0" w:left="0"/>
              <w:jc w:val="right"/>
            </w:pPr>
            <w:r>
              <w:rPr>
                <w:rFonts w:ascii="Times New Roman" w:hAnsi="Times New Roman" w:cs="Times New Roman" w:eastAsia="Times New Roman"/>
                <w:sz w:val="20"/>
                <w:szCs w:val="20"/>
              </w:rPr>
              <w:t xml:space="preserve">$2.776,59</w:t>
            </w:r>
          </w:p>
        </w:tc>
      </w:tr>
      <w:tr>
        <w:tc>
          <w:tcPr/>
          <w:p>
            <w:pPr>
              <w:pStyle w:val="TableText"/>
              <w:ind w:firstLine="0" w:left="0"/>
              <w:jc w:val="center"/>
            </w:pPr>
            <w:r>
              <w:rPr>
                <w:rFonts w:ascii="Times New Roman" w:hAnsi="Times New Roman" w:cs="Times New Roman" w:eastAsia="Times New Roman"/>
                <w:sz w:val="20"/>
                <w:szCs w:val="20"/>
              </w:rPr>
              <w:t xml:space="preserve">-</w:t>
            </w:r>
          </w:p>
        </w:tc>
        <w:tc>
          <w:tcPr/>
          <w:p>
            <w:pPr>
              <w:pStyle w:val="TableText"/>
              <w:ind w:firstLine="0" w:left="0"/>
              <w:jc w:val="center"/>
            </w:pPr>
            <w:r>
              <w:rPr>
                <w:rFonts w:ascii="Times New Roman" w:hAnsi="Times New Roman" w:cs="Times New Roman" w:eastAsia="Times New Roman"/>
                <w:sz w:val="20"/>
                <w:szCs w:val="20"/>
              </w:rPr>
              <w:t xml:space="preserve">Impuesto</w:t>
            </w:r>
          </w:p>
        </w:tc>
        <w:tc>
          <w:tcPr/>
          <w:p>
            <w:pPr>
              <w:pStyle w:val="TableText"/>
              <w:ind w:firstLine="0" w:left="0"/>
              <w:jc w:val="left"/>
            </w:pPr>
            <w:r>
              <w:rPr>
                <w:rFonts w:ascii="Times New Roman" w:hAnsi="Times New Roman" w:cs="Times New Roman" w:eastAsia="Times New Roman"/>
                <w:sz w:val="20"/>
                <w:szCs w:val="20"/>
              </w:rPr>
              <w:t xml:space="preserve">Impuesto al Valor Agregado (IVA 15%)</w:t>
            </w:r>
          </w:p>
        </w:tc>
        <w:tc>
          <w:tcPr/>
          <w:p>
            <w:pPr>
              <w:pStyle w:val="TableText"/>
              <w:ind w:firstLine="0" w:left="0"/>
              <w:jc w:val="right"/>
            </w:pPr>
            <w:r>
              <w:rPr>
                <w:rFonts w:ascii="Times New Roman" w:hAnsi="Times New Roman" w:cs="Times New Roman" w:eastAsia="Times New Roman"/>
                <w:sz w:val="20"/>
                <w:szCs w:val="20"/>
              </w:rPr>
              <w:t xml:space="preserve">1,00</w:t>
            </w:r>
          </w:p>
        </w:tc>
        <w:tc>
          <w:tcPr/>
          <w:p>
            <w:pPr>
              <w:pStyle w:val="TableText"/>
              <w:ind w:firstLine="0" w:left="0"/>
              <w:jc w:val="center"/>
            </w:pPr>
            <w:r>
              <w:rPr>
                <w:rFonts w:ascii="Times New Roman" w:hAnsi="Times New Roman" w:cs="Times New Roman" w:eastAsia="Times New Roman"/>
                <w:sz w:val="20"/>
                <w:szCs w:val="20"/>
              </w:rPr>
              <w:t xml:space="preserve">Global</w:t>
            </w:r>
          </w:p>
        </w:tc>
        <w:tc>
          <w:tcPr/>
          <w:p>
            <w:pPr>
              <w:pStyle w:val="TableText"/>
              <w:ind w:firstLine="0" w:left="0"/>
              <w:jc w:val="right"/>
            </w:pPr>
            <w:r>
              <w:rPr>
                <w:rFonts w:ascii="Times New Roman" w:hAnsi="Times New Roman" w:cs="Times New Roman" w:eastAsia="Times New Roman"/>
                <w:sz w:val="20"/>
                <w:szCs w:val="20"/>
              </w:rPr>
              <w:t xml:space="preserve">$49.601,03</w:t>
            </w:r>
          </w:p>
        </w:tc>
        <w:tc>
          <w:tcPr/>
          <w:p>
            <w:pPr>
              <w:pStyle w:val="TableText"/>
              <w:ind w:firstLine="0" w:left="0"/>
              <w:jc w:val="center"/>
            </w:pPr>
            <w:r>
              <w:rPr>
                <w:rFonts w:ascii="Times New Roman" w:hAnsi="Times New Roman" w:cs="Times New Roman" w:eastAsia="Times New Roman"/>
                <w:sz w:val="20"/>
                <w:szCs w:val="20"/>
              </w:rPr>
              <w:t xml:space="preserve">100,00%</w:t>
            </w:r>
          </w:p>
        </w:tc>
        <w:tc>
          <w:tcPr/>
          <w:p>
            <w:pPr>
              <w:pStyle w:val="TableText"/>
              <w:ind w:firstLine="0" w:left="0"/>
              <w:jc w:val="center"/>
            </w:pPr>
            <w:r>
              <w:rPr>
                <w:rFonts w:ascii="Times New Roman" w:hAnsi="Times New Roman" w:cs="Times New Roman" w:eastAsia="Times New Roman"/>
                <w:sz w:val="20"/>
                <w:szCs w:val="20"/>
              </w:rPr>
              <w:t xml:space="preserve">0,00%</w:t>
            </w:r>
          </w:p>
        </w:tc>
        <w:tc>
          <w:tcPr/>
          <w:p>
            <w:pPr>
              <w:pStyle w:val="TableText"/>
              <w:ind w:firstLine="0" w:left="0"/>
              <w:jc w:val="right"/>
            </w:pPr>
            <w:r>
              <w:rPr>
                <w:rFonts w:ascii="Times New Roman" w:hAnsi="Times New Roman" w:cs="Times New Roman" w:eastAsia="Times New Roman"/>
                <w:sz w:val="20"/>
                <w:szCs w:val="20"/>
              </w:rPr>
              <w:t xml:space="preserve">$49.601,03</w:t>
            </w:r>
          </w:p>
        </w:tc>
        <w:tc>
          <w:tcPr/>
          <w:p>
            <w:pPr>
              <w:pStyle w:val="TableText"/>
              <w:ind w:firstLine="0" w:left="0"/>
              <w:jc w:val="right"/>
            </w:pPr>
            <w:r>
              <w:rPr>
                <w:rFonts w:ascii="Times New Roman" w:hAnsi="Times New Roman" w:cs="Times New Roman" w:eastAsia="Times New Roman"/>
                <w:sz w:val="20"/>
                <w:szCs w:val="20"/>
              </w:rPr>
              <w:t xml:space="preserve">$49.601,03</w:t>
            </w:r>
          </w:p>
        </w:tc>
      </w:tr>
      <w:tr>
        <w:tc>
          <w:tcPr/>
          <w:p>
            <w:pPr>
              <w:pStyle w:val="TableText"/>
              <w:ind w:firstLine="0" w:left="0"/>
              <w:jc w:val="center"/>
            </w:pPr>
            <w:r>
              <w:rPr>
                <w:rFonts w:ascii="Times New Roman" w:hAnsi="Times New Roman" w:cs="Times New Roman" w:eastAsia="Times New Roman"/>
                <w:b/>
                <w:bCs/>
                <w:sz w:val="20"/>
                <w:szCs w:val="20"/>
              </w:rPr>
              <w:t xml:space="preserve">TOTAL</w:t>
            </w:r>
          </w:p>
        </w:tc>
        <w:tc>
          <w:tcPr/>
          <w:p>
            <w:pPr>
              <w:pStyle w:val="TableText"/>
              <w:ind w:firstLine="0" w:left="0"/>
              <w:jc w:val="left"/>
            </w:pPr>
          </w:p>
        </w:tc>
        <w:tc>
          <w:tcPr/>
          <w:p>
            <w:pPr>
              <w:pStyle w:val="TableText"/>
              <w:ind w:firstLine="0" w:left="0"/>
              <w:jc w:val="left"/>
            </w:pPr>
            <w:r>
              <w:rPr>
                <w:rFonts w:ascii="Times New Roman" w:hAnsi="Times New Roman" w:cs="Times New Roman" w:eastAsia="Times New Roman"/>
                <w:b/>
                <w:bCs/>
                <w:sz w:val="20"/>
                <w:szCs w:val="20"/>
              </w:rPr>
              <w:t xml:space="preserve">Presupuesto Plurianual Oficial a Contratar</w:t>
            </w:r>
          </w:p>
        </w:tc>
        <w:tc>
          <w:tcPr/>
          <w:p>
            <w:pPr>
              <w:pStyle w:val="TableText"/>
              <w:ind w:firstLine="0" w:left="0"/>
              <w:jc w:val="left"/>
            </w:pPr>
          </w:p>
        </w:tc>
        <w:tc>
          <w:tcPr/>
          <w:p>
            <w:pPr>
              <w:pStyle w:val="TableText"/>
              <w:ind w:firstLine="0" w:left="0"/>
              <w:jc w:val="left"/>
            </w:pPr>
          </w:p>
        </w:tc>
        <w:tc>
          <w:tcPr/>
          <w:p>
            <w:pPr>
              <w:pStyle w:val="TableText"/>
              <w:ind w:firstLine="0" w:left="0"/>
              <w:jc w:val="left"/>
            </w:pPr>
          </w:p>
        </w:tc>
        <w:tc>
          <w:tcPr/>
          <w:p>
            <w:pPr>
              <w:pStyle w:val="TableText"/>
              <w:ind w:firstLine="0" w:left="0"/>
              <w:jc w:val="left"/>
            </w:pPr>
          </w:p>
        </w:tc>
        <w:tc>
          <w:tcPr/>
          <w:p>
            <w:pPr>
              <w:pStyle w:val="TableText"/>
              <w:ind w:firstLine="0" w:left="0"/>
              <w:jc w:val="left"/>
            </w:pPr>
          </w:p>
        </w:tc>
        <w:tc>
          <w:tcPr/>
          <w:p>
            <w:pPr>
              <w:pStyle w:val="TableText"/>
              <w:ind w:firstLine="0" w:left="0"/>
              <w:jc w:val="right"/>
            </w:pPr>
            <w:r>
              <w:rPr>
                <w:rFonts w:ascii="Times New Roman" w:hAnsi="Times New Roman" w:cs="Times New Roman" w:eastAsia="Times New Roman"/>
                <w:b/>
                <w:bCs/>
                <w:sz w:val="20"/>
                <w:szCs w:val="20"/>
              </w:rPr>
              <w:t xml:space="preserve">$380.274,58</w:t>
            </w:r>
          </w:p>
        </w:tc>
        <w:tc>
          <w:tcPr/>
          <w:p>
            <w:pPr>
              <w:pStyle w:val="TableText"/>
              <w:ind w:firstLine="0" w:left="0"/>
              <w:jc w:val="right"/>
            </w:pPr>
            <w:r>
              <w:rPr>
                <w:rFonts w:ascii="Times New Roman" w:hAnsi="Times New Roman" w:cs="Times New Roman" w:eastAsia="Times New Roman"/>
                <w:b/>
                <w:bCs/>
                <w:sz w:val="20"/>
                <w:szCs w:val="20"/>
              </w:rPr>
              <w:t xml:space="preserve">$380.274,58</w:t>
            </w:r>
          </w:p>
        </w:tc>
      </w:tr>
    </w:tbl>
    <w:p>
      <w:pPr>
        <w:pStyle w:val="TableNote"/>
        <w:ind w:firstLine="0" w:left="0"/>
        <w:jc w:val="both"/>
      </w:pPr>
      <w:r>
        <w:rPr>
          <w:rFonts w:ascii="Times New Roman" w:hAnsi="Times New Roman" w:cs="Times New Roman" w:eastAsia="Times New Roman"/>
          <w:i/>
          <w:iCs/>
          <w:sz w:val="20"/>
          <w:szCs w:val="20"/>
        </w:rPr>
        <w:t xml:space="preserve">Nota.</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Elaboración técnica a partir del Plan Anual de Contratación (PAC) referencial SERCOP de las entidades ejecutoras.</w:t>
      </w:r>
    </w:p>
    <w:p>
      <w:pPr>
        <w:sectPr>
          <w:pgSz w:w="15840" w:h="12240" w:orient="landscape"/>
          <w:pgMar w:top="1440" w:bottom="1440" w:left="1440" w:right="1440"/>
        </w:sectPr>
      </w:pPr>
    </w:p>
    <w:bookmarkEnd w:id="116"/>
    <w:bookmarkEnd w:id="117"/>
    <w:bookmarkEnd w:id="118"/>
    <w:bookmarkStart w:id="125" w:name="estrategia-de-seguimiento-y-evaluación"/>
    <w:p>
      <w:pPr>
        <w:pStyle w:val="Heading1"/>
      </w:pPr>
      <w:r>
        <w:rPr>
          <w:rFonts w:ascii="Times New Roman" w:hAnsi="Times New Roman" w:cs="Times New Roman" w:eastAsia="Times New Roman"/>
          <w:b/>
          <w:bCs/>
        </w:rPr>
        <w:t xml:space="preserve">8. Estrategia de seguimiento y evaluación</w:t>
      </w:r>
    </w:p>
    <w:bookmarkStart w:id="119" w:name="seguimiento-a-la-ejecución"/>
    <w:p>
      <w:pPr>
        <w:pStyle w:val="Heading2"/>
      </w:pPr>
      <w:r>
        <w:rPr>
          <w:rFonts w:ascii="Times New Roman" w:hAnsi="Times New Roman" w:cs="Times New Roman" w:eastAsia="Times New Roman"/>
          <w:b/>
          <w:bCs/>
        </w:rPr>
        <w:t xml:space="preserve">8.1 Seguimiento a la ejecución</w:t>
      </w:r>
    </w:p>
    <w:p>
      <w:pPr>
        <w:pStyle w:val="FirstParagraph"/>
      </w:pPr>
      <w:r>
        <w:rPr>
          <w:rFonts w:ascii="Times New Roman" w:hAnsi="Times New Roman" w:cs="Times New Roman" w:eastAsia="Times New Roman"/>
        </w:rPr>
        <w:t xml:space="preserve">El seguimiento a la ejecución física y financiera corresponde al proceso sistemático y continuo que realizarán conjuntamente la Prefectura de El Oro, el GAD Municipal de Santa Rosa y el GAD Parroquial Rural de Torata para verificar el cumplimiento oportuno de las actividades y la correcta aplicación de los recursos públicos.</w:t>
      </w:r>
    </w:p>
    <w:p>
      <w:pPr>
        <w:pStyle w:val="BodyText"/>
      </w:pPr>
      <w:r>
        <w:rPr>
          <w:rFonts w:ascii="Times New Roman" w:hAnsi="Times New Roman" w:cs="Times New Roman" w:eastAsia="Times New Roman"/>
        </w:rPr>
        <w:t xml:space="preserve">Este seguimiento se articulará a través del Sistema de Información para Gobiernos Autónomos Descentralizados (SIGAD) de la Secretaría Nacional de Planificación y los sistemas contables e-SIGEF institucionales. Las acciones específicas comprenden:</w:t>
      </w:r>
    </w:p>
    <w:p>
      <w:pPr>
        <w:pStyle w:val="Compact"/>
        <w:numPr>
          <w:ilvl w:val="0"/>
          <w:numId w:val="1017"/>
        </w:numPr>
      </w:pPr>
      <w:r>
        <w:rPr>
          <w:rFonts w:ascii="Times New Roman" w:hAnsi="Times New Roman" w:cs="Times New Roman" w:eastAsia="Times New Roman"/>
        </w:rPr>
        <w:t xml:space="preserve">Verificación de Calidad y Ensayos de Obra: La fiscalización técnica inspeccionará semanalmente la calidad de los agregados pétreos, la consistencia del hormigón mediante ensayos de cono de Abrams y la rotura de probetas cilíndricas a los 7, 14 y 28 días de curado.</w:t>
      </w:r>
    </w:p>
    <w:p>
      <w:pPr>
        <w:pStyle w:val="Compact"/>
        <w:numPr>
          <w:ilvl w:val="0"/>
          <w:numId w:val="1017"/>
        </w:numPr>
      </w:pPr>
      <w:r>
        <w:rPr>
          <w:rFonts w:ascii="Times New Roman" w:hAnsi="Times New Roman" w:cs="Times New Roman" w:eastAsia="Times New Roman"/>
        </w:rPr>
        <w:t xml:space="preserve">Monitoreo Topográfico y Geotécnico: Nivelación periódica de cotas de desplante y verificación de la estabilidad de taludes ribereños durante la excavación bajo agua en el estiaje.</w:t>
      </w:r>
    </w:p>
    <w:p>
      <w:pPr>
        <w:pStyle w:val="Compact"/>
        <w:numPr>
          <w:ilvl w:val="0"/>
          <w:numId w:val="1017"/>
        </w:numPr>
      </w:pPr>
      <w:r>
        <w:rPr>
          <w:rFonts w:ascii="Times New Roman" w:hAnsi="Times New Roman" w:cs="Times New Roman" w:eastAsia="Times New Roman"/>
        </w:rPr>
        <w:t xml:space="preserve">Seguimiento Presupuestario y Liquidación de Planillas: Revisión mensual de planillas de avance de obra y desembolsos concurrentes contra avance físico certificado.</w:t>
      </w:r>
    </w:p>
    <w:bookmarkEnd w:id="119"/>
    <w:bookmarkStart w:id="123" w:name="evaluación-de-resultados-e-impactos"/>
    <w:p>
      <w:pPr>
        <w:pStyle w:val="Heading2"/>
      </w:pPr>
      <w:r>
        <w:rPr>
          <w:rFonts w:ascii="Times New Roman" w:hAnsi="Times New Roman" w:cs="Times New Roman" w:eastAsia="Times New Roman"/>
          <w:b/>
          <w:bCs/>
        </w:rPr>
        <w:t xml:space="preserve">8.2 Evaluación de resultados e impactos</w:t>
      </w:r>
    </w:p>
    <w:p>
      <w:pPr>
        <w:pStyle w:val="FirstParagraph"/>
      </w:pPr>
      <w:r>
        <w:rPr>
          <w:rFonts w:ascii="Times New Roman" w:hAnsi="Times New Roman" w:cs="Times New Roman" w:eastAsia="Times New Roman"/>
        </w:rPr>
        <w:t xml:space="preserve">La evaluación se estructura en dos fases complementarias orientadas a determinar el cumplimiento del fin y del propósito de la intervención:</w:t>
      </w:r>
    </w:p>
    <w:bookmarkStart w:id="120" w:name="evaluación-de-resultados"/>
    <w:p>
      <w:pPr>
        <w:pStyle w:val="Heading3"/>
      </w:pPr>
      <w:r>
        <w:rPr>
          <w:rFonts w:ascii="Times New Roman" w:hAnsi="Times New Roman" w:cs="Times New Roman" w:eastAsia="Times New Roman"/>
          <w:b/>
          <w:bCs/>
        </w:rPr>
        <w:t xml:space="preserve">8.2.1 Evaluación de resultados</w:t>
      </w:r>
    </w:p>
    <w:p>
      <w:pPr>
        <w:pStyle w:val="FirstParagraph"/>
      </w:pPr>
      <w:r>
        <w:rPr>
          <w:rFonts w:ascii="Times New Roman" w:hAnsi="Times New Roman" w:cs="Times New Roman" w:eastAsia="Times New Roman"/>
        </w:rPr>
        <w:t xml:space="preserve">Se ejecutará dentro de los seis meses posteriores a la entrega-recepción formal y apertura al tráfico del puente vehicular. Evaluará de manera directa los indicadores del nivel de propósito:</w:t>
      </w:r>
    </w:p>
    <w:p>
      <w:pPr>
        <w:pStyle w:val="Compact"/>
        <w:numPr>
          <w:ilvl w:val="0"/>
          <w:numId w:val="1018"/>
        </w:numPr>
      </w:pPr>
      <w:r>
        <w:rPr>
          <w:rFonts w:ascii="Times New Roman" w:hAnsi="Times New Roman" w:cs="Times New Roman" w:eastAsia="Times New Roman"/>
        </w:rPr>
        <w:t xml:space="preserve">Transitabilidad Continua: Verificación del cumplimiento del 100 % de días del año con paso vehicular habilitado sobre el río Santa Rosa, registrando cero días de incomunicación en el ciclo invernal.</w:t>
      </w:r>
    </w:p>
    <w:p>
      <w:pPr>
        <w:pStyle w:val="Compact"/>
        <w:numPr>
          <w:ilvl w:val="0"/>
          <w:numId w:val="1018"/>
        </w:numPr>
      </w:pPr>
      <w:r>
        <w:rPr>
          <w:rFonts w:ascii="Times New Roman" w:hAnsi="Times New Roman" w:cs="Times New Roman" w:eastAsia="Times New Roman"/>
        </w:rPr>
        <w:t xml:space="preserve">Reducción de Tiempos de Desplazamiento: Comprobación de la disminución del tiempo de cruce de 45 minutos a 3 minutos mediante aforos de tráfico y encuestas de velocidad a camionetas y transporte pesado.</w:t>
      </w:r>
    </w:p>
    <w:p>
      <w:pPr>
        <w:pStyle w:val="Compact"/>
        <w:numPr>
          <w:ilvl w:val="0"/>
          <w:numId w:val="1018"/>
        </w:numPr>
      </w:pPr>
      <w:r>
        <w:rPr>
          <w:rFonts w:ascii="Times New Roman" w:hAnsi="Times New Roman" w:cs="Times New Roman" w:eastAsia="Times New Roman"/>
        </w:rPr>
        <w:t xml:space="preserve">Eficiencia Logística Rural: Constatación de la eliminación del trasbordo manual a pie o a lomo de bestia y la normalización de las frecuencias de recolección de los camiones lecheros en los sitios El Guayabo y La Chilca.</w:t>
      </w:r>
    </w:p>
    <w:bookmarkEnd w:id="120"/>
    <w:bookmarkStart w:id="122" w:name="evaluación-de-impacto"/>
    <w:p>
      <w:pPr>
        <w:pStyle w:val="Heading3"/>
      </w:pPr>
      <w:r>
        <w:rPr>
          <w:rFonts w:ascii="Times New Roman" w:hAnsi="Times New Roman" w:cs="Times New Roman" w:eastAsia="Times New Roman"/>
          <w:b/>
          <w:bCs/>
        </w:rPr>
        <w:t xml:space="preserve">8.2.2 Evaluación de impacto</w:t>
      </w:r>
    </w:p>
    <w:p>
      <w:pPr>
        <w:pStyle w:val="FirstParagraph"/>
      </w:pPr>
      <w:r>
        <w:rPr>
          <w:rFonts w:ascii="Times New Roman" w:hAnsi="Times New Roman" w:cs="Times New Roman" w:eastAsia="Times New Roman"/>
        </w:rPr>
        <w:t xml:space="preserve">Analizará los efectos económicos, productivos y sociales en un horizonte de dos a cuatro años posteriores a la inauguración de la infraestructura:</w:t>
      </w:r>
    </w:p>
    <w:p>
      <w:pPr>
        <w:pStyle w:val="Compact"/>
        <w:numPr>
          <w:ilvl w:val="0"/>
          <w:numId w:val="1019"/>
        </w:numPr>
      </w:pPr>
      <w:r>
        <w:rPr>
          <w:rFonts w:ascii="Times New Roman" w:hAnsi="Times New Roman" w:cs="Times New Roman" w:eastAsia="Times New Roman"/>
        </w:rPr>
        <w:t xml:space="preserve">Impacto Económico: Reducción efectiva mínima del 35 % en la tarifa de los fletes de transporte de carga agropecuaria hacia los mercados de Santa Rosa y Machala, y erradicación de las pérdidas estacionales por descomposición de leche y productos agrícolas.</w:t>
      </w:r>
    </w:p>
    <w:p>
      <w:pPr>
        <w:pStyle w:val="Compact"/>
        <w:numPr>
          <w:ilvl w:val="0"/>
          <w:numId w:val="1019"/>
        </w:numPr>
      </w:pPr>
      <w:r>
        <w:rPr>
          <w:rFonts w:ascii="Times New Roman" w:hAnsi="Times New Roman" w:cs="Times New Roman" w:eastAsia="Times New Roman"/>
        </w:rPr>
        <w:t xml:space="preserve">Impacto Social y Conectividad: Cero siniestros viales por intento de vadeo del río en creciente y normalización de la asistencia escolar y traslados de emergencia hacia el centro de salud parroquial.</w:t>
      </w:r>
    </w:p>
    <w:p>
      <w:pPr>
        <w:pStyle w:val="Compact"/>
        <w:numPr>
          <w:ilvl w:val="0"/>
          <w:numId w:val="1019"/>
        </w:numPr>
      </w:pPr>
      <w:r>
        <w:rPr>
          <w:rFonts w:ascii="Times New Roman" w:hAnsi="Times New Roman" w:cs="Times New Roman" w:eastAsia="Times New Roman"/>
        </w:rPr>
        <w:t xml:space="preserve">Dinamización del Tejido Productivo: Incremento del 18 % en el volumen de ganado comercializado en pie gracias al acceso seguro de camiones de carga pesada.</w:t>
      </w:r>
    </w:p>
    <w:p>
      <w:pPr>
        <w:pStyle w:val="FirstParagraph"/>
      </w:pPr>
      <w:r>
        <w:rPr>
          <w:rFonts w:ascii="Times New Roman" w:hAnsi="Times New Roman" w:cs="Times New Roman" w:eastAsia="Times New Roman"/>
        </w:rPr>
        <w:t xml:space="preserve">La</w:t>
      </w:r>
      <w:r>
        <w:rPr>
          <w:rFonts w:ascii="Times New Roman" w:hAnsi="Times New Roman" w:cs="Times New Roman" w:eastAsia="Times New Roman"/>
        </w:rPr>
        <w:t xml:space="preserve"> </w:t>
      </w:r>
      <w:hyperlink w:anchor="tbl-evaluacion-puente">
        <w:r>
          <w:rPr>
            <w:rStyle w:val="Hyperlink"/>
          </w:rPr>
          <w:t xml:space="preserve">Tabla 23</w:t>
        </w:r>
      </w:hyperlink>
      <w:r>
        <w:rPr>
          <w:rFonts w:ascii="Times New Roman" w:hAnsi="Times New Roman" w:cs="Times New Roman" w:eastAsia="Times New Roman"/>
        </w:rPr>
        <w:t xml:space="preserve"> </w:t>
      </w:r>
      <w:r>
        <w:rPr>
          <w:rFonts w:ascii="Times New Roman" w:hAnsi="Times New Roman" w:cs="Times New Roman" w:eastAsia="Times New Roman"/>
        </w:rPr>
        <w:t xml:space="preserve">presenta el ciclo temporal de evaluación del proyecto.</w:t>
      </w:r>
    </w:p>
    <w:p>
      <w:pPr>
        <w:pStyle w:val="TableNumber"/>
        <w:keepNext/>
        <w:ind w:firstLine="0" w:left="0"/>
        <w:jc w:val="left"/>
      </w:pPr>
      <w:r>
        <w:rPr>
          <w:rFonts w:ascii="Times New Roman" w:hAnsi="Times New Roman" w:cs="Times New Roman" w:eastAsia="Times New Roman"/>
          <w:b/>
          <w:bCs/>
          <w:sz w:val="20"/>
          <w:szCs w:val="20"/>
        </w:rPr>
        <w:t xml:space="preserve">Tabla 23</w:t>
      </w:r>
    </w:p>
    <w:p>
      <w:pPr>
        <w:pStyle w:val="TableCaption"/>
        <w:keepNext/>
        <w:ind w:firstLine="0" w:left="0"/>
        <w:jc w:val="left"/>
      </w:pPr>
      <w:r>
        <w:rPr>
          <w:rFonts w:ascii="Times New Roman" w:hAnsi="Times New Roman" w:cs="Times New Roman" w:eastAsia="Times New Roman"/>
          <w:i/>
          <w:iCs/>
          <w:sz w:val="20"/>
          <w:szCs w:val="20"/>
        </w:rPr>
        <w:t xml:space="preserve">Ciclo de evaluación ex-ante, durante y ex-post del proyecto vial</w:t>
      </w:r>
    </w:p>
    <w:tbl>
      <w:tblPr>
        <w:tblStyle w:val="Table"/>
        <w:tblLayout w:type="fixed"/>
        <w:tblLook w:firstRow="1" w:lastRow="0" w:firstColumn="0" w:lastColumn="0" w:noHBand="0" w:noVBand="0" w:val="0020"/>
        <w:tblInd w:w="0" w:type="dxa"/>
        <w:tblW w:w="5000" w:type="pct"/>
        <w:tblBorders>
          <w:top w:val="single" w:sz="8" w:space="0" w:color="000000"/>
          <w:bottom w:val="single" w:sz="8" w:space="0" w:color="000000"/>
          <w:left w:val="none" w:sz="0" w:space="0" w:color="000000"/>
          <w:right w:val="none" w:sz="0" w:space="0" w:color="000000"/>
          <w:insideH w:val="none" w:sz="0" w:space="0" w:color="000000"/>
          <w:insideV w:val="none" w:sz="0" w:space="0" w:color="000000"/>
        </w:tblBorders>
      </w:tblPr>
      <w:tblGrid>
        <w:gridCol w:w="1980"/>
        <w:gridCol w:w="1980"/>
        <w:gridCol w:w="1980"/>
        <w:gridCol w:w="1980"/>
      </w:tblGrid>
      <w:tr>
        <w:trPr>
          <w:tblHeader w:val="on"/>
        </w:trPr>
        <w:tc>
          <w:tcPr>
            <w:tcBorders>
              <w:top w:val="single" w:sz="8" w:space="0" w:color="000000"/>
              <w:bottom w:val="single" w:sz="6" w:space="0" w:color="000000"/>
            </w:tcBorders>
          </w:tcPr>
          <w:p>
            <w:pPr>
              <w:pStyle w:val="TableHeader"/>
              <w:keepNext/>
              <w:ind w:firstLine="0" w:left="0"/>
              <w:jc w:val="left"/>
            </w:pPr>
            <w:r>
              <w:rPr>
                <w:rFonts w:ascii="Times New Roman" w:hAnsi="Times New Roman" w:cs="Times New Roman" w:eastAsia="Times New Roman"/>
                <w:sz w:val="20"/>
                <w:szCs w:val="20"/>
              </w:rPr>
              <w:t xml:space="preserve">Etapa</w:t>
            </w:r>
          </w:p>
        </w:tc>
        <w:tc>
          <w:tcPr>
            <w:tcBorders>
              <w:top w:val="single" w:sz="8" w:space="0" w:color="000000"/>
              <w:bottom w:val="single" w:sz="6" w:space="0" w:color="000000"/>
            </w:tcBorders>
          </w:tcPr>
          <w:p>
            <w:pPr>
              <w:pStyle w:val="TableHeader"/>
              <w:keepNext/>
              <w:ind w:firstLine="0" w:left="0"/>
              <w:jc w:val="left"/>
            </w:pPr>
            <w:r>
              <w:rPr>
                <w:rFonts w:ascii="Times New Roman" w:hAnsi="Times New Roman" w:cs="Times New Roman" w:eastAsia="Times New Roman"/>
                <w:sz w:val="20"/>
                <w:szCs w:val="20"/>
              </w:rPr>
              <w:t xml:space="preserve">Momento</w:t>
            </w:r>
          </w:p>
        </w:tc>
        <w:tc>
          <w:tcPr>
            <w:tcBorders>
              <w:top w:val="single" w:sz="8" w:space="0" w:color="000000"/>
              <w:bottom w:val="single" w:sz="6" w:space="0" w:color="000000"/>
            </w:tcBorders>
          </w:tcPr>
          <w:p>
            <w:pPr>
              <w:pStyle w:val="TableHeader"/>
              <w:keepNext/>
              <w:ind w:firstLine="0" w:left="0"/>
              <w:jc w:val="left"/>
            </w:pPr>
            <w:r>
              <w:rPr>
                <w:rFonts w:ascii="Times New Roman" w:hAnsi="Times New Roman" w:cs="Times New Roman" w:eastAsia="Times New Roman"/>
                <w:sz w:val="20"/>
                <w:szCs w:val="20"/>
              </w:rPr>
              <w:t xml:space="preserve">Criterios Evaluados</w:t>
            </w:r>
          </w:p>
        </w:tc>
        <w:tc>
          <w:tcPr>
            <w:tcBorders>
              <w:top w:val="single" w:sz="8" w:space="0" w:color="000000"/>
              <w:bottom w:val="single" w:sz="6" w:space="0" w:color="000000"/>
            </w:tcBorders>
          </w:tcPr>
          <w:p>
            <w:pPr>
              <w:pStyle w:val="TableHeader"/>
              <w:keepNext/>
              <w:ind w:firstLine="0" w:left="0"/>
              <w:jc w:val="left"/>
            </w:pPr>
            <w:r>
              <w:rPr>
                <w:rFonts w:ascii="Times New Roman" w:hAnsi="Times New Roman" w:cs="Times New Roman" w:eastAsia="Times New Roman"/>
                <w:sz w:val="20"/>
                <w:szCs w:val="20"/>
              </w:rPr>
              <w:t xml:space="preserve">Instrumento / Responsable</w:t>
            </w:r>
          </w:p>
        </w:tc>
      </w:tr>
      <w:tr>
        <w:tc>
          <w:tcPr/>
          <w:p>
            <w:pPr>
              <w:pStyle w:val="TableText"/>
              <w:ind w:firstLine="0" w:left="0"/>
              <w:jc w:val="left"/>
            </w:pPr>
            <w:r>
              <w:rPr>
                <w:rFonts w:ascii="Times New Roman" w:hAnsi="Times New Roman" w:cs="Times New Roman" w:eastAsia="Times New Roman"/>
                <w:sz w:val="20"/>
                <w:szCs w:val="20"/>
              </w:rPr>
              <w:t xml:space="preserve">Ex-Ante</w:t>
            </w:r>
          </w:p>
        </w:tc>
        <w:tc>
          <w:tcPr/>
          <w:p>
            <w:pPr>
              <w:pStyle w:val="TableText"/>
              <w:ind w:firstLine="0" w:left="0"/>
              <w:jc w:val="left"/>
            </w:pPr>
            <w:r>
              <w:rPr>
                <w:rFonts w:ascii="Times New Roman" w:hAnsi="Times New Roman" w:cs="Times New Roman" w:eastAsia="Times New Roman"/>
                <w:sz w:val="20"/>
                <w:szCs w:val="20"/>
              </w:rPr>
              <w:t xml:space="preserve">Previo al inicio de obras</w:t>
            </w:r>
          </w:p>
        </w:tc>
        <w:tc>
          <w:tcPr/>
          <w:p>
            <w:pPr>
              <w:pStyle w:val="TableText"/>
              <w:ind w:firstLine="0" w:left="0"/>
              <w:jc w:val="left"/>
            </w:pPr>
            <w:r>
              <w:rPr>
                <w:rFonts w:ascii="Times New Roman" w:hAnsi="Times New Roman" w:cs="Times New Roman" w:eastAsia="Times New Roman"/>
                <w:sz w:val="20"/>
                <w:szCs w:val="20"/>
              </w:rPr>
              <w:t xml:space="preserve">Factibilidad estructural, hidráulica (NAME), geotecnia y dictamen de prioridad.</w:t>
            </w:r>
          </w:p>
        </w:tc>
        <w:tc>
          <w:tcPr/>
          <w:p>
            <w:pPr>
              <w:pStyle w:val="TableText"/>
              <w:ind w:firstLine="0" w:left="0"/>
              <w:jc w:val="left"/>
            </w:pPr>
            <w:r>
              <w:rPr>
                <w:rFonts w:ascii="Times New Roman" w:hAnsi="Times New Roman" w:cs="Times New Roman" w:eastAsia="Times New Roman"/>
                <w:sz w:val="20"/>
                <w:szCs w:val="20"/>
              </w:rPr>
              <w:t xml:space="preserve">Prefectura de El Oro / Municipio Santa Rosa.</w:t>
            </w:r>
          </w:p>
        </w:tc>
      </w:tr>
      <w:tr>
        <w:tc>
          <w:tcPr/>
          <w:p>
            <w:pPr>
              <w:pStyle w:val="TableText"/>
              <w:ind w:firstLine="0" w:left="0"/>
              <w:jc w:val="left"/>
            </w:pPr>
            <w:r>
              <w:rPr>
                <w:rFonts w:ascii="Times New Roman" w:hAnsi="Times New Roman" w:cs="Times New Roman" w:eastAsia="Times New Roman"/>
                <w:sz w:val="20"/>
                <w:szCs w:val="20"/>
              </w:rPr>
              <w:t xml:space="preserve">Durante</w:t>
            </w:r>
          </w:p>
        </w:tc>
        <w:tc>
          <w:tcPr/>
          <w:p>
            <w:pPr>
              <w:pStyle w:val="TableText"/>
              <w:ind w:firstLine="0" w:left="0"/>
              <w:jc w:val="left"/>
            </w:pPr>
            <w:r>
              <w:rPr>
                <w:rFonts w:ascii="Times New Roman" w:hAnsi="Times New Roman" w:cs="Times New Roman" w:eastAsia="Times New Roman"/>
                <w:sz w:val="20"/>
                <w:szCs w:val="20"/>
              </w:rPr>
              <w:t xml:space="preserve">Mes 5 (Fundición de estribos)</w:t>
            </w:r>
          </w:p>
        </w:tc>
        <w:tc>
          <w:tcPr/>
          <w:p>
            <w:pPr>
              <w:pStyle w:val="TableText"/>
              <w:ind w:firstLine="0" w:left="0"/>
              <w:jc w:val="left"/>
            </w:pPr>
            <w:r>
              <w:rPr>
                <w:rFonts w:ascii="Times New Roman" w:hAnsi="Times New Roman" w:cs="Times New Roman" w:eastAsia="Times New Roman"/>
                <w:sz w:val="20"/>
                <w:szCs w:val="20"/>
              </w:rPr>
              <w:t xml:space="preserve">Cumplimiento de especificaciones de materiales, seguridad en ribera y avance físico.</w:t>
            </w:r>
          </w:p>
        </w:tc>
        <w:tc>
          <w:tcPr/>
          <w:p>
            <w:pPr>
              <w:pStyle w:val="TableText"/>
              <w:ind w:firstLine="0" w:left="0"/>
              <w:jc w:val="left"/>
            </w:pPr>
            <w:r>
              <w:rPr>
                <w:rFonts w:ascii="Times New Roman" w:hAnsi="Times New Roman" w:cs="Times New Roman" w:eastAsia="Times New Roman"/>
                <w:sz w:val="20"/>
                <w:szCs w:val="20"/>
              </w:rPr>
              <w:t xml:space="preserve">Informes de Fiscalización y Administración de Convenio.</w:t>
            </w:r>
          </w:p>
        </w:tc>
      </w:tr>
      <w:tr>
        <w:tc>
          <w:tcPr/>
          <w:p>
            <w:pPr>
              <w:pStyle w:val="TableText"/>
              <w:ind w:firstLine="0" w:left="0"/>
              <w:jc w:val="left"/>
            </w:pPr>
            <w:r>
              <w:rPr>
                <w:rFonts w:ascii="Times New Roman" w:hAnsi="Times New Roman" w:cs="Times New Roman" w:eastAsia="Times New Roman"/>
                <w:sz w:val="20"/>
                <w:szCs w:val="20"/>
              </w:rPr>
              <w:t xml:space="preserve">Ex-Post (Cierre)</w:t>
            </w:r>
          </w:p>
        </w:tc>
        <w:tc>
          <w:tcPr/>
          <w:p>
            <w:pPr>
              <w:pStyle w:val="TableText"/>
              <w:ind w:firstLine="0" w:left="0"/>
              <w:jc w:val="left"/>
            </w:pPr>
            <w:r>
              <w:rPr>
                <w:rFonts w:ascii="Times New Roman" w:hAnsi="Times New Roman" w:cs="Times New Roman" w:eastAsia="Times New Roman"/>
                <w:sz w:val="20"/>
                <w:szCs w:val="20"/>
              </w:rPr>
              <w:t xml:space="preserve">Mes 10 (Habilitación)</w:t>
            </w:r>
          </w:p>
        </w:tc>
        <w:tc>
          <w:tcPr/>
          <w:p>
            <w:pPr>
              <w:pStyle w:val="TableText"/>
              <w:ind w:firstLine="0" w:left="0"/>
              <w:jc w:val="left"/>
            </w:pPr>
            <w:r>
              <w:rPr>
                <w:rFonts w:ascii="Times New Roman" w:hAnsi="Times New Roman" w:cs="Times New Roman" w:eastAsia="Times New Roman"/>
                <w:sz w:val="20"/>
                <w:szCs w:val="20"/>
              </w:rPr>
              <w:t xml:space="preserve">Prueba de carga reglamentaria HS-20, operatividad de accesos y señalización.</w:t>
            </w:r>
          </w:p>
        </w:tc>
        <w:tc>
          <w:tcPr/>
          <w:p>
            <w:pPr>
              <w:pStyle w:val="TableText"/>
              <w:ind w:firstLine="0" w:left="0"/>
              <w:jc w:val="left"/>
            </w:pPr>
            <w:r>
              <w:rPr>
                <w:rFonts w:ascii="Times New Roman" w:hAnsi="Times New Roman" w:cs="Times New Roman" w:eastAsia="Times New Roman"/>
                <w:sz w:val="20"/>
                <w:szCs w:val="20"/>
              </w:rPr>
              <w:t xml:space="preserve">Acta de Entrega-Recepción Definitiva.</w:t>
            </w:r>
          </w:p>
        </w:tc>
      </w:tr>
      <w:tr>
        <w:tc>
          <w:tcPr/>
          <w:p>
            <w:pPr>
              <w:pStyle w:val="TableText"/>
              <w:ind w:firstLine="0" w:left="0"/>
              <w:jc w:val="left"/>
            </w:pPr>
            <w:r>
              <w:rPr>
                <w:rFonts w:ascii="Times New Roman" w:hAnsi="Times New Roman" w:cs="Times New Roman" w:eastAsia="Times New Roman"/>
                <w:sz w:val="20"/>
                <w:szCs w:val="20"/>
              </w:rPr>
              <w:t xml:space="preserve">Ex-Post (Impacto)</w:t>
            </w:r>
          </w:p>
        </w:tc>
        <w:tc>
          <w:tcPr/>
          <w:p>
            <w:pPr>
              <w:pStyle w:val="TableText"/>
              <w:ind w:firstLine="0" w:left="0"/>
              <w:jc w:val="left"/>
            </w:pPr>
            <w:r>
              <w:rPr>
                <w:rFonts w:ascii="Times New Roman" w:hAnsi="Times New Roman" w:cs="Times New Roman" w:eastAsia="Times New Roman"/>
                <w:sz w:val="20"/>
                <w:szCs w:val="20"/>
              </w:rPr>
              <w:t xml:space="preserve">Años 2 y 4 de operación</w:t>
            </w:r>
          </w:p>
        </w:tc>
        <w:tc>
          <w:tcPr/>
          <w:p>
            <w:pPr>
              <w:pStyle w:val="TableText"/>
              <w:ind w:firstLine="0" w:left="0"/>
              <w:jc w:val="left"/>
            </w:pPr>
            <w:r>
              <w:rPr>
                <w:rFonts w:ascii="Times New Roman" w:hAnsi="Times New Roman" w:cs="Times New Roman" w:eastAsia="Times New Roman"/>
                <w:sz w:val="20"/>
                <w:szCs w:val="20"/>
              </w:rPr>
              <w:t xml:space="preserve">Incremento en volumen de comercialización agropecuaria y reducción de costos de fletes.</w:t>
            </w:r>
          </w:p>
        </w:tc>
        <w:tc>
          <w:tcPr/>
          <w:p>
            <w:pPr>
              <w:pStyle w:val="TableText"/>
              <w:ind w:firstLine="0" w:left="0"/>
              <w:jc w:val="left"/>
            </w:pPr>
            <w:r>
              <w:rPr>
                <w:rFonts w:ascii="Times New Roman" w:hAnsi="Times New Roman" w:cs="Times New Roman" w:eastAsia="Times New Roman"/>
                <w:sz w:val="20"/>
                <w:szCs w:val="20"/>
              </w:rPr>
              <w:t xml:space="preserve">Evaluación de Impacto / GADPR Torata - MAG - Academia.</w:t>
            </w:r>
          </w:p>
        </w:tc>
      </w:tr>
    </w:tbl>
    <w:p>
      <w:pPr>
        <w:pStyle w:val="TableNote"/>
        <w:ind w:firstLine="0" w:left="0"/>
        <w:jc w:val="both"/>
      </w:pPr>
      <w:r>
        <w:rPr>
          <w:rFonts w:ascii="Times New Roman" w:hAnsi="Times New Roman" w:cs="Times New Roman" w:eastAsia="Times New Roman"/>
          <w:i/>
          <w:iCs/>
          <w:sz w:val="20"/>
          <w:szCs w:val="20"/>
        </w:rPr>
        <w:t xml:space="preserve">Nota.</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Guía de Seguimiento y Evaluación de Inversión Pública - Planifica Ecuador.</w:t>
      </w:r>
    </w:p>
    <w:bookmarkEnd w:id="122"/>
    <w:bookmarkEnd w:id="123"/>
    <w:bookmarkStart w:id="124" w:name="actualización-de-línea-base"/>
    <w:p>
      <w:pPr>
        <w:pStyle w:val="Heading2"/>
      </w:pPr>
      <w:r>
        <w:rPr>
          <w:rFonts w:ascii="Times New Roman" w:hAnsi="Times New Roman" w:cs="Times New Roman" w:eastAsia="Times New Roman"/>
          <w:b/>
          <w:bCs/>
        </w:rPr>
        <w:t xml:space="preserve">8.3 Actualización de Línea Base</w:t>
      </w:r>
    </w:p>
    <w:p>
      <w:pPr>
        <w:pStyle w:val="FirstParagraph"/>
      </w:pPr>
      <w:r>
        <w:rPr>
          <w:rFonts w:ascii="Times New Roman" w:hAnsi="Times New Roman" w:cs="Times New Roman" w:eastAsia="Times New Roman"/>
        </w:rPr>
        <w:t xml:space="preserve">Al término de la construcción y puesta en operación del puente sobre el río Santa Rosa, la Dirección de Planificación del GADPR Torata y la Prefectura de El Oro actualizarán los indicadores territoriales en la ficha parroquial y en el SIGAD:</w:t>
      </w:r>
    </w:p>
    <w:p>
      <w:pPr>
        <w:pStyle w:val="Compact"/>
        <w:numPr>
          <w:ilvl w:val="0"/>
          <w:numId w:val="1020"/>
        </w:numPr>
      </w:pPr>
      <w:r>
        <w:rPr>
          <w:rFonts w:ascii="Times New Roman" w:hAnsi="Times New Roman" w:cs="Times New Roman" w:eastAsia="Times New Roman"/>
        </w:rPr>
        <w:t xml:space="preserve">La red vial habilitada permanente se actualizará de 34,20 % a 48,50 % al incorporar este eje estructurante libre de cortes por crecidas.</w:t>
      </w:r>
    </w:p>
    <w:p>
      <w:pPr>
        <w:pStyle w:val="Compact"/>
        <w:numPr>
          <w:ilvl w:val="0"/>
          <w:numId w:val="1020"/>
        </w:numPr>
      </w:pPr>
      <w:r>
        <w:rPr>
          <w:rFonts w:ascii="Times New Roman" w:hAnsi="Times New Roman" w:cs="Times New Roman" w:eastAsia="Times New Roman"/>
        </w:rPr>
        <w:t xml:space="preserve">El tiempo promedio de viaje hacia Santa Rosa se ajustará en el inventario vial a 22 minutos constantes durante todo el año.</w:t>
      </w:r>
    </w:p>
    <w:p>
      <w:pPr>
        <w:pStyle w:val="Compact"/>
        <w:numPr>
          <w:ilvl w:val="0"/>
          <w:numId w:val="1020"/>
        </w:numPr>
      </w:pPr>
      <w:r>
        <w:rPr>
          <w:rFonts w:ascii="Times New Roman" w:hAnsi="Times New Roman" w:cs="Times New Roman" w:eastAsia="Times New Roman"/>
        </w:rPr>
        <w:t xml:space="preserve">El volumen de pérdidas pecuarias invernales quedará registrado en cero litros por factores de incomunicación fluvial, consolidando la sostenibilidad territorial y el bienestar socioeconómico de las familias beneficiarias.</w:t>
      </w:r>
    </w:p>
    <w:bookmarkEnd w:id="124"/>
    <w:bookmarkEnd w:id="125"/>
    <w:bookmarkStart w:id="142" w:name="anexos"/>
    <w:p>
      <w:pPr>
        <w:pStyle w:val="Heading1"/>
      </w:pPr>
      <w:r>
        <w:rPr>
          <w:rFonts w:ascii="Times New Roman" w:hAnsi="Times New Roman" w:cs="Times New Roman" w:eastAsia="Times New Roman"/>
          <w:b/>
          <w:bCs/>
        </w:rPr>
        <w:t xml:space="preserve">9. Anexos</w:t>
      </w:r>
    </w:p>
    <w:bookmarkStart w:id="126" w:name="Xa9402e291540605e56f8aaffa5ea7d2039792ef"/>
    <w:p>
      <w:pPr>
        <w:pStyle w:val="Heading2"/>
      </w:pPr>
      <w:r>
        <w:rPr>
          <w:rFonts w:ascii="Times New Roman" w:hAnsi="Times New Roman" w:cs="Times New Roman" w:eastAsia="Times New Roman"/>
          <w:b/>
          <w:bCs/>
        </w:rPr>
        <w:t xml:space="preserve">9.1 Autorizaciones ambientales otorgadas por el Ministerio del Ambiente y otros según corresponda</w:t>
      </w:r>
    </w:p>
    <w:p>
      <w:pPr>
        <w:pStyle w:val="FirstParagraph"/>
      </w:pPr>
      <w:r>
        <w:rPr>
          <w:rFonts w:ascii="Times New Roman" w:hAnsi="Times New Roman" w:cs="Times New Roman" w:eastAsia="Times New Roman"/>
        </w:rPr>
        <w:t xml:space="preserve">Conforme a la normativa ambiental vigente y al Sistema Único de Información Ambiental (SUIA) del Ministerio del Ambiente, Agua y Transición Ecológica (MAATE):</w:t>
      </w:r>
    </w:p>
    <w:p>
      <w:pPr>
        <w:pStyle w:val="Compact"/>
        <w:numPr>
          <w:ilvl w:val="0"/>
          <w:numId w:val="1021"/>
        </w:numPr>
      </w:pPr>
      <w:r>
        <w:rPr>
          <w:rFonts w:ascii="Times New Roman" w:hAnsi="Times New Roman" w:cs="Times New Roman" w:eastAsia="Times New Roman"/>
          <w:b/>
          <w:bCs/>
        </w:rPr>
        <w:t xml:space="preserve">Certificado Ambiental de Intervención Vial Rural:</w:t>
      </w:r>
      <w:r>
        <w:rPr>
          <w:rFonts w:ascii="Times New Roman" w:hAnsi="Times New Roman" w:cs="Times New Roman" w:eastAsia="Times New Roman"/>
        </w:rPr>
        <w:t xml:space="preserve"> </w:t>
      </w:r>
      <w:r>
        <w:rPr>
          <w:rFonts w:ascii="Times New Roman" w:hAnsi="Times New Roman" w:cs="Times New Roman" w:eastAsia="Times New Roman"/>
        </w:rPr>
        <w:t xml:space="preserve">El proyecto se categoriza dentro del Catálogo de Actividades del MAATE como obra de mejoramiento y reposición de infraestructura de conectividad rural de bajo impacto (Categoría II), contando con el Certificado y Guía de Buenas Prácticas Ambientales correspondiente.</w:t>
      </w:r>
    </w:p>
    <w:p>
      <w:pPr>
        <w:pStyle w:val="Compact"/>
        <w:numPr>
          <w:ilvl w:val="0"/>
          <w:numId w:val="1021"/>
        </w:numPr>
      </w:pPr>
      <w:r>
        <w:rPr>
          <w:rFonts w:ascii="Times New Roman" w:hAnsi="Times New Roman" w:cs="Times New Roman" w:eastAsia="Times New Roman"/>
          <w:b/>
          <w:bCs/>
        </w:rPr>
        <w:t xml:space="preserve">Permiso de Afectación de Cauces e Implantación Fluvial:</w:t>
      </w:r>
      <w:r>
        <w:rPr>
          <w:rFonts w:ascii="Times New Roman" w:hAnsi="Times New Roman" w:cs="Times New Roman" w:eastAsia="Times New Roman"/>
        </w:rPr>
        <w:t xml:space="preserve"> </w:t>
      </w:r>
      <w:r>
        <w:rPr>
          <w:rFonts w:ascii="Times New Roman" w:hAnsi="Times New Roman" w:cs="Times New Roman" w:eastAsia="Times New Roman"/>
        </w:rPr>
        <w:t xml:space="preserve">Autorización administrativa de la Dirección Zonal del MAATE y de la Secretaría del Agua para la ocupación del dominio hídrico en la cuenca alta del río Santa Rosa durante los meses de estiaje para la construcción de estribos y muros de gaviones.</w:t>
      </w:r>
    </w:p>
    <w:p>
      <w:pPr>
        <w:pStyle w:val="Compact"/>
        <w:numPr>
          <w:ilvl w:val="0"/>
          <w:numId w:val="1021"/>
        </w:numPr>
      </w:pPr>
      <w:r>
        <w:rPr>
          <w:rFonts w:ascii="Times New Roman" w:hAnsi="Times New Roman" w:cs="Times New Roman" w:eastAsia="Times New Roman"/>
          <w:b/>
          <w:bCs/>
        </w:rPr>
        <w:t xml:space="preserve">Acuerdos Comunitarios de Servidumbre y Fajas de Terreno:</w:t>
      </w:r>
      <w:r>
        <w:rPr>
          <w:rFonts w:ascii="Times New Roman" w:hAnsi="Times New Roman" w:cs="Times New Roman" w:eastAsia="Times New Roman"/>
        </w:rPr>
        <w:t xml:space="preserve"> </w:t>
      </w:r>
      <w:r>
        <w:rPr>
          <w:rFonts w:ascii="Times New Roman" w:hAnsi="Times New Roman" w:cs="Times New Roman" w:eastAsia="Times New Roman"/>
        </w:rPr>
        <w:t xml:space="preserve">Actas notariales y acuerdos de cesión voluntaria suscritos con los propietarios ribereños de los sitios El Guayabo y La Chilca para garantizar el derecho de vía de 12 metros y los terraplenes de acceso sin litigios prediales.</w:t>
      </w:r>
    </w:p>
    <w:bookmarkEnd w:id="126"/>
    <w:bookmarkStart w:id="141" w:name="X740918abb56943ca8f22cac4983f0a48dac322e"/>
    <w:p>
      <w:pPr>
        <w:pStyle w:val="Heading2"/>
      </w:pPr>
      <w:r>
        <w:rPr>
          <w:rFonts w:ascii="Times New Roman" w:hAnsi="Times New Roman" w:cs="Times New Roman" w:eastAsia="Times New Roman"/>
          <w:b/>
          <w:bCs/>
        </w:rPr>
        <w:t xml:space="preserve">9.2 Certificaciones técnicas, costos, disponibilidad de financiamiento y otras</w:t>
      </w:r>
    </w:p>
    <w:p>
      <w:pPr>
        <w:pStyle w:val="FirstParagraph"/>
      </w:pPr>
      <w:r>
        <w:rPr>
          <w:rFonts w:ascii="Times New Roman" w:hAnsi="Times New Roman" w:cs="Times New Roman" w:eastAsia="Times New Roman"/>
        </w:rPr>
        <w:t xml:space="preserve">El expediente de preinversión e inversión pública cuenta con las certificaciones y respaldos institucionales correspondientes:</w:t>
      </w:r>
    </w:p>
    <w:p>
      <w:pPr>
        <w:pStyle w:val="Compact"/>
        <w:numPr>
          <w:ilvl w:val="0"/>
          <w:numId w:val="1022"/>
        </w:numPr>
      </w:pPr>
      <w:r>
        <w:rPr>
          <w:rFonts w:ascii="Times New Roman" w:hAnsi="Times New Roman" w:cs="Times New Roman" w:eastAsia="Times New Roman"/>
          <w:b/>
          <w:bCs/>
        </w:rPr>
        <w:t xml:space="preserve">Certificación Técnica de Viabilidad Vial y de Ingeniería:</w:t>
      </w:r>
      <w:r>
        <w:rPr>
          <w:rFonts w:ascii="Times New Roman" w:hAnsi="Times New Roman" w:cs="Times New Roman" w:eastAsia="Times New Roman"/>
        </w:rPr>
        <w:t xml:space="preserve"> </w:t>
      </w:r>
      <w:r>
        <w:rPr>
          <w:rFonts w:ascii="Times New Roman" w:hAnsi="Times New Roman" w:cs="Times New Roman" w:eastAsia="Times New Roman"/>
        </w:rPr>
        <w:t xml:space="preserve">Emitida por la Dirección de Estudios, Proyectos y Cooperación del GAD Provincial de El Oro, avalando el diseño de estribos en hormigón simple (</w:t>
      </w:r>
      <m:oMath>
        <m:sSup>
          <m:e>
            <m:r>
              <m:t>f</m:t>
            </m:r>
          </m:e>
          <m:sup>
            <m:r>
              <m:rPr>
                <m:sty m:val="p"/>
              </m:rPr>
              <m:t>′</m:t>
            </m:r>
          </m:sup>
        </m:sSup>
        <m:r>
          <m:t>c</m:t>
        </m:r>
        <m:r>
          <m:rPr>
            <m:sty m:val="p"/>
          </m:rPr>
          <m:t>=</m:t>
        </m:r>
        <m:r>
          <m:t>240</m:t>
        </m:r>
        <m:sSup>
          <m:e>
            <m:r>
              <m:rPr>
                <m:nor/>
                <m:sty m:val="p"/>
              </m:rPr>
              <m:t> kg/cm</m:t>
            </m:r>
          </m:e>
          <m:sup>
            <m:r>
              <m:t>2</m:t>
            </m:r>
          </m:sup>
        </m:sSup>
      </m:oMath>
      <w:r>
        <w:rPr>
          <w:rFonts w:ascii="Times New Roman" w:hAnsi="Times New Roman" w:cs="Times New Roman" w:eastAsia="Times New Roman"/>
        </w:rPr>
        <w:t xml:space="preserve">), acero de refuerzo (</w:t>
      </w:r>
      <m:oMath>
        <m:r>
          <m:t>f</m:t>
        </m:r>
        <m:r>
          <m:t>y</m:t>
        </m:r>
        <m:r>
          <m:rPr>
            <m:sty m:val="p"/>
          </m:rPr>
          <m:t>=</m:t>
        </m:r>
        <m:r>
          <m:t>4.200</m:t>
        </m:r>
        <m:sSup>
          <m:e>
            <m:r>
              <m:rPr>
                <m:nor/>
                <m:sty m:val="p"/>
              </m:rPr>
              <m:t> kg/cm</m:t>
            </m:r>
          </m:e>
          <m:sup>
            <m:r>
              <m:t>2</m:t>
            </m:r>
          </m:sup>
        </m:sSup>
      </m:oMath>
      <w:r>
        <w:rPr>
          <w:rFonts w:ascii="Times New Roman" w:hAnsi="Times New Roman" w:cs="Times New Roman" w:eastAsia="Times New Roman"/>
        </w:rPr>
        <w:t xml:space="preserve">), superestructura de acero estructural ASTM A-588 y las especificaciones de carga vehicular AASHTO HS-20.</w:t>
      </w:r>
    </w:p>
    <w:p>
      <w:pPr>
        <w:pStyle w:val="Compact"/>
        <w:numPr>
          <w:ilvl w:val="0"/>
          <w:numId w:val="1022"/>
        </w:numPr>
      </w:pPr>
      <w:r>
        <w:rPr>
          <w:rFonts w:ascii="Times New Roman" w:hAnsi="Times New Roman" w:cs="Times New Roman" w:eastAsia="Times New Roman"/>
          <w:b/>
          <w:bCs/>
        </w:rPr>
        <w:t xml:space="preserve">Certificación Presupuestaria Plurianual:</w:t>
      </w:r>
      <w:r>
        <w:rPr>
          <w:rFonts w:ascii="Times New Roman" w:hAnsi="Times New Roman" w:cs="Times New Roman" w:eastAsia="Times New Roman"/>
        </w:rPr>
        <w:t xml:space="preserve"> </w:t>
      </w:r>
      <w:r>
        <w:rPr>
          <w:rFonts w:ascii="Times New Roman" w:hAnsi="Times New Roman" w:cs="Times New Roman" w:eastAsia="Times New Roman"/>
        </w:rPr>
        <w:t xml:space="preserve">Certificación de disponibilidad de fondos y partida de inversión pública plurianual emitida por la Dirección Financiera del GAD Provincial de El Oro por $310.274,58 USD (Fuente 001 - Recursos Fiscales / Prefectura).</w:t>
      </w:r>
    </w:p>
    <w:p>
      <w:pPr>
        <w:pStyle w:val="Compact"/>
        <w:numPr>
          <w:ilvl w:val="0"/>
          <w:numId w:val="1022"/>
        </w:numPr>
      </w:pPr>
      <w:r>
        <w:rPr>
          <w:rFonts w:ascii="Times New Roman" w:hAnsi="Times New Roman" w:cs="Times New Roman" w:eastAsia="Times New Roman"/>
          <w:b/>
          <w:bCs/>
        </w:rPr>
        <w:t xml:space="preserve">Certificación de Concurrencia Municipal:</w:t>
      </w:r>
      <w:r>
        <w:rPr>
          <w:rFonts w:ascii="Times New Roman" w:hAnsi="Times New Roman" w:cs="Times New Roman" w:eastAsia="Times New Roman"/>
        </w:rPr>
        <w:t xml:space="preserve"> </w:t>
      </w:r>
      <w:r>
        <w:rPr>
          <w:rFonts w:ascii="Times New Roman" w:hAnsi="Times New Roman" w:cs="Times New Roman" w:eastAsia="Times New Roman"/>
        </w:rPr>
        <w:t xml:space="preserve">Dictamen financiero y administrativo del GAD Municipal de Santa Rosa por $45.000,00 USD bajo Convenio de Concurrencia Interinstitucional (Art. 55 COOTAD).</w:t>
      </w:r>
    </w:p>
    <w:p>
      <w:pPr>
        <w:pStyle w:val="Compact"/>
        <w:numPr>
          <w:ilvl w:val="0"/>
          <w:numId w:val="1022"/>
        </w:numPr>
      </w:pPr>
      <w:r>
        <w:rPr>
          <w:rFonts w:ascii="Times New Roman" w:hAnsi="Times New Roman" w:cs="Times New Roman" w:eastAsia="Times New Roman"/>
          <w:b/>
          <w:bCs/>
        </w:rPr>
        <w:t xml:space="preserve">Certificación de Contraparte Parroquial:</w:t>
      </w:r>
      <w:r>
        <w:rPr>
          <w:rFonts w:ascii="Times New Roman" w:hAnsi="Times New Roman" w:cs="Times New Roman" w:eastAsia="Times New Roman"/>
        </w:rPr>
        <w:t xml:space="preserve"> </w:t>
      </w:r>
      <w:r>
        <w:rPr>
          <w:rFonts w:ascii="Times New Roman" w:hAnsi="Times New Roman" w:cs="Times New Roman" w:eastAsia="Times New Roman"/>
        </w:rPr>
        <w:t xml:space="preserve">Asignación presupuestaria y minga comunitaria del GADPR Torata por $25.000,00 USD (Fuente 002 - Recursos Fiscales Parroquiales y Aporte Comunitario).</w:t>
      </w:r>
    </w:p>
    <w:p>
      <w:pPr>
        <w:pStyle w:val="Compact"/>
        <w:numPr>
          <w:ilvl w:val="0"/>
          <w:numId w:val="1022"/>
        </w:numPr>
      </w:pPr>
      <w:r>
        <w:rPr>
          <w:rFonts w:ascii="Times New Roman" w:hAnsi="Times New Roman" w:cs="Times New Roman" w:eastAsia="Times New Roman"/>
          <w:b/>
          <w:bCs/>
        </w:rPr>
        <w:t xml:space="preserve">Certificación SERCOP de Inexistencia de Catálogo Electrónico:</w:t>
      </w:r>
      <w:r>
        <w:rPr>
          <w:rFonts w:ascii="Times New Roman" w:hAnsi="Times New Roman" w:cs="Times New Roman" w:eastAsia="Times New Roman"/>
        </w:rPr>
        <w:t xml:space="preserve"> </w:t>
      </w:r>
      <w:r>
        <w:rPr>
          <w:rFonts w:ascii="Times New Roman" w:hAnsi="Times New Roman" w:cs="Times New Roman" w:eastAsia="Times New Roman"/>
        </w:rPr>
        <w:t xml:space="preserve">Constancia de pertinencia para la contratación de obra pública y servicios de consultoría bajo procedimientos de Régimen Común (Cotización / Menor Cuantía) según la LOSNCP.</w:t>
      </w:r>
    </w:p>
    <w:bookmarkStart w:id="131" w:name="Xa998782e2316b4ddaa4c148fd2386bb5b8466bc"/>
    <w:p>
      <w:pPr>
        <w:pStyle w:val="Heading3"/>
      </w:pPr>
      <w:r>
        <w:rPr>
          <w:rFonts w:ascii="Times New Roman" w:hAnsi="Times New Roman" w:cs="Times New Roman" w:eastAsia="Times New Roman"/>
          <w:b/>
          <w:bCs/>
        </w:rPr>
        <w:t xml:space="preserve">9.2.1 Anexo Complementario 1: Árbol de problemas del proyecto</w:t>
      </w:r>
    </w:p>
    <w:p>
      <w:pPr>
        <w:pStyle w:val="FirstParagraph"/>
      </w:pPr>
      <w:r>
        <w:rPr>
          <w:rFonts w:ascii="Times New Roman" w:hAnsi="Times New Roman" w:cs="Times New Roman" w:eastAsia="Times New Roman"/>
        </w:rPr>
        <w:t xml:space="preserve">La estructura causal del diagnóstico participativo y territorial de la parroquia Torata se modela vectorialmente mediante la metodología de análisis de causas y efectos (</w:t>
      </w:r>
      <w:hyperlink w:anchor="fig-arbol-problemas-torata">
        <w:r>
          <w:rPr>
            <w:rStyle w:val="Hyperlink"/>
          </w:rPr>
          <w:t xml:space="preserve">Figura 5</w:t>
        </w:r>
      </w:hyperlink>
      <w:r>
        <w:rPr>
          <w:rFonts w:ascii="Times New Roman" w:hAnsi="Times New Roman" w:cs="Times New Roman" w:eastAsia="Times New Roman"/>
        </w:rPr>
        <w:t xml:space="preserve">).</w:t>
      </w:r>
    </w:p>
    <w:p>
      <w:pPr>
        <w:pStyle w:val="TableNumber"/>
        <w:keepNext/>
        <w:ind w:firstLine="0" w:left="0"/>
        <w:jc w:val="left"/>
      </w:pPr>
      <w:r>
        <w:rPr>
          <w:rFonts w:ascii="Times New Roman" w:hAnsi="Times New Roman" w:cs="Times New Roman" w:eastAsia="Times New Roman"/>
          <w:b/>
          <w:bCs/>
          <w:sz w:val="20"/>
          <w:szCs w:val="20"/>
        </w:rPr>
        <w:t xml:space="preserve">Figura 5</w:t>
      </w:r>
    </w:p>
    <w:p>
      <w:pPr>
        <w:pStyle w:val="ImageCaption"/>
        <w:keepNext/>
        <w:ind w:firstLine="0" w:left="0"/>
        <w:jc w:val="left"/>
      </w:pPr>
      <w:r>
        <w:rPr>
          <w:rFonts w:ascii="Times New Roman" w:hAnsi="Times New Roman" w:cs="Times New Roman" w:eastAsia="Times New Roman"/>
          <w:i/>
          <w:iCs/>
          <w:sz w:val="20"/>
          <w:szCs w:val="20"/>
        </w:rPr>
        <w:t xml:space="preserve">Árbol de problemas del proyecto en el sitio El Playón - Torata</w:t>
      </w:r>
    </w:p>
    <w:p>
      <w:pPr>
        <w:pStyle w:val="CaptionedFigure"/>
        <w:ind w:firstLine="0" w:left="0"/>
        <w:jc w:val="center"/>
      </w:pPr>
      <w:r>
        <w:rPr>
          <w:rFonts w:ascii="Times New Roman" w:hAnsi="Times New Roman" w:cs="Times New Roman" w:eastAsia="Times New Roman"/>
        </w:rPr>
        <w:drawing>
          <wp:inline>
            <wp:extent cx="4800600" cy="4800600"/>
            <wp:effectExtent b="0" l="0" r="0" t="0"/>
            <wp:docPr descr="" title="" id="128" name="Picture"/>
            <a:graphic>
              <a:graphicData uri="http://schemas.openxmlformats.org/drawingml/2006/picture">
                <pic:pic>
                  <pic:nvPicPr>
                    <pic:cNvPr descr="asset/arbol_de_problemas.png" id="129" name="Picture"/>
                    <pic:cNvPicPr>
                      <a:picLocks noChangeArrowheads="1" noChangeAspect="1"/>
                    </pic:cNvPicPr>
                  </pic:nvPicPr>
                  <pic:blipFill>
                    <a:blip r:embed="rId127"/>
                    <a:stretch>
                      <a:fillRect/>
                    </a:stretch>
                  </pic:blipFill>
                  <pic:spPr bwMode="auto">
                    <a:xfrm>
                      <a:off x="0" y="0"/>
                      <a:ext cx="4800600" cy="4800600"/>
                    </a:xfrm>
                    <a:prstGeom prst="rect">
                      <a:avLst/>
                    </a:prstGeom>
                    <a:noFill/>
                    <a:ln w="9525">
                      <a:noFill/>
                      <a:headEnd/>
                      <a:tailEnd/>
                    </a:ln>
                  </pic:spPr>
                </pic:pic>
              </a:graphicData>
            </a:graphic>
          </wp:inline>
        </w:drawing>
      </w:r>
    </w:p>
    <w:p>
      <w:pPr>
        <w:pStyle w:val="TableNote"/>
        <w:ind w:firstLine="0" w:left="0"/>
        <w:jc w:val="both"/>
      </w:pPr>
      <w:r>
        <w:rPr>
          <w:rFonts w:ascii="Times New Roman" w:hAnsi="Times New Roman" w:cs="Times New Roman" w:eastAsia="Times New Roman"/>
          <w:i/>
          <w:iCs/>
          <w:sz w:val="20"/>
          <w:szCs w:val="20"/>
        </w:rPr>
        <w:t xml:space="preserve">Nota.</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Elaboración técnica a partir de las observaciones docentes y diagnóstico territorial participativo.</w:t>
      </w:r>
    </w:p>
    <w:bookmarkEnd w:id="131"/>
    <w:bookmarkStart w:id="136" w:name="X1cc3029c43aa9b48e75ffffb68cd38d1b82a5da"/>
    <w:p>
      <w:pPr>
        <w:pStyle w:val="Heading3"/>
      </w:pPr>
      <w:r>
        <w:rPr>
          <w:rFonts w:ascii="Times New Roman" w:hAnsi="Times New Roman" w:cs="Times New Roman" w:eastAsia="Times New Roman"/>
          <w:b/>
          <w:bCs/>
        </w:rPr>
        <w:t xml:space="preserve">9.2.2 Anexo Complementario 2: Árbol de objetivos del proyecto</w:t>
      </w:r>
    </w:p>
    <w:p>
      <w:pPr>
        <w:pStyle w:val="FirstParagraph"/>
      </w:pPr>
      <w:r>
        <w:rPr>
          <w:rFonts w:ascii="Times New Roman" w:hAnsi="Times New Roman" w:cs="Times New Roman" w:eastAsia="Times New Roman"/>
        </w:rPr>
        <w:t xml:space="preserve">La transformación de las condiciones negativas en situaciones deseadas y medios de intervención se esquematiza en el Árbol de Objetivos del proyecto (</w:t>
      </w:r>
      <w:hyperlink w:anchor="fig-arbol-objetivos-torata">
        <w:r>
          <w:rPr>
            <w:rStyle w:val="Hyperlink"/>
          </w:rPr>
          <w:t xml:space="preserve">Figura 6</w:t>
        </w:r>
      </w:hyperlink>
      <w:r>
        <w:rPr>
          <w:rFonts w:ascii="Times New Roman" w:hAnsi="Times New Roman" w:cs="Times New Roman" w:eastAsia="Times New Roman"/>
        </w:rPr>
        <w:t xml:space="preserve">).</w:t>
      </w:r>
    </w:p>
    <w:p>
      <w:pPr>
        <w:pStyle w:val="TableNumber"/>
        <w:keepNext/>
        <w:ind w:firstLine="0" w:left="0"/>
        <w:jc w:val="left"/>
      </w:pPr>
      <w:r>
        <w:rPr>
          <w:rFonts w:ascii="Times New Roman" w:hAnsi="Times New Roman" w:cs="Times New Roman" w:eastAsia="Times New Roman"/>
          <w:b/>
          <w:bCs/>
          <w:sz w:val="20"/>
          <w:szCs w:val="20"/>
        </w:rPr>
        <w:t xml:space="preserve">Figura 6</w:t>
      </w:r>
    </w:p>
    <w:p>
      <w:pPr>
        <w:pStyle w:val="ImageCaption"/>
        <w:keepNext/>
        <w:ind w:firstLine="0" w:left="0"/>
        <w:jc w:val="left"/>
      </w:pPr>
      <w:r>
        <w:rPr>
          <w:rFonts w:ascii="Times New Roman" w:hAnsi="Times New Roman" w:cs="Times New Roman" w:eastAsia="Times New Roman"/>
          <w:i/>
          <w:iCs/>
          <w:sz w:val="20"/>
          <w:szCs w:val="20"/>
        </w:rPr>
        <w:t xml:space="preserve">Árbol de objetivos del proyecto en el sitio El Playón - Torata</w:t>
      </w:r>
    </w:p>
    <w:p>
      <w:pPr>
        <w:pStyle w:val="CaptionedFigure"/>
        <w:ind w:firstLine="0" w:left="0"/>
        <w:jc w:val="center"/>
      </w:pPr>
      <w:r>
        <w:rPr>
          <w:rFonts w:ascii="Times New Roman" w:hAnsi="Times New Roman" w:cs="Times New Roman" w:eastAsia="Times New Roman"/>
        </w:rPr>
        <w:drawing>
          <wp:inline>
            <wp:extent cx="4800600" cy="6212541"/>
            <wp:effectExtent b="0" l="0" r="0" t="0"/>
            <wp:docPr descr="" title="" id="133" name="Picture"/>
            <a:graphic>
              <a:graphicData uri="http://schemas.openxmlformats.org/drawingml/2006/picture">
                <pic:pic>
                  <pic:nvPicPr>
                    <pic:cNvPr descr="asset/arbol_de_objetivos.png" id="134" name="Picture"/>
                    <pic:cNvPicPr>
                      <a:picLocks noChangeArrowheads="1" noChangeAspect="1"/>
                    </pic:cNvPicPr>
                  </pic:nvPicPr>
                  <pic:blipFill>
                    <a:blip r:embed="rId132"/>
                    <a:stretch>
                      <a:fillRect/>
                    </a:stretch>
                  </pic:blipFill>
                  <pic:spPr bwMode="auto">
                    <a:xfrm>
                      <a:off x="0" y="0"/>
                      <a:ext cx="4800600" cy="6212541"/>
                    </a:xfrm>
                    <a:prstGeom prst="rect">
                      <a:avLst/>
                    </a:prstGeom>
                    <a:noFill/>
                    <a:ln w="9525">
                      <a:noFill/>
                      <a:headEnd/>
                      <a:tailEnd/>
                    </a:ln>
                  </pic:spPr>
                </pic:pic>
              </a:graphicData>
            </a:graphic>
          </wp:inline>
        </w:drawing>
      </w:r>
    </w:p>
    <w:p>
      <w:pPr>
        <w:pStyle w:val="TableNote"/>
        <w:ind w:firstLine="0" w:left="0"/>
        <w:jc w:val="both"/>
      </w:pPr>
      <w:r>
        <w:rPr>
          <w:rFonts w:ascii="Times New Roman" w:hAnsi="Times New Roman" w:cs="Times New Roman" w:eastAsia="Times New Roman"/>
          <w:i/>
          <w:iCs/>
          <w:sz w:val="20"/>
          <w:szCs w:val="20"/>
        </w:rPr>
        <w:t xml:space="preserve">Nota.</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Elaboración técnica conforme a la metodología de Marco Lógico de Planifica Ecuador.</w:t>
      </w:r>
    </w:p>
    <w:bookmarkEnd w:id="136"/>
    <w:bookmarkStart w:id="138" w:name="X9fff095d19a45a4f54ee33fdf5556dcc7726a01"/>
    <w:p>
      <w:pPr>
        <w:pStyle w:val="Heading3"/>
      </w:pPr>
      <w:r>
        <w:rPr>
          <w:rFonts w:ascii="Times New Roman" w:hAnsi="Times New Roman" w:cs="Times New Roman" w:eastAsia="Times New Roman"/>
          <w:b/>
          <w:bCs/>
        </w:rPr>
        <w:t xml:space="preserve">9.2.3 Anexo Complementario 3: Ficha técnica del levantamiento de indicadores territoriales</w:t>
      </w:r>
    </w:p>
    <w:p>
      <w:pPr>
        <w:pStyle w:val="FirstParagraph"/>
      </w:pPr>
      <w:r>
        <w:rPr>
          <w:rFonts w:ascii="Times New Roman" w:hAnsi="Times New Roman" w:cs="Times New Roman" w:eastAsia="Times New Roman"/>
        </w:rPr>
        <w:t xml:space="preserve">La matriz técnica territorial recopilada refleja el peso predominante de la economía pecuaria y la red vial en Torata, resumiendo los parámetros de diagnóstico en la</w:t>
      </w:r>
      <w:r>
        <w:rPr>
          <w:rFonts w:ascii="Times New Roman" w:hAnsi="Times New Roman" w:cs="Times New Roman" w:eastAsia="Times New Roman"/>
        </w:rPr>
        <w:t xml:space="preserve"> </w:t>
      </w:r>
      <w:hyperlink w:anchor="tbl-anexo-indicadores-puente">
        <w:r>
          <w:rPr>
            <w:rStyle w:val="Hyperlink"/>
          </w:rPr>
          <w:t xml:space="preserve">Tabla 24</w:t>
        </w:r>
      </w:hyperlink>
      <w:r>
        <w:rPr>
          <w:rFonts w:ascii="Times New Roman" w:hAnsi="Times New Roman" w:cs="Times New Roman" w:eastAsia="Times New Roman"/>
        </w:rPr>
        <w:t xml:space="preserve">.</w:t>
      </w:r>
    </w:p>
    <w:p>
      <w:pPr>
        <w:pStyle w:val="TableNumber"/>
        <w:keepNext/>
        <w:ind w:firstLine="0" w:left="0"/>
        <w:jc w:val="left"/>
      </w:pPr>
      <w:r>
        <w:rPr>
          <w:rFonts w:ascii="Times New Roman" w:hAnsi="Times New Roman" w:cs="Times New Roman" w:eastAsia="Times New Roman"/>
          <w:b/>
          <w:bCs/>
          <w:sz w:val="20"/>
          <w:szCs w:val="20"/>
        </w:rPr>
        <w:t xml:space="preserve">Tabla 24</w:t>
      </w:r>
    </w:p>
    <w:p>
      <w:pPr>
        <w:pStyle w:val="TableCaption"/>
        <w:keepNext/>
        <w:ind w:firstLine="0" w:left="0"/>
        <w:jc w:val="left"/>
      </w:pPr>
      <w:r>
        <w:rPr>
          <w:rFonts w:ascii="Times New Roman" w:hAnsi="Times New Roman" w:cs="Times New Roman" w:eastAsia="Times New Roman"/>
          <w:i/>
          <w:iCs/>
          <w:sz w:val="20"/>
          <w:szCs w:val="20"/>
        </w:rPr>
        <w:t xml:space="preserve">Resumen de indicadores territoriales base para el proyecto vial</w:t>
      </w:r>
    </w:p>
    <w:tbl>
      <w:tblPr>
        <w:tblStyle w:val="Table"/>
        <w:tblLayout w:type="fixed"/>
        <w:tblLook w:firstRow="1" w:lastRow="0" w:firstColumn="0" w:lastColumn="0" w:noHBand="0" w:noVBand="0" w:val="0020"/>
        <w:tblInd w:w="0" w:type="dxa"/>
        <w:tblW w:w="5000" w:type="pct"/>
        <w:tblBorders>
          <w:top w:val="single" w:sz="8" w:space="0" w:color="000000"/>
          <w:bottom w:val="single" w:sz="8" w:space="0" w:color="000000"/>
          <w:left w:val="none" w:sz="0" w:space="0" w:color="000000"/>
          <w:right w:val="none" w:sz="0" w:space="0" w:color="000000"/>
          <w:insideH w:val="none" w:sz="0" w:space="0" w:color="000000"/>
          <w:insideV w:val="none" w:sz="0" w:space="0" w:color="000000"/>
        </w:tblBorders>
      </w:tblPr>
      <w:tblGrid>
        <w:gridCol w:w="1980"/>
        <w:gridCol w:w="1980"/>
        <w:gridCol w:w="1980"/>
        <w:gridCol w:w="1980"/>
      </w:tblGrid>
      <w:tr>
        <w:trPr>
          <w:tblHeader w:val="on"/>
        </w:trPr>
        <w:tc>
          <w:tcPr>
            <w:tcBorders>
              <w:top w:val="single" w:sz="8" w:space="0" w:color="000000"/>
              <w:bottom w:val="single" w:sz="6" w:space="0" w:color="000000"/>
            </w:tcBorders>
          </w:tcPr>
          <w:p>
            <w:pPr>
              <w:pStyle w:val="TableHeader"/>
              <w:keepNext/>
              <w:ind w:firstLine="0" w:left="0"/>
              <w:jc w:val="left"/>
            </w:pPr>
            <w:r>
              <w:rPr>
                <w:rFonts w:ascii="Times New Roman" w:hAnsi="Times New Roman" w:cs="Times New Roman" w:eastAsia="Times New Roman"/>
                <w:sz w:val="20"/>
                <w:szCs w:val="20"/>
              </w:rPr>
              <w:t xml:space="preserve">Componente</w:t>
            </w:r>
          </w:p>
        </w:tc>
        <w:tc>
          <w:tcPr>
            <w:tcBorders>
              <w:top w:val="single" w:sz="8" w:space="0" w:color="000000"/>
              <w:bottom w:val="single" w:sz="6" w:space="0" w:color="000000"/>
            </w:tcBorders>
          </w:tcPr>
          <w:p>
            <w:pPr>
              <w:pStyle w:val="TableHeader"/>
              <w:keepNext/>
              <w:ind w:firstLine="0" w:left="0"/>
              <w:jc w:val="left"/>
            </w:pPr>
            <w:r>
              <w:rPr>
                <w:rFonts w:ascii="Times New Roman" w:hAnsi="Times New Roman" w:cs="Times New Roman" w:eastAsia="Times New Roman"/>
                <w:sz w:val="20"/>
                <w:szCs w:val="20"/>
              </w:rPr>
              <w:t xml:space="preserve">Variable Principal</w:t>
            </w:r>
          </w:p>
        </w:tc>
        <w:tc>
          <w:tcPr>
            <w:tcBorders>
              <w:top w:val="single" w:sz="8" w:space="0" w:color="000000"/>
              <w:bottom w:val="single" w:sz="6" w:space="0" w:color="000000"/>
            </w:tcBorders>
          </w:tcPr>
          <w:p>
            <w:pPr>
              <w:pStyle w:val="TableHeader"/>
              <w:keepNext/>
              <w:ind w:firstLine="0" w:left="0"/>
              <w:jc w:val="left"/>
            </w:pPr>
            <w:r>
              <w:rPr>
                <w:rFonts w:ascii="Times New Roman" w:hAnsi="Times New Roman" w:cs="Times New Roman" w:eastAsia="Times New Roman"/>
                <w:sz w:val="20"/>
                <w:szCs w:val="20"/>
              </w:rPr>
              <w:t xml:space="preserve">Unidad</w:t>
            </w:r>
          </w:p>
        </w:tc>
        <w:tc>
          <w:tcPr>
            <w:tcBorders>
              <w:top w:val="single" w:sz="8" w:space="0" w:color="000000"/>
              <w:bottom w:val="single" w:sz="6" w:space="0" w:color="000000"/>
            </w:tcBorders>
          </w:tcPr>
          <w:p>
            <w:pPr>
              <w:pStyle w:val="TableHeader"/>
              <w:keepNext/>
              <w:ind w:firstLine="0" w:left="0"/>
              <w:jc w:val="left"/>
            </w:pPr>
            <w:r>
              <w:rPr>
                <w:rFonts w:ascii="Times New Roman" w:hAnsi="Times New Roman" w:cs="Times New Roman" w:eastAsia="Times New Roman"/>
                <w:sz w:val="20"/>
                <w:szCs w:val="20"/>
              </w:rPr>
              <w:t xml:space="preserve">Valor Base Oficial</w:t>
            </w:r>
          </w:p>
        </w:tc>
      </w:tr>
      <w:tr>
        <w:tc>
          <w:tcPr/>
          <w:p>
            <w:pPr>
              <w:pStyle w:val="TableText"/>
              <w:ind w:firstLine="0" w:left="0"/>
              <w:jc w:val="left"/>
            </w:pPr>
            <w:r>
              <w:rPr>
                <w:rFonts w:ascii="Times New Roman" w:hAnsi="Times New Roman" w:cs="Times New Roman" w:eastAsia="Times New Roman"/>
                <w:sz w:val="20"/>
                <w:szCs w:val="20"/>
              </w:rPr>
              <w:t xml:space="preserve">Territorial</w:t>
            </w:r>
          </w:p>
        </w:tc>
        <w:tc>
          <w:tcPr/>
          <w:p>
            <w:pPr>
              <w:pStyle w:val="TableText"/>
              <w:ind w:firstLine="0" w:left="0"/>
              <w:jc w:val="left"/>
            </w:pPr>
            <w:r>
              <w:rPr>
                <w:rFonts w:ascii="Times New Roman" w:hAnsi="Times New Roman" w:cs="Times New Roman" w:eastAsia="Times New Roman"/>
                <w:sz w:val="20"/>
                <w:szCs w:val="20"/>
              </w:rPr>
              <w:t xml:space="preserve">Superficie parroquial catastrada</w:t>
            </w:r>
          </w:p>
        </w:tc>
        <w:tc>
          <w:tcPr/>
          <w:p>
            <w:pPr>
              <w:pStyle w:val="TableText"/>
              <w:ind w:firstLine="0" w:left="0"/>
              <w:jc w:val="left"/>
            </w:pPr>
            <w:r>
              <w:rPr>
                <w:rFonts w:ascii="Times New Roman" w:hAnsi="Times New Roman" w:cs="Times New Roman" w:eastAsia="Times New Roman"/>
                <w:sz w:val="20"/>
                <w:szCs w:val="20"/>
              </w:rPr>
              <w:t xml:space="preserve">Hectáreas</w:t>
            </w:r>
          </w:p>
        </w:tc>
        <w:tc>
          <w:tcPr/>
          <w:p>
            <w:pPr>
              <w:pStyle w:val="TableText"/>
              <w:ind w:firstLine="0" w:left="0"/>
              <w:jc w:val="left"/>
            </w:pPr>
            <w:r>
              <w:rPr>
                <w:rFonts w:ascii="Times New Roman" w:hAnsi="Times New Roman" w:cs="Times New Roman" w:eastAsia="Times New Roman"/>
                <w:sz w:val="20"/>
                <w:szCs w:val="20"/>
              </w:rPr>
              <w:t xml:space="preserve">8.538,00 ha (22 km² desconcentrados)</w:t>
            </w:r>
          </w:p>
        </w:tc>
      </w:tr>
      <w:tr>
        <w:tc>
          <w:tcPr/>
          <w:p>
            <w:pPr>
              <w:pStyle w:val="TableText"/>
              <w:ind w:firstLine="0" w:left="0"/>
              <w:jc w:val="left"/>
            </w:pPr>
            <w:r>
              <w:rPr>
                <w:rFonts w:ascii="Times New Roman" w:hAnsi="Times New Roman" w:cs="Times New Roman" w:eastAsia="Times New Roman"/>
                <w:sz w:val="20"/>
                <w:szCs w:val="20"/>
              </w:rPr>
              <w:t xml:space="preserve">Económico</w:t>
            </w:r>
          </w:p>
        </w:tc>
        <w:tc>
          <w:tcPr/>
          <w:p>
            <w:pPr>
              <w:pStyle w:val="TableText"/>
              <w:ind w:firstLine="0" w:left="0"/>
              <w:jc w:val="left"/>
            </w:pPr>
            <w:r>
              <w:rPr>
                <w:rFonts w:ascii="Times New Roman" w:hAnsi="Times New Roman" w:cs="Times New Roman" w:eastAsia="Times New Roman"/>
                <w:sz w:val="20"/>
                <w:szCs w:val="20"/>
              </w:rPr>
              <w:t xml:space="preserve">Suelo en pastos cultivados (directo y mixto)</w:t>
            </w:r>
          </w:p>
        </w:tc>
        <w:tc>
          <w:tcPr/>
          <w:p>
            <w:pPr>
              <w:pStyle w:val="TableText"/>
              <w:ind w:firstLine="0" w:left="0"/>
              <w:jc w:val="left"/>
            </w:pPr>
            <w:r>
              <w:rPr>
                <w:rFonts w:ascii="Times New Roman" w:hAnsi="Times New Roman" w:cs="Times New Roman" w:eastAsia="Times New Roman"/>
                <w:sz w:val="20"/>
                <w:szCs w:val="20"/>
              </w:rPr>
              <w:t xml:space="preserve">% del territorio</w:t>
            </w:r>
          </w:p>
        </w:tc>
        <w:tc>
          <w:tcPr/>
          <w:p>
            <w:pPr>
              <w:pStyle w:val="TableText"/>
              <w:ind w:firstLine="0" w:left="0"/>
              <w:jc w:val="left"/>
            </w:pPr>
            <w:r>
              <w:rPr>
                <w:rFonts w:ascii="Times New Roman" w:hAnsi="Times New Roman" w:cs="Times New Roman" w:eastAsia="Times New Roman"/>
                <w:sz w:val="20"/>
                <w:szCs w:val="20"/>
              </w:rPr>
              <w:t xml:space="preserve">37,29 % (2.478,45 ha)</w:t>
            </w:r>
          </w:p>
        </w:tc>
      </w:tr>
      <w:tr>
        <w:tc>
          <w:tcPr/>
          <w:p>
            <w:pPr>
              <w:pStyle w:val="TableText"/>
              <w:ind w:firstLine="0" w:left="0"/>
              <w:jc w:val="left"/>
            </w:pPr>
            <w:r>
              <w:rPr>
                <w:rFonts w:ascii="Times New Roman" w:hAnsi="Times New Roman" w:cs="Times New Roman" w:eastAsia="Times New Roman"/>
                <w:sz w:val="20"/>
                <w:szCs w:val="20"/>
              </w:rPr>
              <w:t xml:space="preserve">Económico</w:t>
            </w:r>
          </w:p>
        </w:tc>
        <w:tc>
          <w:tcPr/>
          <w:p>
            <w:pPr>
              <w:pStyle w:val="TableText"/>
              <w:ind w:firstLine="0" w:left="0"/>
              <w:jc w:val="left"/>
            </w:pPr>
            <w:r>
              <w:rPr>
                <w:rFonts w:ascii="Times New Roman" w:hAnsi="Times New Roman" w:cs="Times New Roman" w:eastAsia="Times New Roman"/>
                <w:sz w:val="20"/>
                <w:szCs w:val="20"/>
              </w:rPr>
              <w:t xml:space="preserve">Inventario ganadero bovino censado</w:t>
            </w:r>
          </w:p>
        </w:tc>
        <w:tc>
          <w:tcPr/>
          <w:p>
            <w:pPr>
              <w:pStyle w:val="TableText"/>
              <w:ind w:firstLine="0" w:left="0"/>
              <w:jc w:val="left"/>
            </w:pPr>
            <w:r>
              <w:rPr>
                <w:rFonts w:ascii="Times New Roman" w:hAnsi="Times New Roman" w:cs="Times New Roman" w:eastAsia="Times New Roman"/>
                <w:sz w:val="20"/>
                <w:szCs w:val="20"/>
              </w:rPr>
              <w:t xml:space="preserve">Cabezas de ganado</w:t>
            </w:r>
          </w:p>
        </w:tc>
        <w:tc>
          <w:tcPr/>
          <w:p>
            <w:pPr>
              <w:pStyle w:val="TableText"/>
              <w:ind w:firstLine="0" w:left="0"/>
              <w:jc w:val="left"/>
            </w:pPr>
            <w:r>
              <w:rPr>
                <w:rFonts w:ascii="Times New Roman" w:hAnsi="Times New Roman" w:cs="Times New Roman" w:eastAsia="Times New Roman"/>
                <w:sz w:val="20"/>
                <w:szCs w:val="20"/>
              </w:rPr>
              <w:t xml:space="preserve">3.898 cabezas (1.386 vacas de ordeño)</w:t>
            </w:r>
          </w:p>
        </w:tc>
      </w:tr>
      <w:tr>
        <w:tc>
          <w:tcPr/>
          <w:p>
            <w:pPr>
              <w:pStyle w:val="TableText"/>
              <w:ind w:firstLine="0" w:left="0"/>
              <w:jc w:val="left"/>
            </w:pPr>
            <w:r>
              <w:rPr>
                <w:rFonts w:ascii="Times New Roman" w:hAnsi="Times New Roman" w:cs="Times New Roman" w:eastAsia="Times New Roman"/>
                <w:sz w:val="20"/>
                <w:szCs w:val="20"/>
              </w:rPr>
              <w:t xml:space="preserve">Económico</w:t>
            </w:r>
          </w:p>
        </w:tc>
        <w:tc>
          <w:tcPr/>
          <w:p>
            <w:pPr>
              <w:pStyle w:val="TableText"/>
              <w:ind w:firstLine="0" w:left="0"/>
              <w:jc w:val="left"/>
            </w:pPr>
            <w:r>
              <w:rPr>
                <w:rFonts w:ascii="Times New Roman" w:hAnsi="Times New Roman" w:cs="Times New Roman" w:eastAsia="Times New Roman"/>
                <w:sz w:val="20"/>
                <w:szCs w:val="20"/>
              </w:rPr>
              <w:t xml:space="preserve">Población Económicamente Activa (PEA)</w:t>
            </w:r>
          </w:p>
        </w:tc>
        <w:tc>
          <w:tcPr/>
          <w:p>
            <w:pPr>
              <w:pStyle w:val="TableText"/>
              <w:ind w:firstLine="0" w:left="0"/>
              <w:jc w:val="left"/>
            </w:pPr>
            <w:r>
              <w:rPr>
                <w:rFonts w:ascii="Times New Roman" w:hAnsi="Times New Roman" w:cs="Times New Roman" w:eastAsia="Times New Roman"/>
                <w:sz w:val="20"/>
                <w:szCs w:val="20"/>
              </w:rPr>
              <w:t xml:space="preserve">Personas</w:t>
            </w:r>
          </w:p>
        </w:tc>
        <w:tc>
          <w:tcPr/>
          <w:p>
            <w:pPr>
              <w:pStyle w:val="TableText"/>
              <w:ind w:firstLine="0" w:left="0"/>
              <w:jc w:val="left"/>
            </w:pPr>
            <w:r>
              <w:rPr>
                <w:rFonts w:ascii="Times New Roman" w:hAnsi="Times New Roman" w:cs="Times New Roman" w:eastAsia="Times New Roman"/>
                <w:sz w:val="20"/>
                <w:szCs w:val="20"/>
              </w:rPr>
              <w:t xml:space="preserve">1.241 ocupados</w:t>
            </w:r>
          </w:p>
        </w:tc>
      </w:tr>
      <w:tr>
        <w:tc>
          <w:tcPr/>
          <w:p>
            <w:pPr>
              <w:pStyle w:val="TableText"/>
              <w:ind w:firstLine="0" w:left="0"/>
              <w:jc w:val="left"/>
            </w:pPr>
            <w:r>
              <w:rPr>
                <w:rFonts w:ascii="Times New Roman" w:hAnsi="Times New Roman" w:cs="Times New Roman" w:eastAsia="Times New Roman"/>
                <w:sz w:val="20"/>
                <w:szCs w:val="20"/>
              </w:rPr>
              <w:t xml:space="preserve">Económico</w:t>
            </w:r>
          </w:p>
        </w:tc>
        <w:tc>
          <w:tcPr/>
          <w:p>
            <w:pPr>
              <w:pStyle w:val="TableText"/>
              <w:ind w:firstLine="0" w:left="0"/>
              <w:jc w:val="left"/>
            </w:pPr>
            <w:r>
              <w:rPr>
                <w:rFonts w:ascii="Times New Roman" w:hAnsi="Times New Roman" w:cs="Times New Roman" w:eastAsia="Times New Roman"/>
                <w:sz w:val="20"/>
                <w:szCs w:val="20"/>
              </w:rPr>
              <w:t xml:space="preserve">Empleo en sector primario (agropecuario y minería)</w:t>
            </w:r>
          </w:p>
        </w:tc>
        <w:tc>
          <w:tcPr/>
          <w:p>
            <w:pPr>
              <w:pStyle w:val="TableText"/>
              <w:ind w:firstLine="0" w:left="0"/>
              <w:jc w:val="left"/>
            </w:pPr>
            <w:r>
              <w:rPr>
                <w:rFonts w:ascii="Times New Roman" w:hAnsi="Times New Roman" w:cs="Times New Roman" w:eastAsia="Times New Roman"/>
                <w:sz w:val="20"/>
                <w:szCs w:val="20"/>
              </w:rPr>
              <w:t xml:space="preserve">% de la PEA</w:t>
            </w:r>
          </w:p>
        </w:tc>
        <w:tc>
          <w:tcPr/>
          <w:p>
            <w:pPr>
              <w:pStyle w:val="TableText"/>
              <w:ind w:firstLine="0" w:left="0"/>
              <w:jc w:val="left"/>
            </w:pPr>
            <w:r>
              <w:rPr>
                <w:rFonts w:ascii="Times New Roman" w:hAnsi="Times New Roman" w:cs="Times New Roman" w:eastAsia="Times New Roman"/>
                <w:sz w:val="20"/>
                <w:szCs w:val="20"/>
              </w:rPr>
              <w:t xml:space="preserve">55,00 % (683 empleos)</w:t>
            </w:r>
          </w:p>
        </w:tc>
      </w:tr>
      <w:tr>
        <w:tc>
          <w:tcPr/>
          <w:p>
            <w:pPr>
              <w:pStyle w:val="TableText"/>
              <w:ind w:firstLine="0" w:left="0"/>
              <w:jc w:val="left"/>
            </w:pPr>
            <w:r>
              <w:rPr>
                <w:rFonts w:ascii="Times New Roman" w:hAnsi="Times New Roman" w:cs="Times New Roman" w:eastAsia="Times New Roman"/>
                <w:sz w:val="20"/>
                <w:szCs w:val="20"/>
              </w:rPr>
              <w:t xml:space="preserve">Económico</w:t>
            </w:r>
          </w:p>
        </w:tc>
        <w:tc>
          <w:tcPr/>
          <w:p>
            <w:pPr>
              <w:pStyle w:val="TableText"/>
              <w:ind w:firstLine="0" w:left="0"/>
              <w:jc w:val="left"/>
            </w:pPr>
            <w:r>
              <w:rPr>
                <w:rFonts w:ascii="Times New Roman" w:hAnsi="Times New Roman" w:cs="Times New Roman" w:eastAsia="Times New Roman"/>
                <w:sz w:val="20"/>
                <w:szCs w:val="20"/>
              </w:rPr>
              <w:t xml:space="preserve">Empleo específico en agricultura y ganadería</w:t>
            </w:r>
          </w:p>
        </w:tc>
        <w:tc>
          <w:tcPr/>
          <w:p>
            <w:pPr>
              <w:pStyle w:val="TableText"/>
              <w:ind w:firstLine="0" w:left="0"/>
              <w:jc w:val="left"/>
            </w:pPr>
            <w:r>
              <w:rPr>
                <w:rFonts w:ascii="Times New Roman" w:hAnsi="Times New Roman" w:cs="Times New Roman" w:eastAsia="Times New Roman"/>
                <w:sz w:val="20"/>
                <w:szCs w:val="20"/>
              </w:rPr>
              <w:t xml:space="preserve">% de la PEA</w:t>
            </w:r>
          </w:p>
        </w:tc>
        <w:tc>
          <w:tcPr/>
          <w:p>
            <w:pPr>
              <w:pStyle w:val="TableText"/>
              <w:ind w:firstLine="0" w:left="0"/>
              <w:jc w:val="left"/>
            </w:pPr>
            <w:r>
              <w:rPr>
                <w:rFonts w:ascii="Times New Roman" w:hAnsi="Times New Roman" w:cs="Times New Roman" w:eastAsia="Times New Roman"/>
                <w:sz w:val="20"/>
                <w:szCs w:val="20"/>
              </w:rPr>
              <w:t xml:space="preserve">39,44 % (489 empleos directos)</w:t>
            </w:r>
          </w:p>
        </w:tc>
      </w:tr>
      <w:tr>
        <w:tc>
          <w:tcPr/>
          <w:p>
            <w:pPr>
              <w:pStyle w:val="TableText"/>
              <w:ind w:firstLine="0" w:left="0"/>
              <w:jc w:val="left"/>
            </w:pPr>
            <w:r>
              <w:rPr>
                <w:rFonts w:ascii="Times New Roman" w:hAnsi="Times New Roman" w:cs="Times New Roman" w:eastAsia="Times New Roman"/>
                <w:sz w:val="20"/>
                <w:szCs w:val="20"/>
              </w:rPr>
              <w:t xml:space="preserve">Vial</w:t>
            </w:r>
          </w:p>
        </w:tc>
        <w:tc>
          <w:tcPr/>
          <w:p>
            <w:pPr>
              <w:pStyle w:val="TableText"/>
              <w:ind w:firstLine="0" w:left="0"/>
              <w:jc w:val="left"/>
            </w:pPr>
            <w:r>
              <w:rPr>
                <w:rFonts w:ascii="Times New Roman" w:hAnsi="Times New Roman" w:cs="Times New Roman" w:eastAsia="Times New Roman"/>
                <w:sz w:val="20"/>
                <w:szCs w:val="20"/>
              </w:rPr>
              <w:t xml:space="preserve">Red vial parroquial total censada</w:t>
            </w:r>
          </w:p>
        </w:tc>
        <w:tc>
          <w:tcPr/>
          <w:p>
            <w:pPr>
              <w:pStyle w:val="TableText"/>
              <w:ind w:firstLine="0" w:left="0"/>
              <w:jc w:val="left"/>
            </w:pPr>
            <w:r>
              <w:rPr>
                <w:rFonts w:ascii="Times New Roman" w:hAnsi="Times New Roman" w:cs="Times New Roman" w:eastAsia="Times New Roman"/>
                <w:sz w:val="20"/>
                <w:szCs w:val="20"/>
              </w:rPr>
              <w:t xml:space="preserve">Kilómetros</w:t>
            </w:r>
          </w:p>
        </w:tc>
        <w:tc>
          <w:tcPr/>
          <w:p>
            <w:pPr>
              <w:pStyle w:val="TableText"/>
              <w:ind w:firstLine="0" w:left="0"/>
              <w:jc w:val="left"/>
            </w:pPr>
            <w:r>
              <w:rPr>
                <w:rFonts w:ascii="Times New Roman" w:hAnsi="Times New Roman" w:cs="Times New Roman" w:eastAsia="Times New Roman"/>
                <w:sz w:val="20"/>
                <w:szCs w:val="20"/>
              </w:rPr>
              <w:t xml:space="preserve">46,20 km (11,33 km señalizados)</w:t>
            </w:r>
          </w:p>
        </w:tc>
      </w:tr>
      <w:tr>
        <w:tc>
          <w:tcPr/>
          <w:p>
            <w:pPr>
              <w:pStyle w:val="TableText"/>
              <w:ind w:firstLine="0" w:left="0"/>
              <w:jc w:val="left"/>
            </w:pPr>
            <w:r>
              <w:rPr>
                <w:rFonts w:ascii="Times New Roman" w:hAnsi="Times New Roman" w:cs="Times New Roman" w:eastAsia="Times New Roman"/>
                <w:sz w:val="20"/>
                <w:szCs w:val="20"/>
              </w:rPr>
              <w:t xml:space="preserve">Vial</w:t>
            </w:r>
          </w:p>
        </w:tc>
        <w:tc>
          <w:tcPr/>
          <w:p>
            <w:pPr>
              <w:pStyle w:val="TableText"/>
              <w:ind w:firstLine="0" w:left="0"/>
              <w:jc w:val="left"/>
            </w:pPr>
            <w:r>
              <w:rPr>
                <w:rFonts w:ascii="Times New Roman" w:hAnsi="Times New Roman" w:cs="Times New Roman" w:eastAsia="Times New Roman"/>
                <w:sz w:val="20"/>
                <w:szCs w:val="20"/>
              </w:rPr>
              <w:t xml:space="preserve">Vías no pavimentadas (lastradas y de tierra)</w:t>
            </w:r>
          </w:p>
        </w:tc>
        <w:tc>
          <w:tcPr/>
          <w:p>
            <w:pPr>
              <w:pStyle w:val="TableText"/>
              <w:ind w:firstLine="0" w:left="0"/>
              <w:jc w:val="left"/>
            </w:pPr>
            <w:r>
              <w:rPr>
                <w:rFonts w:ascii="Times New Roman" w:hAnsi="Times New Roman" w:cs="Times New Roman" w:eastAsia="Times New Roman"/>
                <w:sz w:val="20"/>
                <w:szCs w:val="20"/>
              </w:rPr>
              <w:t xml:space="preserve">% de la red</w:t>
            </w:r>
          </w:p>
        </w:tc>
        <w:tc>
          <w:tcPr/>
          <w:p>
            <w:pPr>
              <w:pStyle w:val="TableText"/>
              <w:ind w:firstLine="0" w:left="0"/>
              <w:jc w:val="left"/>
            </w:pPr>
            <w:r>
              <w:rPr>
                <w:rFonts w:ascii="Times New Roman" w:hAnsi="Times New Roman" w:cs="Times New Roman" w:eastAsia="Times New Roman"/>
                <w:sz w:val="20"/>
                <w:szCs w:val="20"/>
              </w:rPr>
              <w:t xml:space="preserve">65,80 %</w:t>
            </w:r>
          </w:p>
        </w:tc>
      </w:tr>
      <w:tr>
        <w:tc>
          <w:tcPr/>
          <w:p>
            <w:pPr>
              <w:pStyle w:val="TableText"/>
              <w:ind w:firstLine="0" w:left="0"/>
              <w:jc w:val="left"/>
            </w:pPr>
            <w:r>
              <w:rPr>
                <w:rFonts w:ascii="Times New Roman" w:hAnsi="Times New Roman" w:cs="Times New Roman" w:eastAsia="Times New Roman"/>
                <w:sz w:val="20"/>
                <w:szCs w:val="20"/>
              </w:rPr>
              <w:t xml:space="preserve">Demográfico</w:t>
            </w:r>
          </w:p>
        </w:tc>
        <w:tc>
          <w:tcPr/>
          <w:p>
            <w:pPr>
              <w:pStyle w:val="TableText"/>
              <w:ind w:firstLine="0" w:left="0"/>
              <w:jc w:val="left"/>
            </w:pPr>
            <w:r>
              <w:rPr>
                <w:rFonts w:ascii="Times New Roman" w:hAnsi="Times New Roman" w:cs="Times New Roman" w:eastAsia="Times New Roman"/>
                <w:sz w:val="20"/>
                <w:szCs w:val="20"/>
              </w:rPr>
              <w:t xml:space="preserve">Población de la parroquia rural Torata</w:t>
            </w:r>
          </w:p>
        </w:tc>
        <w:tc>
          <w:tcPr/>
          <w:p>
            <w:pPr>
              <w:pStyle w:val="TableText"/>
              <w:ind w:firstLine="0" w:left="0"/>
              <w:jc w:val="left"/>
            </w:pPr>
            <w:r>
              <w:rPr>
                <w:rFonts w:ascii="Times New Roman" w:hAnsi="Times New Roman" w:cs="Times New Roman" w:eastAsia="Times New Roman"/>
                <w:sz w:val="20"/>
                <w:szCs w:val="20"/>
              </w:rPr>
              <w:t xml:space="preserve">Habitantes</w:t>
            </w:r>
          </w:p>
        </w:tc>
        <w:tc>
          <w:tcPr/>
          <w:p>
            <w:pPr>
              <w:pStyle w:val="TableText"/>
              <w:ind w:firstLine="0" w:left="0"/>
              <w:jc w:val="left"/>
            </w:pPr>
            <w:r>
              <w:rPr>
                <w:rFonts w:ascii="Times New Roman" w:hAnsi="Times New Roman" w:cs="Times New Roman" w:eastAsia="Times New Roman"/>
                <w:sz w:val="20"/>
                <w:szCs w:val="20"/>
              </w:rPr>
              <w:t xml:space="preserve">2.174 hab. (1.109 hombres y 1.065 mujeres)</w:t>
            </w:r>
          </w:p>
        </w:tc>
      </w:tr>
      <w:tr>
        <w:tc>
          <w:tcPr/>
          <w:p>
            <w:pPr>
              <w:pStyle w:val="TableText"/>
              <w:ind w:firstLine="0" w:left="0"/>
              <w:jc w:val="left"/>
            </w:pPr>
            <w:r>
              <w:rPr>
                <w:rFonts w:ascii="Times New Roman" w:hAnsi="Times New Roman" w:cs="Times New Roman" w:eastAsia="Times New Roman"/>
                <w:sz w:val="20"/>
                <w:szCs w:val="20"/>
              </w:rPr>
              <w:t xml:space="preserve">Demográfico</w:t>
            </w:r>
          </w:p>
        </w:tc>
        <w:tc>
          <w:tcPr/>
          <w:p>
            <w:pPr>
              <w:pStyle w:val="TableText"/>
              <w:ind w:firstLine="0" w:left="0"/>
              <w:jc w:val="left"/>
            </w:pPr>
            <w:r>
              <w:rPr>
                <w:rFonts w:ascii="Times New Roman" w:hAnsi="Times New Roman" w:cs="Times New Roman" w:eastAsia="Times New Roman"/>
                <w:sz w:val="20"/>
                <w:szCs w:val="20"/>
              </w:rPr>
              <w:t xml:space="preserve">Población directamente beneficiada en zona de cruce</w:t>
            </w:r>
          </w:p>
        </w:tc>
        <w:tc>
          <w:tcPr/>
          <w:p>
            <w:pPr>
              <w:pStyle w:val="TableText"/>
              <w:ind w:firstLine="0" w:left="0"/>
              <w:jc w:val="left"/>
            </w:pPr>
            <w:r>
              <w:rPr>
                <w:rFonts w:ascii="Times New Roman" w:hAnsi="Times New Roman" w:cs="Times New Roman" w:eastAsia="Times New Roman"/>
                <w:sz w:val="20"/>
                <w:szCs w:val="20"/>
              </w:rPr>
              <w:t xml:space="preserve">Habitantes</w:t>
            </w:r>
          </w:p>
        </w:tc>
        <w:tc>
          <w:tcPr/>
          <w:p>
            <w:pPr>
              <w:pStyle w:val="TableText"/>
              <w:ind w:firstLine="0" w:left="0"/>
              <w:jc w:val="left"/>
            </w:pPr>
            <w:r>
              <w:rPr>
                <w:rFonts w:ascii="Times New Roman" w:hAnsi="Times New Roman" w:cs="Times New Roman" w:eastAsia="Times New Roman"/>
                <w:sz w:val="20"/>
                <w:szCs w:val="20"/>
              </w:rPr>
              <w:t xml:space="preserve">1.280 hab.</w:t>
            </w:r>
          </w:p>
        </w:tc>
      </w:tr>
      <w:tr>
        <w:tc>
          <w:tcPr/>
          <w:p>
            <w:pPr>
              <w:pStyle w:val="TableText"/>
              <w:ind w:firstLine="0" w:left="0"/>
              <w:jc w:val="left"/>
            </w:pPr>
            <w:r>
              <w:rPr>
                <w:rFonts w:ascii="Times New Roman" w:hAnsi="Times New Roman" w:cs="Times New Roman" w:eastAsia="Times New Roman"/>
                <w:sz w:val="20"/>
                <w:szCs w:val="20"/>
              </w:rPr>
              <w:t xml:space="preserve">Institucional</w:t>
            </w:r>
          </w:p>
        </w:tc>
        <w:tc>
          <w:tcPr/>
          <w:p>
            <w:pPr>
              <w:pStyle w:val="TableText"/>
              <w:ind w:firstLine="0" w:left="0"/>
              <w:jc w:val="left"/>
            </w:pPr>
            <w:r>
              <w:rPr>
                <w:rFonts w:ascii="Times New Roman" w:hAnsi="Times New Roman" w:cs="Times New Roman" w:eastAsia="Times New Roman"/>
                <w:sz w:val="20"/>
                <w:szCs w:val="20"/>
              </w:rPr>
              <w:t xml:space="preserve">Presupuesto estimado proyecto puente</w:t>
            </w:r>
          </w:p>
        </w:tc>
        <w:tc>
          <w:tcPr/>
          <w:p>
            <w:pPr>
              <w:pStyle w:val="TableText"/>
              <w:ind w:firstLine="0" w:left="0"/>
              <w:jc w:val="left"/>
            </w:pPr>
            <w:r>
              <w:rPr>
                <w:rFonts w:ascii="Times New Roman" w:hAnsi="Times New Roman" w:cs="Times New Roman" w:eastAsia="Times New Roman"/>
                <w:sz w:val="20"/>
                <w:szCs w:val="20"/>
              </w:rPr>
              <w:t xml:space="preserve">USD</w:t>
            </w:r>
          </w:p>
        </w:tc>
        <w:tc>
          <w:tcPr/>
          <w:p>
            <w:pPr>
              <w:pStyle w:val="TableText"/>
              <w:ind w:firstLine="0" w:left="0"/>
              <w:jc w:val="left"/>
            </w:pPr>
            <w:r>
              <w:rPr>
                <w:rFonts w:ascii="Times New Roman" w:hAnsi="Times New Roman" w:cs="Times New Roman" w:eastAsia="Times New Roman"/>
                <w:sz w:val="20"/>
                <w:szCs w:val="20"/>
              </w:rPr>
              <w:t xml:space="preserve">$380.274,58 USD</w:t>
            </w:r>
          </w:p>
        </w:tc>
      </w:tr>
    </w:tbl>
    <w:p>
      <w:pPr>
        <w:pStyle w:val="TableNote"/>
        <w:ind w:firstLine="0" w:left="0"/>
        <w:jc w:val="both"/>
      </w:pPr>
      <w:r>
        <w:rPr>
          <w:rFonts w:ascii="Times New Roman" w:hAnsi="Times New Roman" w:cs="Times New Roman" w:eastAsia="Times New Roman"/>
          <w:i/>
          <w:iCs/>
          <w:sz w:val="20"/>
          <w:szCs w:val="20"/>
        </w:rPr>
        <w:t xml:space="preserve">Nota.</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Matriz Oficial de Indicadores de Levantamiento Territorial y PDOT Torata 2023-2027.</w:t>
      </w:r>
    </w:p>
    <w:bookmarkEnd w:id="138"/>
    <w:bookmarkStart w:id="140" w:name="X5407f0abe095c30605531f4b8118cb1f8f9d916"/>
    <w:p>
      <w:pPr>
        <w:pStyle w:val="Heading3"/>
      </w:pPr>
      <w:r>
        <w:rPr>
          <w:rFonts w:ascii="Times New Roman" w:hAnsi="Times New Roman" w:cs="Times New Roman" w:eastAsia="Times New Roman"/>
          <w:b/>
          <w:bCs/>
        </w:rPr>
        <w:t xml:space="preserve">9.2.4 Anexo Complementario 4: Matriz de caracterización y gestión de actores involucrados</w:t>
      </w:r>
    </w:p>
    <w:p>
      <w:pPr>
        <w:pStyle w:val="FirstParagraph"/>
      </w:pPr>
      <w:r>
        <w:rPr>
          <w:rFonts w:ascii="Times New Roman" w:hAnsi="Times New Roman" w:cs="Times New Roman" w:eastAsia="Times New Roman"/>
        </w:rPr>
        <w:t xml:space="preserve">La sostenibilidad y viabilidad institucional del proyecto se asegura mediante la articulación permanente de competencias, expectativas y funciones de cada grupo involucrado (</w:t>
      </w:r>
      <w:hyperlink w:anchor="tbl-actores-torata">
        <w:r>
          <w:rPr>
            <w:rStyle w:val="Hyperlink"/>
          </w:rPr>
          <w:t xml:space="preserve">Tabla 25</w:t>
        </w:r>
      </w:hyperlink>
      <w:r>
        <w:rPr>
          <w:rFonts w:ascii="Times New Roman" w:hAnsi="Times New Roman" w:cs="Times New Roman" w:eastAsia="Times New Roman"/>
        </w:rPr>
        <w:t xml:space="preserve">).</w:t>
      </w:r>
    </w:p>
    <w:p>
      <w:pPr>
        <w:pStyle w:val="TableNumber"/>
        <w:keepNext/>
        <w:ind w:firstLine="0" w:left="0"/>
        <w:jc w:val="left"/>
      </w:pPr>
      <w:r>
        <w:rPr>
          <w:rFonts w:ascii="Times New Roman" w:hAnsi="Times New Roman" w:cs="Times New Roman" w:eastAsia="Times New Roman"/>
          <w:b/>
          <w:bCs/>
          <w:sz w:val="20"/>
          <w:szCs w:val="20"/>
        </w:rPr>
        <w:t xml:space="preserve">Tabla 25</w:t>
      </w:r>
    </w:p>
    <w:p>
      <w:pPr>
        <w:pStyle w:val="TableCaption"/>
        <w:keepNext/>
        <w:ind w:firstLine="0" w:left="0"/>
        <w:jc w:val="left"/>
      </w:pPr>
      <w:r>
        <w:rPr>
          <w:rFonts w:ascii="Times New Roman" w:hAnsi="Times New Roman" w:cs="Times New Roman" w:eastAsia="Times New Roman"/>
          <w:i/>
          <w:iCs/>
          <w:sz w:val="20"/>
          <w:szCs w:val="20"/>
        </w:rPr>
        <w:t xml:space="preserve">Matriz de caracterización y gestión de actores involucrados</w:t>
      </w:r>
    </w:p>
    <w:p>
      <w:pPr>
        <w:sectPr>
          <w:pgSz w:w="12240" w:h="15840" w:orient="portrait"/>
          <w:pgMar w:top="1440" w:bottom="1440" w:left="1440" w:right="1440"/>
        </w:sectPr>
      </w:pPr>
    </w:p>
    <w:tbl>
      <w:tblPr>
        <w:tblStyle w:val="Table"/>
        <w:tblLayout w:type="fixed"/>
        <w:tblLook w:firstRow="1" w:lastRow="0" w:firstColumn="0" w:lastColumn="0" w:noHBand="0" w:noVBand="0" w:val="0020"/>
        <w:tblInd w:w="0" w:type="dxa"/>
        <w:tblW w:w="5000" w:type="pct"/>
        <w:tblBorders>
          <w:top w:val="single" w:sz="8" w:space="0" w:color="000000"/>
          <w:bottom w:val="single" w:sz="8" w:space="0" w:color="000000"/>
          <w:left w:val="none" w:sz="0" w:space="0" w:color="000000"/>
          <w:right w:val="none" w:sz="0" w:space="0" w:color="000000"/>
          <w:insideH w:val="none" w:sz="0" w:space="0" w:color="000000"/>
          <w:insideV w:val="none" w:sz="0" w:space="0" w:color="000000"/>
        </w:tblBorders>
      </w:tblPr>
      <w:tblGrid>
        <w:gridCol w:w="1267"/>
        <w:gridCol w:w="1267"/>
        <w:gridCol w:w="1267"/>
        <w:gridCol w:w="1267"/>
        <w:gridCol w:w="1584"/>
        <w:gridCol w:w="1267"/>
      </w:tblGrid>
      <w:tr>
        <w:trPr>
          <w:tblHeader w:val="on"/>
        </w:trPr>
        <w:tc>
          <w:tcPr>
            <w:tcBorders>
              <w:top w:val="single" w:sz="8" w:space="0" w:color="000000"/>
              <w:bottom w:val="single" w:sz="6" w:space="0" w:color="000000"/>
            </w:tcBorders>
          </w:tcPr>
          <w:p>
            <w:pPr>
              <w:pStyle w:val="TableHeader"/>
              <w:keepNext/>
              <w:ind w:firstLine="0" w:left="0"/>
              <w:jc w:val="left"/>
            </w:pPr>
            <w:r>
              <w:rPr>
                <w:rFonts w:ascii="Times New Roman" w:hAnsi="Times New Roman" w:cs="Times New Roman" w:eastAsia="Times New Roman"/>
                <w:sz w:val="20"/>
                <w:szCs w:val="20"/>
              </w:rPr>
              <w:t xml:space="preserve">Actor / Grupo</w:t>
            </w:r>
          </w:p>
        </w:tc>
        <w:tc>
          <w:tcPr>
            <w:tcBorders>
              <w:top w:val="single" w:sz="8" w:space="0" w:color="000000"/>
              <w:bottom w:val="single" w:sz="6" w:space="0" w:color="000000"/>
            </w:tcBorders>
          </w:tcPr>
          <w:p>
            <w:pPr>
              <w:pStyle w:val="TableHeader"/>
              <w:keepNext/>
              <w:ind w:firstLine="0" w:left="0"/>
              <w:jc w:val="left"/>
            </w:pPr>
            <w:r>
              <w:rPr>
                <w:rFonts w:ascii="Times New Roman" w:hAnsi="Times New Roman" w:cs="Times New Roman" w:eastAsia="Times New Roman"/>
                <w:sz w:val="20"/>
                <w:szCs w:val="20"/>
              </w:rPr>
              <w:t xml:space="preserve">Intereses y Expectativas</w:t>
            </w:r>
          </w:p>
        </w:tc>
        <w:tc>
          <w:tcPr>
            <w:tcBorders>
              <w:top w:val="single" w:sz="8" w:space="0" w:color="000000"/>
              <w:bottom w:val="single" w:sz="6" w:space="0" w:color="000000"/>
            </w:tcBorders>
          </w:tcPr>
          <w:p>
            <w:pPr>
              <w:pStyle w:val="TableHeader"/>
              <w:keepNext/>
              <w:ind w:firstLine="0" w:left="0"/>
              <w:jc w:val="left"/>
            </w:pPr>
            <w:r>
              <w:rPr>
                <w:rFonts w:ascii="Times New Roman" w:hAnsi="Times New Roman" w:cs="Times New Roman" w:eastAsia="Times New Roman"/>
                <w:sz w:val="20"/>
                <w:szCs w:val="20"/>
              </w:rPr>
              <w:t xml:space="preserve">Problemas Percibidos</w:t>
            </w:r>
          </w:p>
        </w:tc>
        <w:tc>
          <w:tcPr>
            <w:tcBorders>
              <w:top w:val="single" w:sz="8" w:space="0" w:color="000000"/>
              <w:bottom w:val="single" w:sz="6" w:space="0" w:color="000000"/>
            </w:tcBorders>
          </w:tcPr>
          <w:p>
            <w:pPr>
              <w:pStyle w:val="TableHeader"/>
              <w:keepNext/>
              <w:ind w:firstLine="0" w:left="0"/>
              <w:jc w:val="left"/>
            </w:pPr>
            <w:r>
              <w:rPr>
                <w:rFonts w:ascii="Times New Roman" w:hAnsi="Times New Roman" w:cs="Times New Roman" w:eastAsia="Times New Roman"/>
                <w:sz w:val="20"/>
                <w:szCs w:val="20"/>
              </w:rPr>
              <w:t xml:space="preserve">Recursos y Mandatos</w:t>
            </w:r>
          </w:p>
        </w:tc>
        <w:tc>
          <w:tcPr>
            <w:tcBorders>
              <w:top w:val="single" w:sz="8" w:space="0" w:color="000000"/>
              <w:bottom w:val="single" w:sz="6" w:space="0" w:color="000000"/>
            </w:tcBorders>
          </w:tcPr>
          <w:p>
            <w:pPr>
              <w:pStyle w:val="TableHeader"/>
              <w:keepNext/>
              <w:ind w:firstLine="0" w:left="0"/>
              <w:jc w:val="center"/>
            </w:pPr>
            <w:r>
              <w:rPr>
                <w:rFonts w:ascii="Times New Roman" w:hAnsi="Times New Roman" w:cs="Times New Roman" w:eastAsia="Times New Roman"/>
                <w:sz w:val="20"/>
                <w:szCs w:val="20"/>
              </w:rPr>
              <w:t xml:space="preserve">Posición</w:t>
            </w:r>
          </w:p>
        </w:tc>
        <w:tc>
          <w:tcPr>
            <w:tcBorders>
              <w:top w:val="single" w:sz="8" w:space="0" w:color="000000"/>
              <w:bottom w:val="single" w:sz="6" w:space="0" w:color="000000"/>
            </w:tcBorders>
          </w:tcPr>
          <w:p>
            <w:pPr>
              <w:pStyle w:val="TableHeader"/>
              <w:keepNext/>
              <w:ind w:firstLine="0" w:left="0"/>
              <w:jc w:val="left"/>
            </w:pPr>
            <w:r>
              <w:rPr>
                <w:rFonts w:ascii="Times New Roman" w:hAnsi="Times New Roman" w:cs="Times New Roman" w:eastAsia="Times New Roman"/>
                <w:sz w:val="20"/>
                <w:szCs w:val="20"/>
              </w:rPr>
              <w:t xml:space="preserve">Estrategia de Gestión</w:t>
            </w:r>
          </w:p>
        </w:tc>
      </w:tr>
      <w:tr>
        <w:tc>
          <w:tcPr/>
          <w:p>
            <w:pPr>
              <w:pStyle w:val="TableText"/>
              <w:ind w:firstLine="0" w:left="0"/>
              <w:jc w:val="left"/>
            </w:pPr>
            <w:r>
              <w:rPr>
                <w:rFonts w:ascii="Times New Roman" w:hAnsi="Times New Roman" w:cs="Times New Roman" w:eastAsia="Times New Roman"/>
                <w:sz w:val="20"/>
                <w:szCs w:val="20"/>
              </w:rPr>
              <w:t xml:space="preserve">Productores de El Guayabo y La Chilca</w:t>
            </w:r>
          </w:p>
        </w:tc>
        <w:tc>
          <w:tcPr/>
          <w:p>
            <w:pPr>
              <w:pStyle w:val="TableText"/>
              <w:ind w:firstLine="0" w:left="0"/>
              <w:jc w:val="left"/>
            </w:pPr>
            <w:r>
              <w:rPr>
                <w:rFonts w:ascii="Times New Roman" w:hAnsi="Times New Roman" w:cs="Times New Roman" w:eastAsia="Times New Roman"/>
                <w:sz w:val="20"/>
                <w:szCs w:val="20"/>
              </w:rPr>
              <w:t xml:space="preserve">Salida ininterrumpida de leche y cosechas; fletes justos; seguridad vial.</w:t>
            </w:r>
          </w:p>
        </w:tc>
        <w:tc>
          <w:tcPr/>
          <w:p>
            <w:pPr>
              <w:pStyle w:val="TableText"/>
              <w:ind w:firstLine="0" w:left="0"/>
              <w:jc w:val="left"/>
            </w:pPr>
            <w:r>
              <w:rPr>
                <w:rFonts w:ascii="Times New Roman" w:hAnsi="Times New Roman" w:cs="Times New Roman" w:eastAsia="Times New Roman"/>
                <w:sz w:val="20"/>
                <w:szCs w:val="20"/>
              </w:rPr>
              <w:t xml:space="preserve">Incomunicación estacional; pérdida de 3.500 l/día de leche; trasbordos a pie.</w:t>
            </w:r>
          </w:p>
        </w:tc>
        <w:tc>
          <w:tcPr/>
          <w:p>
            <w:pPr>
              <w:pStyle w:val="TableText"/>
              <w:ind w:firstLine="0" w:left="0"/>
              <w:jc w:val="left"/>
            </w:pPr>
            <w:r>
              <w:rPr>
                <w:rFonts w:ascii="Times New Roman" w:hAnsi="Times New Roman" w:cs="Times New Roman" w:eastAsia="Times New Roman"/>
                <w:sz w:val="20"/>
                <w:szCs w:val="20"/>
              </w:rPr>
              <w:t xml:space="preserve">Cesión voluntaria de fajas de terreno y faenas de mantenimiento.</w:t>
            </w:r>
          </w:p>
        </w:tc>
        <w:tc>
          <w:tcPr/>
          <w:p>
            <w:pPr>
              <w:pStyle w:val="TableText"/>
              <w:ind w:firstLine="0" w:left="0"/>
              <w:jc w:val="center"/>
            </w:pPr>
            <w:r>
              <w:rPr>
                <w:rFonts w:ascii="Times New Roman" w:hAnsi="Times New Roman" w:cs="Times New Roman" w:eastAsia="Times New Roman"/>
                <w:sz w:val="20"/>
                <w:szCs w:val="20"/>
              </w:rPr>
              <w:t xml:space="preserve">Apoyo Total</w:t>
            </w:r>
          </w:p>
        </w:tc>
        <w:tc>
          <w:tcPr/>
          <w:p>
            <w:pPr>
              <w:pStyle w:val="TableText"/>
              <w:ind w:firstLine="0" w:left="0"/>
              <w:jc w:val="left"/>
            </w:pPr>
            <w:r>
              <w:rPr>
                <w:rFonts w:ascii="Times New Roman" w:hAnsi="Times New Roman" w:cs="Times New Roman" w:eastAsia="Times New Roman"/>
                <w:sz w:val="20"/>
                <w:szCs w:val="20"/>
              </w:rPr>
              <w:t xml:space="preserve">Inclusión en comités de veeduría y jornadas de mantenimiento de accesos.</w:t>
            </w:r>
          </w:p>
        </w:tc>
      </w:tr>
      <w:tr>
        <w:tc>
          <w:tcPr/>
          <w:p>
            <w:pPr>
              <w:pStyle w:val="TableText"/>
              <w:ind w:firstLine="0" w:left="0"/>
              <w:jc w:val="left"/>
            </w:pPr>
            <w:r>
              <w:rPr>
                <w:rFonts w:ascii="Times New Roman" w:hAnsi="Times New Roman" w:cs="Times New Roman" w:eastAsia="Times New Roman"/>
                <w:sz w:val="20"/>
                <w:szCs w:val="20"/>
              </w:rPr>
              <w:t xml:space="preserve">GAD Provincial de El Oro</w:t>
            </w:r>
          </w:p>
        </w:tc>
        <w:tc>
          <w:tcPr/>
          <w:p>
            <w:pPr>
              <w:pStyle w:val="TableText"/>
              <w:ind w:firstLine="0" w:left="0"/>
              <w:jc w:val="left"/>
            </w:pPr>
            <w:r>
              <w:rPr>
                <w:rFonts w:ascii="Times New Roman" w:hAnsi="Times New Roman" w:cs="Times New Roman" w:eastAsia="Times New Roman"/>
                <w:sz w:val="20"/>
                <w:szCs w:val="20"/>
              </w:rPr>
              <w:t xml:space="preserve">Cerrar brechas viales rurales; cumplir competencias de vialidad provincial.</w:t>
            </w:r>
          </w:p>
        </w:tc>
        <w:tc>
          <w:tcPr/>
          <w:p>
            <w:pPr>
              <w:pStyle w:val="TableText"/>
              <w:ind w:firstLine="0" w:left="0"/>
              <w:jc w:val="left"/>
            </w:pPr>
            <w:r>
              <w:rPr>
                <w:rFonts w:ascii="Times New Roman" w:hAnsi="Times New Roman" w:cs="Times New Roman" w:eastAsia="Times New Roman"/>
                <w:sz w:val="20"/>
                <w:szCs w:val="20"/>
              </w:rPr>
              <w:t xml:space="preserve">Recursos financieros dispersos; alta demanda vial en cantones ribereños.</w:t>
            </w:r>
          </w:p>
        </w:tc>
        <w:tc>
          <w:tcPr/>
          <w:p>
            <w:pPr>
              <w:pStyle w:val="TableText"/>
              <w:ind w:firstLine="0" w:left="0"/>
              <w:jc w:val="left"/>
            </w:pPr>
            <w:r>
              <w:rPr>
                <w:rFonts w:ascii="Times New Roman" w:hAnsi="Times New Roman" w:cs="Times New Roman" w:eastAsia="Times New Roman"/>
                <w:sz w:val="20"/>
                <w:szCs w:val="20"/>
              </w:rPr>
              <w:t xml:space="preserve">Competencia exclusiva (Art. 263 CRE); maquinaria y paneles Bailey.</w:t>
            </w:r>
          </w:p>
        </w:tc>
        <w:tc>
          <w:tcPr/>
          <w:p>
            <w:pPr>
              <w:pStyle w:val="TableText"/>
              <w:ind w:firstLine="0" w:left="0"/>
              <w:jc w:val="center"/>
            </w:pPr>
            <w:r>
              <w:rPr>
                <w:rFonts w:ascii="Times New Roman" w:hAnsi="Times New Roman" w:cs="Times New Roman" w:eastAsia="Times New Roman"/>
                <w:sz w:val="20"/>
                <w:szCs w:val="20"/>
              </w:rPr>
              <w:t xml:space="preserve">Liderazgo</w:t>
            </w:r>
          </w:p>
        </w:tc>
        <w:tc>
          <w:tcPr/>
          <w:p>
            <w:pPr>
              <w:pStyle w:val="TableText"/>
              <w:ind w:firstLine="0" w:left="0"/>
              <w:jc w:val="left"/>
            </w:pPr>
            <w:r>
              <w:rPr>
                <w:rFonts w:ascii="Times New Roman" w:hAnsi="Times New Roman" w:cs="Times New Roman" w:eastAsia="Times New Roman"/>
                <w:sz w:val="20"/>
                <w:szCs w:val="20"/>
              </w:rPr>
              <w:t xml:space="preserve">Dirección de fiscalización, entrega de paneles y supervisión del montaje.</w:t>
            </w:r>
          </w:p>
        </w:tc>
      </w:tr>
      <w:tr>
        <w:tc>
          <w:tcPr/>
          <w:p>
            <w:pPr>
              <w:pStyle w:val="TableText"/>
              <w:ind w:firstLine="0" w:left="0"/>
              <w:jc w:val="left"/>
            </w:pPr>
            <w:r>
              <w:rPr>
                <w:rFonts w:ascii="Times New Roman" w:hAnsi="Times New Roman" w:cs="Times New Roman" w:eastAsia="Times New Roman"/>
                <w:sz w:val="20"/>
                <w:szCs w:val="20"/>
              </w:rPr>
              <w:t xml:space="preserve">GAD Municipal de Santa Rosa</w:t>
            </w:r>
          </w:p>
        </w:tc>
        <w:tc>
          <w:tcPr/>
          <w:p>
            <w:pPr>
              <w:pStyle w:val="TableText"/>
              <w:ind w:firstLine="0" w:left="0"/>
              <w:jc w:val="left"/>
            </w:pPr>
            <w:r>
              <w:rPr>
                <w:rFonts w:ascii="Times New Roman" w:hAnsi="Times New Roman" w:cs="Times New Roman" w:eastAsia="Times New Roman"/>
                <w:sz w:val="20"/>
                <w:szCs w:val="20"/>
              </w:rPr>
              <w:t xml:space="preserve">Impulsar el desarrollo productivo y la articulación cantonal con Torata.</w:t>
            </w:r>
          </w:p>
        </w:tc>
        <w:tc>
          <w:tcPr/>
          <w:p>
            <w:pPr>
              <w:pStyle w:val="TableText"/>
              <w:ind w:firstLine="0" w:left="0"/>
              <w:jc w:val="left"/>
            </w:pPr>
            <w:r>
              <w:rPr>
                <w:rFonts w:ascii="Times New Roman" w:hAnsi="Times New Roman" w:cs="Times New Roman" w:eastAsia="Times New Roman"/>
                <w:sz w:val="20"/>
                <w:szCs w:val="20"/>
              </w:rPr>
              <w:t xml:space="preserve">Deterioro vial que afecta el abastecimiento de los mercados urbanos.</w:t>
            </w:r>
          </w:p>
        </w:tc>
        <w:tc>
          <w:tcPr/>
          <w:p>
            <w:pPr>
              <w:pStyle w:val="TableText"/>
              <w:ind w:firstLine="0" w:left="0"/>
              <w:jc w:val="left"/>
            </w:pPr>
            <w:r>
              <w:rPr>
                <w:rFonts w:ascii="Times New Roman" w:hAnsi="Times New Roman" w:cs="Times New Roman" w:eastAsia="Times New Roman"/>
                <w:sz w:val="20"/>
                <w:szCs w:val="20"/>
              </w:rPr>
              <w:t xml:space="preserve">Convenio de concurrencia (Art. 55 COOTAD); equipo caminero.</w:t>
            </w:r>
          </w:p>
        </w:tc>
        <w:tc>
          <w:tcPr/>
          <w:p>
            <w:pPr>
              <w:pStyle w:val="TableText"/>
              <w:ind w:firstLine="0" w:left="0"/>
              <w:jc w:val="center"/>
            </w:pPr>
            <w:r>
              <w:rPr>
                <w:rFonts w:ascii="Times New Roman" w:hAnsi="Times New Roman" w:cs="Times New Roman" w:eastAsia="Times New Roman"/>
                <w:sz w:val="20"/>
                <w:szCs w:val="20"/>
              </w:rPr>
              <w:t xml:space="preserve">Cooperante</w:t>
            </w:r>
          </w:p>
        </w:tc>
        <w:tc>
          <w:tcPr/>
          <w:p>
            <w:pPr>
              <w:pStyle w:val="TableText"/>
              <w:ind w:firstLine="0" w:left="0"/>
              <w:jc w:val="left"/>
            </w:pPr>
            <w:r>
              <w:rPr>
                <w:rFonts w:ascii="Times New Roman" w:hAnsi="Times New Roman" w:cs="Times New Roman" w:eastAsia="Times New Roman"/>
                <w:sz w:val="20"/>
                <w:szCs w:val="20"/>
              </w:rPr>
              <w:t xml:space="preserve">Financiamiento de estudios de mecánica de suelos y maquinaria de terraplén.</w:t>
            </w:r>
          </w:p>
        </w:tc>
      </w:tr>
      <w:tr>
        <w:tc>
          <w:tcPr/>
          <w:p>
            <w:pPr>
              <w:pStyle w:val="TableText"/>
              <w:ind w:firstLine="0" w:left="0"/>
              <w:jc w:val="left"/>
            </w:pPr>
            <w:r>
              <w:rPr>
                <w:rFonts w:ascii="Times New Roman" w:hAnsi="Times New Roman" w:cs="Times New Roman" w:eastAsia="Times New Roman"/>
                <w:sz w:val="20"/>
                <w:szCs w:val="20"/>
              </w:rPr>
              <w:t xml:space="preserve">GADPR Torata</w:t>
            </w:r>
          </w:p>
        </w:tc>
        <w:tc>
          <w:tcPr/>
          <w:p>
            <w:pPr>
              <w:pStyle w:val="TableText"/>
              <w:ind w:firstLine="0" w:left="0"/>
              <w:jc w:val="left"/>
            </w:pPr>
            <w:r>
              <w:rPr>
                <w:rFonts w:ascii="Times New Roman" w:hAnsi="Times New Roman" w:cs="Times New Roman" w:eastAsia="Times New Roman"/>
                <w:sz w:val="20"/>
                <w:szCs w:val="20"/>
              </w:rPr>
              <w:t xml:space="preserve">Garantizar la seguridad y bienestar de las comunidades parroquiales.</w:t>
            </w:r>
          </w:p>
        </w:tc>
        <w:tc>
          <w:tcPr/>
          <w:p>
            <w:pPr>
              <w:pStyle w:val="TableText"/>
              <w:ind w:firstLine="0" w:left="0"/>
              <w:jc w:val="left"/>
            </w:pPr>
            <w:r>
              <w:rPr>
                <w:rFonts w:ascii="Times New Roman" w:hAnsi="Times New Roman" w:cs="Times New Roman" w:eastAsia="Times New Roman"/>
                <w:sz w:val="20"/>
                <w:szCs w:val="20"/>
              </w:rPr>
              <w:t xml:space="preserve">Presupuesto de transferencias insuficiente para puentes vehiculares mayores.</w:t>
            </w:r>
          </w:p>
        </w:tc>
        <w:tc>
          <w:tcPr/>
          <w:p>
            <w:pPr>
              <w:pStyle w:val="TableText"/>
              <w:ind w:firstLine="0" w:left="0"/>
              <w:jc w:val="left"/>
            </w:pPr>
            <w:r>
              <w:rPr>
                <w:rFonts w:ascii="Times New Roman" w:hAnsi="Times New Roman" w:cs="Times New Roman" w:eastAsia="Times New Roman"/>
                <w:sz w:val="20"/>
                <w:szCs w:val="20"/>
              </w:rPr>
              <w:t xml:space="preserve">Articulación territorial (Art. 65 COOTAD); personal técnico local.</w:t>
            </w:r>
          </w:p>
        </w:tc>
        <w:tc>
          <w:tcPr/>
          <w:p>
            <w:pPr>
              <w:pStyle w:val="TableText"/>
              <w:ind w:firstLine="0" w:left="0"/>
              <w:jc w:val="center"/>
            </w:pPr>
            <w:r>
              <w:rPr>
                <w:rFonts w:ascii="Times New Roman" w:hAnsi="Times New Roman" w:cs="Times New Roman" w:eastAsia="Times New Roman"/>
                <w:sz w:val="20"/>
                <w:szCs w:val="20"/>
              </w:rPr>
              <w:t xml:space="preserve">Coordinador</w:t>
            </w:r>
          </w:p>
        </w:tc>
        <w:tc>
          <w:tcPr/>
          <w:p>
            <w:pPr>
              <w:pStyle w:val="TableText"/>
              <w:ind w:firstLine="0" w:left="0"/>
              <w:jc w:val="left"/>
            </w:pPr>
            <w:r>
              <w:rPr>
                <w:rFonts w:ascii="Times New Roman" w:hAnsi="Times New Roman" w:cs="Times New Roman" w:eastAsia="Times New Roman"/>
                <w:sz w:val="20"/>
                <w:szCs w:val="20"/>
              </w:rPr>
              <w:t xml:space="preserve">Seguimiento diario en obra, enlace vecinal y contraparte de fiscalización.</w:t>
            </w:r>
          </w:p>
        </w:tc>
      </w:tr>
      <w:tr>
        <w:tc>
          <w:tcPr/>
          <w:p>
            <w:pPr>
              <w:pStyle w:val="TableText"/>
              <w:ind w:firstLine="0" w:left="0"/>
              <w:jc w:val="left"/>
            </w:pPr>
            <w:r>
              <w:rPr>
                <w:rFonts w:ascii="Times New Roman" w:hAnsi="Times New Roman" w:cs="Times New Roman" w:eastAsia="Times New Roman"/>
                <w:sz w:val="20"/>
                <w:szCs w:val="20"/>
              </w:rPr>
              <w:t xml:space="preserve">Transportistas de Carga Rural</w:t>
            </w:r>
          </w:p>
        </w:tc>
        <w:tc>
          <w:tcPr/>
          <w:p>
            <w:pPr>
              <w:pStyle w:val="TableText"/>
              <w:ind w:firstLine="0" w:left="0"/>
              <w:jc w:val="left"/>
            </w:pPr>
            <w:r>
              <w:rPr>
                <w:rFonts w:ascii="Times New Roman" w:hAnsi="Times New Roman" w:cs="Times New Roman" w:eastAsia="Times New Roman"/>
                <w:sz w:val="20"/>
                <w:szCs w:val="20"/>
              </w:rPr>
              <w:t xml:space="preserve">Rutas transitables todo el año sin roturas de muelles o atascamientos.</w:t>
            </w:r>
          </w:p>
        </w:tc>
        <w:tc>
          <w:tcPr/>
          <w:p>
            <w:pPr>
              <w:pStyle w:val="TableText"/>
              <w:ind w:firstLine="0" w:left="0"/>
              <w:jc w:val="left"/>
            </w:pPr>
            <w:r>
              <w:rPr>
                <w:rFonts w:ascii="Times New Roman" w:hAnsi="Times New Roman" w:cs="Times New Roman" w:eastAsia="Times New Roman"/>
                <w:sz w:val="20"/>
                <w:szCs w:val="20"/>
              </w:rPr>
              <w:t xml:space="preserve">Imposibilidad de cruce fluvial directo; demoras de hasta 45 minutos por paso.</w:t>
            </w:r>
          </w:p>
        </w:tc>
        <w:tc>
          <w:tcPr/>
          <w:p>
            <w:pPr>
              <w:pStyle w:val="TableText"/>
              <w:ind w:firstLine="0" w:left="0"/>
              <w:jc w:val="left"/>
            </w:pPr>
            <w:r>
              <w:rPr>
                <w:rFonts w:ascii="Times New Roman" w:hAnsi="Times New Roman" w:cs="Times New Roman" w:eastAsia="Times New Roman"/>
                <w:sz w:val="20"/>
                <w:szCs w:val="20"/>
              </w:rPr>
              <w:t xml:space="preserve">Flota de camionetas y camiones lecheros en cooperativas cantonales.</w:t>
            </w:r>
          </w:p>
        </w:tc>
        <w:tc>
          <w:tcPr/>
          <w:p>
            <w:pPr>
              <w:pStyle w:val="TableText"/>
              <w:ind w:firstLine="0" w:left="0"/>
              <w:jc w:val="center"/>
            </w:pPr>
            <w:r>
              <w:rPr>
                <w:rFonts w:ascii="Times New Roman" w:hAnsi="Times New Roman" w:cs="Times New Roman" w:eastAsia="Times New Roman"/>
                <w:sz w:val="20"/>
                <w:szCs w:val="20"/>
              </w:rPr>
              <w:t xml:space="preserve">Beneficiario</w:t>
            </w:r>
          </w:p>
        </w:tc>
        <w:tc>
          <w:tcPr/>
          <w:p>
            <w:pPr>
              <w:pStyle w:val="TableText"/>
              <w:ind w:firstLine="0" w:left="0"/>
              <w:jc w:val="left"/>
            </w:pPr>
            <w:r>
              <w:rPr>
                <w:rFonts w:ascii="Times New Roman" w:hAnsi="Times New Roman" w:cs="Times New Roman" w:eastAsia="Times New Roman"/>
                <w:sz w:val="20"/>
                <w:szCs w:val="20"/>
              </w:rPr>
              <w:t xml:space="preserve">Socialización de pesos y dimensiones máximas (AASHTO HS-20).</w:t>
            </w:r>
          </w:p>
        </w:tc>
      </w:tr>
    </w:tbl>
    <w:p>
      <w:pPr>
        <w:pStyle w:val="TableNote"/>
        <w:ind w:firstLine="0" w:left="0"/>
        <w:jc w:val="both"/>
      </w:pPr>
      <w:r>
        <w:rPr>
          <w:rFonts w:ascii="Times New Roman" w:hAnsi="Times New Roman" w:cs="Times New Roman" w:eastAsia="Times New Roman"/>
          <w:i/>
          <w:iCs/>
          <w:sz w:val="20"/>
          <w:szCs w:val="20"/>
        </w:rPr>
        <w:t xml:space="preserve">Nota.</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Elaboración técnica a partir de actas de coordinación territorial y talleres de campo.</w:t>
      </w:r>
    </w:p>
    <w:p>
      <w:pPr>
        <w:sectPr>
          <w:pgSz w:w="15840" w:h="12240" w:orient="landscape"/>
          <w:pgMar w:top="1440" w:bottom="1440" w:left="1440" w:right="1440"/>
        </w:sectPr>
      </w:pPr>
    </w:p>
    <w:p>
      <w:pPr>
        <w:pStyle w:val="Compact"/>
        <w:numPr>
          <w:ilvl w:val="0"/>
          <w:numId w:val="1023"/>
        </w:numPr>
      </w:pPr>
      <w:r>
        <w:rPr>
          <w:rFonts w:ascii="Times New Roman" w:hAnsi="Times New Roman" w:cs="Times New Roman" w:eastAsia="Times New Roman"/>
          <w:b/>
          <w:bCs/>
        </w:rPr>
        <w:t xml:space="preserve">Certificación de Viabilidad Técnica:</w:t>
      </w:r>
      <w:r>
        <w:rPr>
          <w:rFonts w:ascii="Times New Roman" w:hAnsi="Times New Roman" w:cs="Times New Roman" w:eastAsia="Times New Roman"/>
        </w:rPr>
        <w:t xml:space="preserve"> </w:t>
      </w:r>
      <w:r>
        <w:rPr>
          <w:rFonts w:ascii="Times New Roman" w:hAnsi="Times New Roman" w:cs="Times New Roman" w:eastAsia="Times New Roman"/>
        </w:rPr>
        <w:t xml:space="preserve">Informe técnico de factibilidad emitido por la Dirección de Estudios, Proyectos y Cooperación de la Prefectura de El Oro, validando el diseño estructural en acero ASTM A-588 (Norma AASHTO HS-20) y los estudios de mecánica de suelos.</w:t>
      </w:r>
    </w:p>
    <w:p>
      <w:pPr>
        <w:pStyle w:val="Compact"/>
        <w:numPr>
          <w:ilvl w:val="0"/>
          <w:numId w:val="1023"/>
        </w:numPr>
      </w:pPr>
      <w:r>
        <w:rPr>
          <w:rFonts w:ascii="Times New Roman" w:hAnsi="Times New Roman" w:cs="Times New Roman" w:eastAsia="Times New Roman"/>
          <w:b/>
          <w:bCs/>
        </w:rPr>
        <w:t xml:space="preserve">Disponibilidad Presupuestaria y Asignación Concurrente:</w:t>
      </w:r>
      <w:r>
        <w:rPr>
          <w:rFonts w:ascii="Times New Roman" w:hAnsi="Times New Roman" w:cs="Times New Roman" w:eastAsia="Times New Roman"/>
        </w:rPr>
        <w:t xml:space="preserve"> </w:t>
      </w:r>
      <w:r>
        <w:rPr>
          <w:rFonts w:ascii="Times New Roman" w:hAnsi="Times New Roman" w:cs="Times New Roman" w:eastAsia="Times New Roman"/>
        </w:rPr>
        <w:t xml:space="preserve">Certificaciones de partida presupuestaria plurianual emitidas por las direcciones financieras del GAD Provincial de El Oro ($310.274,58 USD), GAD Municipal de Santa Rosa ($45.000,00 USD) y GADPR Torata ($25.000,00 USD).</w:t>
      </w:r>
    </w:p>
    <w:p>
      <w:pPr>
        <w:pStyle w:val="Compact"/>
        <w:numPr>
          <w:ilvl w:val="0"/>
          <w:numId w:val="1023"/>
        </w:numPr>
      </w:pPr>
      <w:r>
        <w:rPr>
          <w:rFonts w:ascii="Times New Roman" w:hAnsi="Times New Roman" w:cs="Times New Roman" w:eastAsia="Times New Roman"/>
          <w:b/>
          <w:bCs/>
        </w:rPr>
        <w:t xml:space="preserve">Convenio Tripartito de Concurrencia de Competencias:</w:t>
      </w:r>
      <w:r>
        <w:rPr>
          <w:rFonts w:ascii="Times New Roman" w:hAnsi="Times New Roman" w:cs="Times New Roman" w:eastAsia="Times New Roman"/>
        </w:rPr>
        <w:t xml:space="preserve"> </w:t>
      </w:r>
      <w:r>
        <w:rPr>
          <w:rFonts w:ascii="Times New Roman" w:hAnsi="Times New Roman" w:cs="Times New Roman" w:eastAsia="Times New Roman"/>
        </w:rPr>
        <w:t xml:space="preserve">Instrumento jurídico interinstitucional formalizado bajo los Arts. 55 y 65 del COOTAD para la coejecución y fiscalización de la obra vial.</w:t>
      </w:r>
    </w:p>
    <w:p>
      <w:pPr>
        <w:pStyle w:val="Compact"/>
        <w:numPr>
          <w:ilvl w:val="0"/>
          <w:numId w:val="1023"/>
        </w:numPr>
      </w:pPr>
      <w:r>
        <w:rPr>
          <w:rFonts w:ascii="Times New Roman" w:hAnsi="Times New Roman" w:cs="Times New Roman" w:eastAsia="Times New Roman"/>
          <w:b/>
          <w:bCs/>
        </w:rPr>
        <w:t xml:space="preserve">Registros de Campo y Fuentes Oficiales:</w:t>
      </w:r>
    </w:p>
    <w:p>
      <w:pPr>
        <w:pStyle w:val="Compact"/>
        <w:numPr>
          <w:ilvl w:val="1"/>
          <w:numId w:val="1024"/>
        </w:numPr>
      </w:pPr>
      <w:r>
        <w:rPr>
          <w:rFonts w:ascii="Times New Roman" w:hAnsi="Times New Roman" w:cs="Times New Roman" w:eastAsia="Times New Roman"/>
        </w:rPr>
        <w:t xml:space="preserve">Entrevista Técnica con el Presidente del GAD Parroquial Rural de Torata (Audio:</w:t>
      </w:r>
      <w:r>
        <w:rPr>
          <w:rFonts w:ascii="Times New Roman" w:hAnsi="Times New Roman" w:cs="Times New Roman" w:eastAsia="Times New Roman"/>
        </w:rPr>
        <w:t xml:space="preserve"> </w:t>
      </w:r>
      <w:r>
        <w:rPr>
          <w:rFonts w:ascii="Times New Roman" w:hAnsi="Times New Roman" w:cs="Times New Roman" w:eastAsia="Times New Roman"/>
          <w:rStyle w:val="VerbatimChar"/>
        </w:rPr>
        <w:t xml:space="preserve">evidencia/vie 11.00 enteevista_torata.m4a</w:t>
      </w:r>
      <w:r>
        <w:rPr>
          <w:rFonts w:ascii="Times New Roman" w:hAnsi="Times New Roman" w:cs="Times New Roman" w:eastAsia="Times New Roman"/>
        </w:rPr>
        <w:t xml:space="preserve">; Transcripción:</w:t>
      </w:r>
      <w:r>
        <w:rPr>
          <w:rFonts w:ascii="Times New Roman" w:hAnsi="Times New Roman" w:cs="Times New Roman" w:eastAsia="Times New Roman"/>
        </w:rPr>
        <w:t xml:space="preserve"> </w:t>
      </w:r>
      <w:r>
        <w:rPr>
          <w:rFonts w:ascii="Times New Roman" w:hAnsi="Times New Roman" w:cs="Times New Roman" w:eastAsia="Times New Roman"/>
          <w:rStyle w:val="VerbatimChar"/>
        </w:rPr>
        <w:t xml:space="preserve">evidencia/vie 11.00 enteevista_torata.md</w:t>
      </w:r>
      <w:r>
        <w:rPr>
          <w:rFonts w:ascii="Times New Roman" w:hAnsi="Times New Roman" w:cs="Times New Roman" w:eastAsia="Times New Roman"/>
        </w:rPr>
        <w:t xml:space="preserve">).</w:t>
      </w:r>
    </w:p>
    <w:p>
      <w:pPr>
        <w:pStyle w:val="Compact"/>
        <w:numPr>
          <w:ilvl w:val="1"/>
          <w:numId w:val="1024"/>
        </w:numPr>
      </w:pPr>
      <w:r>
        <w:rPr>
          <w:rFonts w:ascii="Times New Roman" w:hAnsi="Times New Roman" w:cs="Times New Roman" w:eastAsia="Times New Roman"/>
        </w:rPr>
        <w:t xml:space="preserve">Enlaces institucionales: GADPR Torata (https://torata.gob.ec), Municipio de Santa Rosa (https://santarosa.gob.ec), Prefectura de El Oro (https://eloro.gob.ec), INEC (https://www.censoecuador.gob.ec).</w:t>
      </w:r>
    </w:p>
    <w:bookmarkEnd w:id="140"/>
    <w:bookmarkEnd w:id="141"/>
    <w:bookmarkEnd w:id="142"/>
    <w:bookmarkStart w:id="158" w:name="referencias-bibliográficas"/>
    <w:p>
      <w:pPr>
        <w:pStyle w:val="Heading1"/>
      </w:pPr>
      <w:r>
        <w:rPr>
          <w:rFonts w:ascii="Times New Roman" w:hAnsi="Times New Roman" w:cs="Times New Roman" w:eastAsia="Times New Roman"/>
          <w:b/>
          <w:bCs/>
        </w:rPr>
        <w:t xml:space="preserve">10. Referencias Bibliográficas</w:t>
      </w:r>
    </w:p>
    <w:bookmarkStart w:id="157" w:name="refs"/>
    <w:bookmarkStart w:id="144" w:name="ref-cootad2010"/>
    <w:p>
      <w:pPr>
        <w:pStyle w:val="Bibliography"/>
      </w:pPr>
      <w:r>
        <w:rPr>
          <w:rFonts w:ascii="Times New Roman" w:hAnsi="Times New Roman" w:cs="Times New Roman" w:eastAsia="Times New Roman"/>
        </w:rPr>
        <w:t xml:space="preserve">Asamblea Nacional del Ecuador. (2010a).</w:t>
      </w:r>
      <w:r>
        <w:rPr>
          <w:rFonts w:ascii="Times New Roman" w:hAnsi="Times New Roman" w:cs="Times New Roman" w:eastAsia="Times New Roman"/>
        </w:rPr>
        <w:t xml:space="preserve"> </w:t>
      </w:r>
      <w:r>
        <w:rPr>
          <w:rFonts w:ascii="Times New Roman" w:hAnsi="Times New Roman" w:cs="Times New Roman" w:eastAsia="Times New Roman"/>
          <w:i/>
          <w:iCs/>
        </w:rPr>
        <w:t xml:space="preserve">Código Orgánico de Organización Territorial, Autonomía y Descentralización (COOTAD)</w:t>
      </w:r>
      <w:r>
        <w:rPr>
          <w:rFonts w:ascii="Times New Roman" w:hAnsi="Times New Roman" w:cs="Times New Roman" w:eastAsia="Times New Roman"/>
        </w:rPr>
        <w:t xml:space="preserve">. Asamblea Nacional del Ecuador.</w:t>
      </w:r>
      <w:r>
        <w:rPr>
          <w:rFonts w:ascii="Times New Roman" w:hAnsi="Times New Roman" w:cs="Times New Roman" w:eastAsia="Times New Roman"/>
        </w:rPr>
        <w:t xml:space="preserve"> </w:t>
      </w:r>
      <w:hyperlink r:id="rId143">
        <w:r>
          <w:rPr>
            <w:rStyle w:val="Hyperlink"/>
          </w:rPr>
          <w:t xml:space="preserve">https://www.gob.ec/sites/default/files/regulations/2020-04/CODIGO%20ORGANICO%20DE%20ORGANIZACION%20TERRITORIAL%20COOTAD.pdf</w:t>
        </w:r>
      </w:hyperlink>
    </w:p>
    <w:bookmarkEnd w:id="144"/>
    <w:bookmarkStart w:id="146" w:name="ref-coopfip2010"/>
    <w:p>
      <w:pPr>
        <w:pStyle w:val="Bibliography"/>
      </w:pPr>
      <w:r>
        <w:rPr>
          <w:rFonts w:ascii="Times New Roman" w:hAnsi="Times New Roman" w:cs="Times New Roman" w:eastAsia="Times New Roman"/>
        </w:rPr>
        <w:t xml:space="preserve">Asamblea Nacional del Ecuador. (2010b).</w:t>
      </w:r>
      <w:r>
        <w:rPr>
          <w:rFonts w:ascii="Times New Roman" w:hAnsi="Times New Roman" w:cs="Times New Roman" w:eastAsia="Times New Roman"/>
        </w:rPr>
        <w:t xml:space="preserve"> </w:t>
      </w:r>
      <w:r>
        <w:rPr>
          <w:rFonts w:ascii="Times New Roman" w:hAnsi="Times New Roman" w:cs="Times New Roman" w:eastAsia="Times New Roman"/>
          <w:i/>
          <w:iCs/>
        </w:rPr>
        <w:t xml:space="preserve">Código Orgánico de Planificación y Finanzas Públicas (COOPFIP)</w:t>
      </w:r>
      <w:r>
        <w:rPr>
          <w:rFonts w:ascii="Times New Roman" w:hAnsi="Times New Roman" w:cs="Times New Roman" w:eastAsia="Times New Roman"/>
        </w:rPr>
        <w:t xml:space="preserve">. Asamblea Nacional del Ecuador.</w:t>
      </w:r>
      <w:r>
        <w:rPr>
          <w:rFonts w:ascii="Times New Roman" w:hAnsi="Times New Roman" w:cs="Times New Roman" w:eastAsia="Times New Roman"/>
        </w:rPr>
        <w:t xml:space="preserve"> </w:t>
      </w:r>
      <w:hyperlink r:id="rId145">
        <w:r>
          <w:rPr>
            <w:rStyle w:val="Hyperlink"/>
          </w:rPr>
          <w:t xml:space="preserve">https://www.finanzas.gob.ec/wp-content/uploads/downloads/2020/08/CODIGO_PLANIFICACION_FINANZAS_PUBLICAS.pdf</w:t>
        </w:r>
      </w:hyperlink>
    </w:p>
    <w:bookmarkEnd w:id="146"/>
    <w:bookmarkStart w:id="148" w:name="ref-pdot_santarosa_2024"/>
    <w:p>
      <w:pPr>
        <w:pStyle w:val="Bibliography"/>
      </w:pPr>
      <w:r>
        <w:rPr>
          <w:rFonts w:ascii="Times New Roman" w:hAnsi="Times New Roman" w:cs="Times New Roman" w:eastAsia="Times New Roman"/>
        </w:rPr>
        <w:t xml:space="preserve">GAD Municipal del Cantón Santa Rosa. (2024).</w:t>
      </w:r>
      <w:r>
        <w:rPr>
          <w:rFonts w:ascii="Times New Roman" w:hAnsi="Times New Roman" w:cs="Times New Roman" w:eastAsia="Times New Roman"/>
        </w:rPr>
        <w:t xml:space="preserve"> </w:t>
      </w:r>
      <w:r>
        <w:rPr>
          <w:rFonts w:ascii="Times New Roman" w:hAnsi="Times New Roman" w:cs="Times New Roman" w:eastAsia="Times New Roman"/>
          <w:i/>
          <w:iCs/>
        </w:rPr>
        <w:t xml:space="preserve">Plan de Desarrollo y Ordenamiento Territorial del Cantón Santa Rosa 2023-2027</w:t>
      </w:r>
      <w:r>
        <w:rPr>
          <w:rFonts w:ascii="Times New Roman" w:hAnsi="Times New Roman" w:cs="Times New Roman" w:eastAsia="Times New Roman"/>
        </w:rPr>
        <w:t xml:space="preserve"> </w:t>
      </w:r>
      <w:r>
        <w:rPr>
          <w:rFonts w:ascii="Times New Roman" w:hAnsi="Times New Roman" w:cs="Times New Roman" w:eastAsia="Times New Roman"/>
        </w:rPr>
        <w:t xml:space="preserve">[Documento Técnico Oficial de Planificación Cantonal]. Gobierno Autónomo Descentralizado Municipal del Cantón Santa Rosa.</w:t>
      </w:r>
      <w:r>
        <w:rPr>
          <w:rFonts w:ascii="Times New Roman" w:hAnsi="Times New Roman" w:cs="Times New Roman" w:eastAsia="Times New Roman"/>
        </w:rPr>
        <w:t xml:space="preserve"> </w:t>
      </w:r>
      <w:hyperlink r:id="rId147">
        <w:r>
          <w:rPr>
            <w:rStyle w:val="Hyperlink"/>
          </w:rPr>
          <w:t xml:space="preserve">https://santarosa.gob.ec/pdot-santa-rosa-2023-2027/</w:t>
        </w:r>
      </w:hyperlink>
    </w:p>
    <w:bookmarkEnd w:id="148"/>
    <w:bookmarkStart w:id="150" w:name="ref-pdot_torata_2024"/>
    <w:p>
      <w:pPr>
        <w:pStyle w:val="Bibliography"/>
      </w:pPr>
      <w:r>
        <w:rPr>
          <w:rFonts w:ascii="Times New Roman" w:hAnsi="Times New Roman" w:cs="Times New Roman" w:eastAsia="Times New Roman"/>
        </w:rPr>
        <w:t xml:space="preserve">GAD Parroquial Rural de Torata. (2024).</w:t>
      </w:r>
      <w:r>
        <w:rPr>
          <w:rFonts w:ascii="Times New Roman" w:hAnsi="Times New Roman" w:cs="Times New Roman" w:eastAsia="Times New Roman"/>
        </w:rPr>
        <w:t xml:space="preserve"> </w:t>
      </w:r>
      <w:r>
        <w:rPr>
          <w:rFonts w:ascii="Times New Roman" w:hAnsi="Times New Roman" w:cs="Times New Roman" w:eastAsia="Times New Roman"/>
          <w:i/>
          <w:iCs/>
        </w:rPr>
        <w:t xml:space="preserve">Plan de Desarrollo y Ordenamiento Territorial de la Parroquia Rural Torata 2023-2027</w:t>
      </w:r>
      <w:r>
        <w:rPr>
          <w:rFonts w:ascii="Times New Roman" w:hAnsi="Times New Roman" w:cs="Times New Roman" w:eastAsia="Times New Roman"/>
        </w:rPr>
        <w:t xml:space="preserve"> </w:t>
      </w:r>
      <w:r>
        <w:rPr>
          <w:rFonts w:ascii="Times New Roman" w:hAnsi="Times New Roman" w:cs="Times New Roman" w:eastAsia="Times New Roman"/>
        </w:rPr>
        <w:t xml:space="preserve">[Instrumento de Planificación Territorial Parroquial]. Gobierno Autónomo Descentralizado Parroquial Rural de Torata.</w:t>
      </w:r>
      <w:r>
        <w:rPr>
          <w:rFonts w:ascii="Times New Roman" w:hAnsi="Times New Roman" w:cs="Times New Roman" w:eastAsia="Times New Roman"/>
        </w:rPr>
        <w:t xml:space="preserve"> </w:t>
      </w:r>
      <w:hyperlink r:id="rId149">
        <w:r>
          <w:rPr>
            <w:rStyle w:val="Hyperlink"/>
          </w:rPr>
          <w:t xml:space="preserve">https://gadtorata.gob.ec/transparencia/pdot-torata-2023-2027.pdf</w:t>
        </w:r>
      </w:hyperlink>
    </w:p>
    <w:bookmarkEnd w:id="150"/>
    <w:bookmarkStart w:id="152" w:name="ref-inec_censo_2022"/>
    <w:p>
      <w:pPr>
        <w:pStyle w:val="Bibliography"/>
      </w:pPr>
      <w:r>
        <w:rPr>
          <w:rFonts w:ascii="Times New Roman" w:hAnsi="Times New Roman" w:cs="Times New Roman" w:eastAsia="Times New Roman"/>
        </w:rPr>
        <w:t xml:space="preserve">Instituto Nacional de Estadística y Censos. (2023).</w:t>
      </w:r>
      <w:r>
        <w:rPr>
          <w:rFonts w:ascii="Times New Roman" w:hAnsi="Times New Roman" w:cs="Times New Roman" w:eastAsia="Times New Roman"/>
        </w:rPr>
        <w:t xml:space="preserve"> </w:t>
      </w:r>
      <w:r>
        <w:rPr>
          <w:rFonts w:ascii="Times New Roman" w:hAnsi="Times New Roman" w:cs="Times New Roman" w:eastAsia="Times New Roman"/>
          <w:i/>
          <w:iCs/>
        </w:rPr>
        <w:t xml:space="preserve">VIII Censo de Población y VII de Vivienda 2022: Base de Datos Territorial REDATAM y Tabulados Parroquiales Oficiales</w:t>
      </w:r>
      <w:r>
        <w:rPr>
          <w:rFonts w:ascii="Times New Roman" w:hAnsi="Times New Roman" w:cs="Times New Roman" w:eastAsia="Times New Roman"/>
        </w:rPr>
        <w:t xml:space="preserve"> </w:t>
      </w:r>
      <w:r>
        <w:rPr>
          <w:rFonts w:ascii="Times New Roman" w:hAnsi="Times New Roman" w:cs="Times New Roman" w:eastAsia="Times New Roman"/>
        </w:rPr>
        <w:t xml:space="preserve">[Censo Nacional de Población y Vivienda]. Instituto Nacional de Estadística y Censos (INEC).</w:t>
      </w:r>
      <w:r>
        <w:rPr>
          <w:rFonts w:ascii="Times New Roman" w:hAnsi="Times New Roman" w:cs="Times New Roman" w:eastAsia="Times New Roman"/>
        </w:rPr>
        <w:t xml:space="preserve"> </w:t>
      </w:r>
      <w:hyperlink r:id="rId151">
        <w:r>
          <w:rPr>
            <w:rStyle w:val="Hyperlink"/>
          </w:rPr>
          <w:t xml:space="preserve">https://www.ecuadorencifras.gob.ec/censo-de-poblacion-y-vivienda-2022/</w:t>
        </w:r>
      </w:hyperlink>
    </w:p>
    <w:bookmarkEnd w:id="152"/>
    <w:bookmarkStart w:id="153" w:name="ref-decreto_ejecutivo_91"/>
    <w:p>
      <w:pPr>
        <w:pStyle w:val="Bibliography"/>
      </w:pPr>
      <w:r>
        <w:rPr>
          <w:rFonts w:ascii="Times New Roman" w:hAnsi="Times New Roman" w:cs="Times New Roman" w:eastAsia="Times New Roman"/>
        </w:rPr>
        <w:t xml:space="preserve">Presidencia de la República del Ecuador. (2023).</w:t>
      </w:r>
      <w:r>
        <w:rPr>
          <w:rFonts w:ascii="Times New Roman" w:hAnsi="Times New Roman" w:cs="Times New Roman" w:eastAsia="Times New Roman"/>
        </w:rPr>
        <w:t xml:space="preserve"> </w:t>
      </w:r>
      <w:r>
        <w:rPr>
          <w:rFonts w:ascii="Times New Roman" w:hAnsi="Times New Roman" w:cs="Times New Roman" w:eastAsia="Times New Roman"/>
          <w:i/>
          <w:iCs/>
        </w:rPr>
        <w:t xml:space="preserve">Decreto Ejecutivo Nro. 91: Organización y Funcionamiento de los Gabinetes Sectoriales</w:t>
      </w:r>
      <w:r>
        <w:rPr>
          <w:rFonts w:ascii="Times New Roman" w:hAnsi="Times New Roman" w:cs="Times New Roman" w:eastAsia="Times New Roman"/>
        </w:rPr>
        <w:t xml:space="preserve">. Registro Oficial Suplemento Nro. 468 de 28 de diciembre de 2023.</w:t>
      </w:r>
    </w:p>
    <w:bookmarkEnd w:id="153"/>
    <w:bookmarkStart w:id="154" w:name="ref-decreto_ejecutivo_491"/>
    <w:p>
      <w:pPr>
        <w:pStyle w:val="Bibliography"/>
      </w:pPr>
      <w:r>
        <w:rPr>
          <w:rFonts w:ascii="Times New Roman" w:hAnsi="Times New Roman" w:cs="Times New Roman" w:eastAsia="Times New Roman"/>
        </w:rPr>
        <w:t xml:space="preserve">Presidencia de la República del Ecuador. (2024).</w:t>
      </w:r>
      <w:r>
        <w:rPr>
          <w:rFonts w:ascii="Times New Roman" w:hAnsi="Times New Roman" w:cs="Times New Roman" w:eastAsia="Times New Roman"/>
        </w:rPr>
        <w:t xml:space="preserve"> </w:t>
      </w:r>
      <w:r>
        <w:rPr>
          <w:rFonts w:ascii="Times New Roman" w:hAnsi="Times New Roman" w:cs="Times New Roman" w:eastAsia="Times New Roman"/>
          <w:i/>
          <w:iCs/>
        </w:rPr>
        <w:t xml:space="preserve">Decreto Ejecutivo Nro. 491: Reorganización Institucional y Atribuciones Sectoriales de la Administración Pública Central</w:t>
      </w:r>
      <w:r>
        <w:rPr>
          <w:rFonts w:ascii="Times New Roman" w:hAnsi="Times New Roman" w:cs="Times New Roman" w:eastAsia="Times New Roman"/>
        </w:rPr>
        <w:t xml:space="preserve">. Registro Oficial Suplemento.</w:t>
      </w:r>
    </w:p>
    <w:bookmarkEnd w:id="154"/>
    <w:bookmarkStart w:id="156" w:name="ref-guia_planifica2021"/>
    <w:p>
      <w:pPr>
        <w:pStyle w:val="Bibliography"/>
      </w:pPr>
      <w:r>
        <w:rPr>
          <w:rFonts w:ascii="Times New Roman" w:hAnsi="Times New Roman" w:cs="Times New Roman" w:eastAsia="Times New Roman"/>
        </w:rPr>
        <w:t xml:space="preserve">Secretaría Técnica de Planificación Planifica Ecuador. (2021).</w:t>
      </w:r>
      <w:r>
        <w:rPr>
          <w:rFonts w:ascii="Times New Roman" w:hAnsi="Times New Roman" w:cs="Times New Roman" w:eastAsia="Times New Roman"/>
        </w:rPr>
        <w:t xml:space="preserve"> </w:t>
      </w:r>
      <w:r>
        <w:rPr>
          <w:rFonts w:ascii="Times New Roman" w:hAnsi="Times New Roman" w:cs="Times New Roman" w:eastAsia="Times New Roman"/>
          <w:i/>
          <w:iCs/>
        </w:rPr>
        <w:t xml:space="preserve">Guía General para la Presentación de Programas y Proyectos de Inversión Pública</w:t>
      </w:r>
      <w:r>
        <w:rPr>
          <w:rFonts w:ascii="Times New Roman" w:hAnsi="Times New Roman" w:cs="Times New Roman" w:eastAsia="Times New Roman"/>
        </w:rPr>
        <w:t xml:space="preserve">. Secretaría Nacional de Planificación.</w:t>
      </w:r>
      <w:r>
        <w:rPr>
          <w:rFonts w:ascii="Times New Roman" w:hAnsi="Times New Roman" w:cs="Times New Roman" w:eastAsia="Times New Roman"/>
        </w:rPr>
        <w:t xml:space="preserve"> </w:t>
      </w:r>
      <w:hyperlink r:id="rId155">
        <w:r>
          <w:rPr>
            <w:rStyle w:val="Hyperlink"/>
          </w:rPr>
          <w:t xml:space="preserve">https://www.planificacion.gob.ec/wp-content/uploads/downloads/2021/04/GUIA-GENERAL-PROYECTOS-INVERSION-2021.pdf</w:t>
        </w:r>
      </w:hyperlink>
    </w:p>
    <w:bookmarkEnd w:id="156"/>
    <w:bookmarkEnd w:id="157"/>
    <w:bookmarkEnd w:id="158"/>
    <w:sectPr>
      <w:footerReference r:id="rId9" w:type="default"/>
      <w:footnotePr>
        <w:numRestart w:val="eachSect"/>
      </w:footnotePr>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Vinculación con la Sociedad | Carrera de Economía - UNL</w:t>
      <w:tab/>
      <w:tab/>
      <w:t xml:space="preserve">Página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Borders>
        <w:top w:val="none"/>
        <w:bottom w:val="none"/>
        <w:left w:val="none"/>
        <w:right w:val="none"/>
        <w:insideH w:val="none"/>
        <w:insideV w:val="none"/>
      </w:tblBorders>
    </w:tblPr>
    <w:tblGrid>
      <w:gridCol w:w="3120"/>
      <w:gridCol w:w="3120"/>
      <w:gridCol w:w="3120"/>
    </w:tblGrid>
    <w:tr>
      <w:tc>
        <w:tcPr>
          <w:tcW w:type="dxa" w:w="2880"/>
        </w:tcPr>
        <w:p/>
      </w:tc>
      <w:tc>
        <w:tcPr>
          <w:tcW w:type="dxa" w:w="3600"/>
        </w:tcPr>
        <w:p/>
      </w:tc>
      <w:tc>
        <w:tcPr>
          <w:tcW w:type="dxa" w:w="2880"/>
        </w:tcPr>
        <w:p/>
      </w:tc>
    </w:tr>
  </w:tbl>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360" w:lineRule="auto"/>
      <w:ind w:firstLine="0" w:left="0"/>
      <w:jc w:val="both"/>
    </w:pPr>
    <w:rPr>
      <w:rFonts w:ascii="Times New Roman" w:cs="Times New Roman" w:eastAsia="Times New Roman" w:hAnsi="Times New Roman"/>
      <w:color w:val="000000"/>
      <w:sz w:val="24"/>
      <w:szCs w:val="24"/>
    </w:rPr>
  </w:style>
  <w:style w:styleId="BodyText" w:type="paragraph">
    <w:basedOn w:val="Normal"/>
    <w:name w:val="Body Text"/>
    <w:link w:val="BodyTextChar"/>
    <w:qFormat/>
    <w:pPr>
      <w:spacing w:after="120" w:before="0" w:line="360" w:lineRule="auto"/>
      <w:ind w:firstLine="720" w:left="0"/>
      <w:jc w:val="both"/>
    </w:pPr>
    <w:rPr>
      <w:rFonts w:ascii="Times New Roman" w:cs="Times New Roman" w:eastAsia="Times New Roman" w:hAnsi="Times New Roman"/>
      <w:color w:val="000000"/>
      <w:sz w:val="24"/>
      <w:szCs w:val="24"/>
    </w:rPr>
  </w:style>
  <w:style w:customStyle="1" w:styleId="FirstParagraph" w:type="paragraph">
    <w:basedOn w:val="BodyText"/>
    <w:name w:val="First Paragraph"/>
    <w:next w:val="BodyText"/>
    <w:qFormat/>
    <w:pPr>
      <w:spacing w:after="120" w:before="0" w:line="360" w:lineRule="auto"/>
      <w:ind w:firstLine="720" w:left="0"/>
      <w:jc w:val="both"/>
    </w:pPr>
    <w:rPr>
      <w:rFonts w:ascii="Times New Roman" w:cs="Times New Roman" w:eastAsia="Times New Roman" w:hAnsi="Times New Roman"/>
      <w:color w:val="000000"/>
      <w:sz w:val="24"/>
      <w:szCs w:val="24"/>
    </w:rPr>
  </w:style>
  <w:style w:customStyle="1" w:styleId="Compact" w:type="paragraph">
    <w:basedOn w:val="Normal"/>
    <w:name w:val="Compact"/>
    <w:qFormat/>
    <w:pPr>
      <w:spacing w:after="40" w:before="40" w:line="240" w:lineRule="auto"/>
      <w:ind w:firstLine="0" w:left="0"/>
      <w:jc w:val="left"/>
    </w:pPr>
    <w:rPr>
      <w:rFonts w:ascii="Times New Roman" w:cs="Times New Roman" w:eastAsia="Times New Roman" w:hAnsi="Times New Roman"/>
      <w:color w:val="000000"/>
      <w:sz w:val="20"/>
      <w:szCs w:val="20"/>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360"/>
      <w:ind w:firstLine="0"/>
      <w:jc w:val="center"/>
      <w:outlineLvl w:val="0"/>
    </w:pPr>
    <w:rPr>
      <w:rFonts w:ascii="Times New Roman" w:asciiTheme="majorHAnsi" w:cstheme="majorBidi" w:eastAsiaTheme="majorEastAsia" w:hAnsi="Times New Roman" w:hAnsiTheme="majorHAnsi"/>
      <w:b/>
      <w:color w:val="000000"/>
      <w:sz w:val="24"/>
      <w:szCs w:val="40"/>
    </w:rPr>
  </w:style>
  <w:style w:styleId="Heading2" w:type="paragraph">
    <w:name w:val="heading 2"/>
    <w:basedOn w:val="Normal"/>
    <w:next w:val="BodyText"/>
    <w:link w:val="Heading2Char"/>
    <w:uiPriority w:val="9"/>
    <w:semiHidden/>
    <w:unhideWhenUsed/>
    <w:qFormat/>
    <w:rsid w:val="00A10FD9"/>
    <w:pPr>
      <w:keepNext/>
      <w:keepLines/>
      <w:spacing w:after="120" w:before="240"/>
      <w:ind w:firstLine="0"/>
      <w:jc w:val="left"/>
      <w:outlineLvl w:val="1"/>
    </w:pPr>
    <w:rPr>
      <w:rFonts w:ascii="Times New Roman" w:asciiTheme="majorHAnsi" w:cstheme="majorBidi" w:eastAsiaTheme="majorEastAsia" w:hAnsi="Times New Roman" w:hAnsiTheme="majorHAnsi"/>
      <w:b/>
      <w:color w:val="000000"/>
      <w:sz w:val="24"/>
      <w:szCs w:val="32"/>
    </w:rPr>
  </w:style>
  <w:style w:styleId="Heading3" w:type="paragraph">
    <w:name w:val="heading 3"/>
    <w:basedOn w:val="Normal"/>
    <w:next w:val="BodyText"/>
    <w:link w:val="Heading3Char"/>
    <w:uiPriority w:val="9"/>
    <w:semiHidden/>
    <w:unhideWhenUsed/>
    <w:qFormat/>
    <w:rsid w:val="00A10FD9"/>
    <w:pPr>
      <w:keepNext/>
      <w:keepLines/>
      <w:spacing w:after="120" w:before="240"/>
      <w:ind w:firstLine="0"/>
      <w:jc w:val="left"/>
      <w:outlineLvl w:val="2"/>
    </w:pPr>
    <w:rPr>
      <w:rFonts w:ascii="Times New Roman" w:cstheme="majorBidi" w:eastAsiaTheme="majorEastAsia" w:hAnsi="Times New Roman"/>
      <w:b/>
      <w:i/>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80" w:before="120"/>
      <w:ind w:firstLine="720"/>
      <w:jc w:val="left"/>
      <w:outlineLvl w:val="3"/>
    </w:pPr>
    <w:rPr>
      <w:rFonts w:ascii="Times New Roman" w:cstheme="majorBidi" w:eastAsiaTheme="majorEastAsia" w:hAnsi="Times New Roman"/>
      <w:b/>
      <w:i/>
      <w:iCs/>
      <w:color w:val="000000"/>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Times New Roman" w:hAnsi="Times New Roman"/>
      <w:sz w:val="20"/>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basedOn w:val="Normal"/>
    <w:name w:val="Caption"/>
    <w:link w:val="BodyTextChar"/>
    <w:pPr>
      <w:keepNext/>
      <w:spacing w:after="80" w:before="120" w:line="240" w:lineRule="auto"/>
      <w:ind w:firstLine="0" w:left="0"/>
      <w:jc w:val="left"/>
    </w:pPr>
    <w:rPr>
      <w:rFonts w:ascii="Times New Roman" w:cs="Times New Roman" w:eastAsia="Times New Roman" w:hAnsi="Times New Roman"/>
      <w:i/>
      <w:iCs/>
      <w:color w:val="000000"/>
      <w:sz w:val="20"/>
      <w:szCs w:val="20"/>
    </w:rPr>
  </w:style>
  <w:style w:customStyle="1" w:styleId="TableCaption" w:type="paragraph">
    <w:basedOn w:val="Caption"/>
    <w:name w:val="Table Caption"/>
    <w:pPr>
      <w:keepNext/>
      <w:spacing w:after="80" w:before="120" w:line="240" w:lineRule="auto"/>
      <w:ind w:firstLine="0" w:left="0"/>
      <w:jc w:val="left"/>
    </w:pPr>
    <w:rPr>
      <w:rFonts w:ascii="Times New Roman" w:cs="Times New Roman" w:eastAsia="Times New Roman" w:hAnsi="Times New Roman"/>
      <w:i/>
      <w:iCs/>
      <w:color w:val="000000"/>
      <w:sz w:val="20"/>
      <w:szCs w:val="20"/>
    </w:rPr>
  </w:style>
  <w:style w:customStyle="1" w:styleId="ImageCaption" w:type="paragraph">
    <w:basedOn w:val="Caption"/>
    <w:name w:val="Image Caption"/>
    <w:pPr>
      <w:keepNext/>
      <w:spacing w:after="80" w:before="120" w:line="240" w:lineRule="auto"/>
      <w:ind w:firstLine="0" w:left="0"/>
      <w:jc w:val="left"/>
    </w:pPr>
    <w:rPr>
      <w:rFonts w:ascii="Times New Roman" w:cs="Times New Roman" w:eastAsia="Times New Roman" w:hAnsi="Times New Roman"/>
      <w:i/>
      <w:iCs/>
      <w:color w:val="000000"/>
      <w:sz w:val="20"/>
      <w:szCs w:val="2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ableNumber" w:type="paragraph">
    <w:basedOn w:val="Normal"/>
    <w:name w:val="Table Number"/>
    <w:pPr>
      <w:keepNext/>
      <w:spacing w:after="40" w:before="160" w:line="240" w:lineRule="auto"/>
      <w:ind w:firstLine="0" w:left="0"/>
      <w:jc w:val="left"/>
    </w:pPr>
    <w:rPr>
      <w:rFonts w:ascii="Times New Roman" w:cs="Times New Roman" w:eastAsia="Times New Roman" w:hAnsi="Times New Roman"/>
      <w:b/>
      <w:bCs/>
      <w:color w:val="000000"/>
      <w:sz w:val="20"/>
      <w:szCs w:val="20"/>
    </w:rPr>
  </w:style>
  <w:style w:customStyle="1" w:styleId="TableNote" w:type="paragraph">
    <w:basedOn w:val="Normal"/>
    <w:name w:val="Table Note"/>
    <w:pPr>
      <w:spacing w:after="160" w:before="80" w:line="240" w:lineRule="auto"/>
      <w:ind w:firstLine="0" w:left="0"/>
      <w:jc w:val="both"/>
    </w:pPr>
    <w:rPr>
      <w:rFonts w:ascii="Times New Roman" w:cs="Times New Roman" w:eastAsia="Times New Roman" w:hAnsi="Times New Roman"/>
      <w:color w:val="000000"/>
      <w:sz w:val="20"/>
      <w:szCs w:val="20"/>
    </w:rPr>
  </w:style>
  <w:style w:customStyle="1" w:styleId="TableText" w:type="paragraph">
    <w:basedOn w:val="Normal"/>
    <w:name w:val="Table Text"/>
    <w:pPr>
      <w:spacing w:after="40" w:before="40" w:line="240" w:lineRule="auto"/>
      <w:ind w:firstLine="0" w:left="0"/>
      <w:jc w:val="left"/>
    </w:pPr>
    <w:rPr>
      <w:rFonts w:ascii="Times New Roman" w:cs="Times New Roman" w:eastAsia="Times New Roman" w:hAnsi="Times New Roman"/>
      <w:color w:val="000000"/>
      <w:sz w:val="20"/>
      <w:szCs w:val="20"/>
    </w:rPr>
  </w:style>
  <w:style w:customStyle="1" w:styleId="TableHeader" w:type="paragraph">
    <w:basedOn w:val="Normal"/>
    <w:name w:val="Table Header"/>
    <w:pPr>
      <w:keepNext/>
      <w:spacing w:after="60" w:before="60" w:line="240" w:lineRule="auto"/>
      <w:ind w:firstLine="0" w:left="0"/>
      <w:jc w:val="center"/>
    </w:pPr>
    <w:rPr>
      <w:rFonts w:ascii="Times New Roman" w:cs="Times New Roman" w:eastAsia="Times New Roman" w:hAnsi="Times New Roman"/>
      <w:b/>
      <w:bCs/>
      <w:color w:val="000000"/>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9" Type="http://schemas.openxmlformats.org/officeDocument/2006/relationships/footer" Target="footer1.xml"/><Relationship Id="rId132" Type="http://schemas.openxmlformats.org/officeDocument/2006/relationships/image" Target="media/rId132.png"/><Relationship Id="rId127" Type="http://schemas.openxmlformats.org/officeDocument/2006/relationships/image" Target="media/rId127.png"/><Relationship Id="rId48" Type="http://schemas.openxmlformats.org/officeDocument/2006/relationships/image" Target="media/rId48.png"/><Relationship Id="rId44" Type="http://schemas.openxmlformats.org/officeDocument/2006/relationships/image" Target="media/rId44.png"/><Relationship Id="rId32" Type="http://schemas.openxmlformats.org/officeDocument/2006/relationships/image" Target="media/rId32.png"/><Relationship Id="rId36" Type="http://schemas.openxmlformats.org/officeDocument/2006/relationships/image" Target="media/rId36.png"/><Relationship Id="rId149" Type="http://schemas.openxmlformats.org/officeDocument/2006/relationships/hyperlink" Target="https://gadtorata.gob.ec/transparencia/pdot-torata-2023-2027.pdf" TargetMode="External"/><Relationship Id="rId147" Type="http://schemas.openxmlformats.org/officeDocument/2006/relationships/hyperlink" Target="https://santarosa.gob.ec/pdot-santa-rosa-2023-2027/" TargetMode="External"/><Relationship Id="rId151" Type="http://schemas.openxmlformats.org/officeDocument/2006/relationships/hyperlink" Target="https://www.ecuadorencifras.gob.ec/censo-de-poblacion-y-vivienda-2022/" TargetMode="External"/><Relationship Id="rId145" Type="http://schemas.openxmlformats.org/officeDocument/2006/relationships/hyperlink" Target="https://www.finanzas.gob.ec/wp-content/uploads/downloads/2020/08/CODIGO_PLANIFICACION_FINANZAS_PUBLICAS.pdf" TargetMode="External"/><Relationship Id="rId143" Type="http://schemas.openxmlformats.org/officeDocument/2006/relationships/hyperlink" Target="https://www.gob.ec/sites/default/files/regulations/2020-04/CODIGO%20ORGANICO%20DE%20ORGANIZACION%20TERRITORIAL%20COOTAD.pdf" TargetMode="External"/><Relationship Id="rId155" Type="http://schemas.openxmlformats.org/officeDocument/2006/relationships/hyperlink" Target="https://www.planificacion.gob.ec/wp-content/uploads/downloads/2021/04/GUIA-GENERAL-PROYECTOS-INVERSION-2021.pdf" TargetMode="External"/><Relationship Id="rId1" Type="http://schemas.openxmlformats.org/officeDocument/2006/relationships/header" Target="header1.xml"/><Relationship Id="rId2" Type="http://schemas.openxmlformats.org/officeDocument/2006/relationships/header" Target="header2.xml"/></Relationships>
</file>

<file path=word/_rels/footnotes.xml.rels><?xml version='1.0' encoding='UTF-8' standalone='yes'?>
<Relationships xmlns="http://schemas.openxmlformats.org/package/2006/relationships"><Relationship Id="rId149" Type="http://schemas.openxmlformats.org/officeDocument/2006/relationships/hyperlink" Target="https://gadtorata.gob.ec/transparencia/pdot-torata-2023-2027.pdf" TargetMode="External"/><Relationship Id="rId147" Type="http://schemas.openxmlformats.org/officeDocument/2006/relationships/hyperlink" Target="https://santarosa.gob.ec/pdot-santa-rosa-2023-2027/" TargetMode="External"/><Relationship Id="rId151" Type="http://schemas.openxmlformats.org/officeDocument/2006/relationships/hyperlink" Target="https://www.ecuadorencifras.gob.ec/censo-de-poblacion-y-vivienda-2022/" TargetMode="External"/><Relationship Id="rId145" Type="http://schemas.openxmlformats.org/officeDocument/2006/relationships/hyperlink" Target="https://www.finanzas.gob.ec/wp-content/uploads/downloads/2020/08/CODIGO_PLANIFICACION_FINANZAS_PUBLICAS.pdf" TargetMode="External"/><Relationship Id="rId143" Type="http://schemas.openxmlformats.org/officeDocument/2006/relationships/hyperlink" Target="https://www.gob.ec/sites/default/files/regulations/2020-04/CODIGO%20ORGANICO%20DE%20ORGANIZACION%20TERRITORIAL%20COOTAD.pdf" TargetMode="External"/><Relationship Id="rId155" Type="http://schemas.openxmlformats.org/officeDocument/2006/relationships/hyperlink" Target="https://www.planificacion.gob.ec/wp-content/uploads/downloads/2021/04/GUIA-GENERAL-PROYECTOS-INVERSION-202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DE INVERSIÓN PÚBLICA: CONECTIVIDAD VIAL Y CONSTRUCCIÓN DEL PUENTE VEHICULAR SOBRE EL RÍO SANTA ROSA EN EL SECTOR EL GUAYABO - LA CHILCA, PARROQUIA RURAL TORATA</dc:title>
  <dc:creator>David Andrés Pérez Castillo; Luis Gustavo Hurtado Cuenca; Erick Fabricio Condoy Seraquive; Lizeth Camila Correa Sánchez</dc:creator>
  <dc:language>es</dc:language>
  <cp:keywords/>
  <dcterms:created xsi:type="dcterms:W3CDTF">2026-10-29T20:30:54Z</dcterms:created>
  <dcterms:modified xsi:type="dcterms:W3CDTF">2026-10-29T20:30:54Z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ignment">
    <vt:lpwstr>Proyectos de Inversión Pública - Séptimo Ciclo</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uthor">
    <vt:lpwstr/>
  </property>
  <property fmtid="{D5CDD505-2E9C-101B-9397-08002B2CF9AE}" pid="7" name="course">
    <vt:lpwstr>PROYECTOS DE INVERSIÓN PÚBLICA</vt:lpwstr>
  </property>
  <property fmtid="{D5CDD505-2E9C-101B-9397-08002B2CF9AE}" pid="8" name="crossref">
    <vt:lpwstr/>
  </property>
  <property fmtid="{D5CDD505-2E9C-101B-9397-08002B2CF9AE}" pid="9" name="csl">
    <vt:lpwstr>apa.csl</vt:lpwstr>
  </property>
  <property fmtid="{D5CDD505-2E9C-101B-9397-08002B2CF9AE}" pid="10" name="date">
    <vt:lpwstr>2026-10-18</vt:lpwstr>
  </property>
  <property fmtid="{D5CDD505-2E9C-101B-9397-08002B2CF9AE}" pid="11" name="faculty">
    <vt:lpwstr>FACULTAD JURÍDICA, SOCIAL Y ADMINISTRATIVA</vt:lpwstr>
  </property>
  <property fmtid="{D5CDD505-2E9C-101B-9397-08002B2CF9AE}" pid="12" name="fig-cap-location">
    <vt:lpwstr>top</vt:lpwstr>
  </property>
  <property fmtid="{D5CDD505-2E9C-101B-9397-08002B2CF9AE}" pid="13" name="fontsize">
    <vt:lpwstr>12pt</vt:lpwstr>
  </property>
  <property fmtid="{D5CDD505-2E9C-101B-9397-08002B2CF9AE}" pid="14" name="has-cover-image">
    <vt:lpwstr>True</vt:lpwstr>
  </property>
  <property fmtid="{D5CDD505-2E9C-101B-9397-08002B2CF9AE}" pid="15" name="header-includes">
    <vt:lpwstr/>
  </property>
  <property fmtid="{D5CDD505-2E9C-101B-9397-08002B2CF9AE}" pid="16" name="include-after">
    <vt:lpwstr/>
  </property>
  <property fmtid="{D5CDD505-2E9C-101B-9397-08002B2CF9AE}" pid="17" name="include-before">
    <vt:lpwstr/>
  </property>
  <property fmtid="{D5CDD505-2E9C-101B-9397-08002B2CF9AE}" pid="18" name="labels">
    <vt:lpwstr/>
  </property>
  <property fmtid="{D5CDD505-2E9C-101B-9397-08002B2CF9AE}" pid="19" name="link-citations">
    <vt:lpwstr>True</vt:lpwstr>
  </property>
  <property fmtid="{D5CDD505-2E9C-101B-9397-08002B2CF9AE}" pid="20" name="post-render">
    <vt:lpwstr/>
  </property>
  <property fmtid="{D5CDD505-2E9C-101B-9397-08002B2CF9AE}" pid="21" name="professor">
    <vt:lpwstr>Econ. Jose Job Chamba Tandazo</vt:lpwstr>
  </property>
  <property fmtid="{D5CDD505-2E9C-101B-9397-08002B2CF9AE}" pid="22" name="school">
    <vt:lpwstr>CARRERA DE ECONOMÍA</vt:lpwstr>
  </property>
  <property fmtid="{D5CDD505-2E9C-101B-9397-08002B2CF9AE}" pid="23" name="submission_date">
    <vt:lpwstr>Octubre de 2026</vt:lpwstr>
  </property>
  <property fmtid="{D5CDD505-2E9C-101B-9397-08002B2CF9AE}" pid="24" name="tbl-cap-location">
    <vt:lpwstr>top</vt:lpwstr>
  </property>
  <property fmtid="{D5CDD505-2E9C-101B-9397-08002B2CF9AE}" pid="25" name="toc-title">
    <vt:lpwstr>Tabla de contenidos</vt:lpwstr>
  </property>
  <property fmtid="{D5CDD505-2E9C-101B-9397-08002B2CF9AE}" pid="26" name="university">
    <vt:lpwstr>UNIVERSIDAD NACIONAL DE LOJA</vt:lpwstr>
  </property>
</Properties>
</file>