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Actividad 1: Marco Normativo y Análisis de Factores de Bienestar</w:t>
      </w:r>
    </w:p>
    <w:p>
      <w:pPr>
        <w:pStyle w:val="Subtitle"/>
      </w:pPr>
      <w:r>
        <w:t xml:space="preserve">Planificación y Gestión de Proyectos de Inversión Pública</w:t>
      </w:r>
    </w:p>
    <w:p>
      <w:pPr>
        <w:pStyle w:val="Author"/>
      </w:pPr>
      <w:r>
        <w:t xml:space="preserve">Erick Fabricio Condoy Seraquive</w:t>
      </w:r>
    </w:p>
    <w:p>
      <w:pPr>
        <w:pStyle w:val="Date"/>
      </w:pPr>
      <w:r>
        <w:t xml:space="preserve">2026-04-18</w:t>
      </w:r>
    </w:p>
    <w:bookmarkStart w:id="9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t xml:space="preserve">El presente informe desarrolla la primera actividad de contacto con el docente de la unidad 1, centrada en el análisis de los factores que inciden en el bienestar ciudadano a partir de la realidad nacional y el marco normativo que rige la inversión pública en el Ecuador. Para este análisis, se han incorporado las reformas reglamentarias más recientes de 2026 y los lineamientos técnicos vigentes de la Secretaría Nacional de Planificación.</w:t>
      </w:r>
    </w:p>
    <w:bookmarkEnd w:id="9"/>
    <w:bookmarkStart w:id="11" w:name="análisis-de-noticia-de-actualidad"/>
    <w:p>
      <w:pPr>
        <w:pStyle w:val="Heading1"/>
      </w:pPr>
      <w:r>
        <w:t xml:space="preserve">Análisis de Noticia de Actualidad</w:t>
      </w:r>
    </w:p>
    <w:p>
      <w:pPr>
        <w:pStyle w:val="FirstParagraph"/>
      </w:pPr>
      <w:r>
        <w:rPr>
          <w:b/>
          <w:bCs/>
        </w:rPr>
        <w:t xml:space="preserve">Noticia:</w:t>
      </w:r>
      <w:r>
        <w:t xml:space="preserve"> </w:t>
      </w:r>
      <w:r>
        <w:rPr>
          <w:i/>
          <w:iCs/>
        </w:rPr>
        <w:t xml:space="preserve">Ecuador entra en una nueva fase de su crisis eléctrica con menos agua y más dependencia del diésel</w:t>
      </w:r>
    </w:p>
    <w:p>
      <w:pPr>
        <w:pStyle w:val="BodyText"/>
      </w:pPr>
      <w:r>
        <w:t xml:space="preserve">La crisis energética de abril de 2026 representa un fenómeno complejo que afecta directamente los pilares del desarrollo nacional. A continuación, se detallan los factores de incidencia identificados en el reporte de</w:t>
      </w:r>
      <w:r>
        <w:t xml:space="preserve"> </w:t>
      </w:r>
      <w:r>
        <w:t xml:space="preserve">Primicias (2026)</w:t>
      </w:r>
      <w:r>
        <w:t xml:space="preserve">:</w:t>
      </w:r>
    </w:p>
    <w:bookmarkStart w:id="10" w:name="factores-de-incidencia-en-el-bienestar"/>
    <w:p>
      <w:pPr>
        <w:pStyle w:val="Heading2"/>
      </w:pPr>
      <w:r>
        <w:t xml:space="preserve">Factores de Incidencia en el Bienestar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Impacto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Económico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Incremento en los costos de producción por el uso de generación privada y afectación a la competitividad industrial.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Malestar ciudadano por racionamientos inesperados e inseguridad en espacios públicos sin iluminación.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Retroceso en la transición ecológica al incrementar la quema de combustibles fósiles (diésel) ante la falta de caudal hídrico.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Desafíos en la gobernanza del sector eléctrico y necesidad de reformas estructurales en el marco de la seguridad energética.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la brecha en infraestructura de transmisión y la urgencia de modernizar el despacho nacional de carga.</w:t>
            </w:r>
          </w:p>
        </w:tc>
      </w:tr>
    </w:tbl>
    <w:bookmarkEnd w:id="10"/>
    <w:bookmarkEnd w:id="11"/>
    <w:bookmarkStart w:id="14" w:name="X7770833711f6497feab900f7dec7a08c2f5ae6c"/>
    <w:p>
      <w:pPr>
        <w:pStyle w:val="Heading1"/>
      </w:pPr>
      <w:r>
        <w:t xml:space="preserve">Marco Normativo de la Planificación e Inversión</w:t>
      </w:r>
    </w:p>
    <w:p>
      <w:pPr>
        <w:pStyle w:val="FirstParagraph"/>
      </w:pPr>
      <w:r>
        <w:t xml:space="preserve">Tras la auditoría documental realizada en el laboratorio institucional (LPI), se analizan los siguientes instrumentos legales:</w:t>
      </w:r>
    </w:p>
    <w:bookmarkStart w:id="12" w:name="Xf08e5945cb919d2c833ff209cbee106cf58012b"/>
    <w:p>
      <w:pPr>
        <w:pStyle w:val="Heading2"/>
      </w:pPr>
      <w:r>
        <w:t xml:space="preserve">Constitución de la República y Leyes Orgánicas</w:t>
      </w:r>
    </w:p>
    <w:p>
      <w:pPr>
        <w:pStyle w:val="FirstParagraph"/>
      </w:pPr>
      <w:r>
        <w:t xml:space="preserve">La Constitución</w:t>
      </w:r>
      <w:r>
        <w:t xml:space="preserve"> </w:t>
      </w:r>
      <w:r>
        <w:t xml:space="preserve">(Asamblea Nacional del Ecuador, 2008)</w:t>
      </w:r>
      <w:r>
        <w:t xml:space="preserve"> </w:t>
      </w:r>
      <w:r>
        <w:t xml:space="preserve">y el COOPFIP</w:t>
      </w:r>
      <w:r>
        <w:t xml:space="preserve"> </w:t>
      </w:r>
      <w:r>
        <w:t xml:space="preserve">(Asamblea Nacional del Ecuador, 2010)</w:t>
      </w:r>
      <w:r>
        <w:t xml:space="preserve"> </w:t>
      </w:r>
      <w:r>
        <w:t xml:space="preserve">establecen la obligatoriedad de que todo proyecto de inversión esté alineado al Plan Nacional de Desarrollo. Es fundamental destacar la reciente</w:t>
      </w:r>
      <w:r>
        <w:t xml:space="preserve"> </w:t>
      </w:r>
      <w:r>
        <w:t xml:space="preserve">Presidencia de la República del Ecuador (2026)</w:t>
      </w:r>
      <w:r>
        <w:t xml:space="preserve"> </w:t>
      </w:r>
      <w:r>
        <w:t xml:space="preserve">(Decreto 287), que optimiza los procesos de programación fiscal para proyectos plurianuales.</w:t>
      </w:r>
    </w:p>
    <w:bookmarkEnd w:id="12"/>
    <w:bookmarkStart w:id="13" w:name="Xc0d867b048207d50d7a0db059b938fdbc151c45"/>
    <w:p>
      <w:pPr>
        <w:pStyle w:val="Heading2"/>
      </w:pPr>
      <w:r>
        <w:t xml:space="preserve">Instrumentos Técnicos (Secretaría Nacional de Planificación)</w:t>
      </w:r>
    </w:p>
    <w:p>
      <w:pPr>
        <w:pStyle w:val="FirstParagraph"/>
      </w:pPr>
      <w:r>
        <w:t xml:space="preserve">El registro y priorización de proyectos se realiza a través del SIPeIP, cuyo funcionamiento se detalla en el</w:t>
      </w:r>
      <w:r>
        <w:t xml:space="preserve"> </w:t>
      </w:r>
      <w:r>
        <w:t xml:space="preserve">Secretaría Nacional de Planificación (2025)</w:t>
      </w:r>
      <w:r>
        <w:t xml:space="preserve">. Los proyectos deben cumplir estrictamente con la metodología de identificación y formulación para asegurar la eficiencia en el uso de los recursos públicos.</w:t>
      </w:r>
    </w:p>
    <w:bookmarkEnd w:id="13"/>
    <w:bookmarkEnd w:id="14"/>
    <w:bookmarkStart w:id="15" w:name="conclusiones"/>
    <w:p>
      <w:pPr>
        <w:pStyle w:val="Heading1"/>
      </w:pPr>
      <w:r>
        <w:t xml:space="preserve">Conclusiones</w:t>
      </w:r>
    </w:p>
    <w:p>
      <w:pPr>
        <w:pStyle w:val="FirstParagraph"/>
      </w:pPr>
      <w:r>
        <w:t xml:space="preserve">La planificación del desarrollo en Ecuador es un proceso técnico-normativo robusto pero vulnerable a choques externos como la crisis energética. La integración de la normativa técnica actualizada permite una gestión más transparente y efectiva de los proyectos de inversión pública.</w:t>
      </w:r>
    </w:p>
    <w:bookmarkEnd w:id="15"/>
    <w:bookmarkStart w:id="25" w:name="referencias"/>
    <w:p>
      <w:pPr>
        <w:pStyle w:val="Heading1"/>
      </w:pPr>
      <w:r>
        <w:t xml:space="preserve">Referencias</w:t>
      </w:r>
    </w:p>
    <w:bookmarkStart w:id="24" w:name="refs"/>
    <w:bookmarkStart w:id="17" w:name="ref-constitucion2008"/>
    <w:p>
      <w:pPr>
        <w:pStyle w:val="Bibliography"/>
      </w:pPr>
      <w:r>
        <w:t xml:space="preserve">Asamblea Nacional del Ecuador. (2008).</w:t>
      </w:r>
      <w:r>
        <w:t xml:space="preserve"> </w:t>
      </w:r>
      <w:r>
        <w:rPr>
          <w:i/>
          <w:iCs/>
        </w:rPr>
        <w:t xml:space="preserve">Constitución de la república del ecuador</w:t>
      </w:r>
      <w:r>
        <w:t xml:space="preserve">.</w:t>
      </w:r>
      <w:r>
        <w:t xml:space="preserve"> </w:t>
      </w:r>
      <w:hyperlink r:id="rId16">
        <w:r>
          <w:rPr>
            <w:rStyle w:val="Hyperlink"/>
          </w:rPr>
          <w:t xml:space="preserve">https://biblioteca.defensoria.gob.ec</w:t>
        </w:r>
      </w:hyperlink>
    </w:p>
    <w:bookmarkEnd w:id="17"/>
    <w:bookmarkStart w:id="18" w:name="ref-coopfip2010"/>
    <w:p>
      <w:pPr>
        <w:pStyle w:val="Bibliography"/>
      </w:pPr>
      <w:r>
        <w:t xml:space="preserve">Asamblea Nacional del Ecuador. (2010).</w:t>
      </w:r>
      <w:r>
        <w:t xml:space="preserve"> </w:t>
      </w:r>
      <w:r>
        <w:rPr>
          <w:i/>
          <w:iCs/>
        </w:rPr>
        <w:t xml:space="preserve">Código orgánico de planificación y finanzas públicas (COOPFIP)</w:t>
      </w:r>
      <w:r>
        <w:t xml:space="preserve">. Registro Oficial.</w:t>
      </w:r>
    </w:p>
    <w:bookmarkEnd w:id="18"/>
    <w:bookmarkStart w:id="19" w:name="ref-reformaCOOPFIP2026"/>
    <w:p>
      <w:pPr>
        <w:pStyle w:val="Bibliography"/>
      </w:pPr>
      <w:r>
        <w:t xml:space="preserve">Presidencia de la República del Ecuador. (2026).</w:t>
      </w:r>
      <w:r>
        <w:t xml:space="preserve"> </w:t>
      </w:r>
      <w:r>
        <w:rPr>
          <w:i/>
          <w:iCs/>
        </w:rPr>
        <w:t xml:space="preserve">Decreto ejecutivo no. 287: Reforma al reglamento del código orgánico de planificación y finanzas públicas</w:t>
      </w:r>
      <w:r>
        <w:t xml:space="preserve">. Registro Oficial.</w:t>
      </w:r>
    </w:p>
    <w:bookmarkEnd w:id="19"/>
    <w:bookmarkStart w:id="21" w:name="ref-primicias2026crisis"/>
    <w:p>
      <w:pPr>
        <w:pStyle w:val="Bibliography"/>
      </w:pPr>
      <w:r>
        <w:t xml:space="preserve">Primicias, R. (2026). Ecuador entra en una nueva fase de su crisis eléctrica con menos agua y más dependencia del diésel.</w:t>
      </w:r>
      <w:r>
        <w:t xml:space="preserve"> </w:t>
      </w:r>
      <w:r>
        <w:rPr>
          <w:i/>
          <w:iCs/>
        </w:rPr>
        <w:t xml:space="preserve">Primicias.ec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https://www.primicias.ec/revistagestion/analisis/ecuador-entra-nueva-fase-crisis-electrica-agua-dependencia-diesel-119406/</w:t>
        </w:r>
      </w:hyperlink>
    </w:p>
    <w:bookmarkEnd w:id="21"/>
    <w:bookmarkStart w:id="23" w:name="ref-manualSIPeIP2025"/>
    <w:p>
      <w:pPr>
        <w:pStyle w:val="Bibliography"/>
      </w:pPr>
      <w:r>
        <w:t xml:space="preserve">Secretaría Nacional de Planificación. (2025).</w:t>
      </w:r>
      <w:r>
        <w:t xml:space="preserve"> </w:t>
      </w:r>
      <w:r>
        <w:rPr>
          <w:i/>
          <w:iCs/>
        </w:rPr>
        <w:t xml:space="preserve">Manual de usuario del sistema integrado de planificación e inversión pública (SIPeIP)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https://planificacion.gob.ec</w:t>
        </w:r>
      </w:hyperlink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biblioteca.defensoria.gob.ec" TargetMode="External" /><Relationship Type="http://schemas.openxmlformats.org/officeDocument/2006/relationships/hyperlink" Id="rId22" Target="https://planificacion.gob.ec" TargetMode="External" /><Relationship Type="http://schemas.openxmlformats.org/officeDocument/2006/relationships/hyperlink" Id="rId20" Target="https://www.primicias.ec/revistagestion/analisis/ecuador-entra-nueva-fase-crisis-electrica-agua-dependencia-diesel-11940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biblioteca.defensoria.gob.ec" TargetMode="External" /><Relationship Type="http://schemas.openxmlformats.org/officeDocument/2006/relationships/hyperlink" Id="rId22" Target="https://planificacion.gob.ec" TargetMode="External" /><Relationship Type="http://schemas.openxmlformats.org/officeDocument/2006/relationships/hyperlink" Id="rId20" Target="https://www.primicias.ec/revistagestion/analisis/ecuador-entra-nueva-fase-crisis-electrica-agua-dependencia-diesel-11940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1: Marco Normativo y Análisis de Factores de Bienestar</dc:title>
  <dc:creator>Erick Fabricio Condoy Seraquive</dc:creator>
  <cp:keywords/>
  <dcterms:created xsi:type="dcterms:W3CDTF">2026-04-19T02:52:10Z</dcterms:created>
  <dcterms:modified xsi:type="dcterms:W3CDTF">2026-04-19T02:52:10Z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date">
    <vt:lpwstr>2026-04-18</vt:lpwstr>
  </property>
  <property fmtid="{D5CDD505-2E9C-101B-9397-08002B2CF9AE}" pid="8" name="engines">
    <vt:lpwstr/>
  </property>
  <property fmtid="{D5CDD505-2E9C-101B-9397-08002B2CF9AE}" pid="9" name="faculty">
    <vt:lpwstr>Facultad Jurídica, Social y Administrativa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nstructor">
    <vt:lpwstr>Docente de la Materia</vt:lpwstr>
  </property>
  <property fmtid="{D5CDD505-2E9C-101B-9397-08002B2CF9AE}" pid="14" name="labels">
    <vt:lpwstr/>
  </property>
  <property fmtid="{D5CDD505-2E9C-101B-9397-08002B2CF9AE}" pid="15" name="school">
    <vt:lpwstr>Carrera de Economía</vt:lpwstr>
  </property>
  <property fmtid="{D5CDD505-2E9C-101B-9397-08002B2CF9AE}" pid="16" name="subtitle">
    <vt:lpwstr>Planificación y Gestión de Proyectos de Inversión Pública</vt:lpwstr>
  </property>
  <property fmtid="{D5CDD505-2E9C-101B-9397-08002B2CF9AE}" pid="17" name="toc-title">
    <vt:lpwstr>Table of contents</vt:lpwstr>
  </property>
  <property fmtid="{D5CDD505-2E9C-101B-9397-08002B2CF9AE}" pid="18" name="university">
    <vt:lpwstr>Universidad Nacional de Loja</vt:lpwstr>
  </property>
</Properties>
</file>