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1F5D4" w14:textId="31DAC909" w:rsidR="00627222" w:rsidRDefault="00627222">
      <w:r>
        <w:rPr>
          <w:noProof/>
        </w:rPr>
        <w:drawing>
          <wp:anchor distT="0" distB="0" distL="114300" distR="114300" simplePos="0" relativeHeight="251659264" behindDoc="0" locked="0" layoutInCell="1" allowOverlap="1" wp14:anchorId="69D16A71" wp14:editId="57A3615B">
            <wp:simplePos x="0" y="0"/>
            <wp:positionH relativeFrom="margin">
              <wp:align>center</wp:align>
            </wp:positionH>
            <wp:positionV relativeFrom="margin">
              <wp:align>center</wp:align>
            </wp:positionV>
            <wp:extent cx="7574280" cy="10719435"/>
            <wp:effectExtent l="0" t="0" r="762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74280" cy="10719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5F241B" w14:textId="77BC6B0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DATOS INICIALES DEL PROYECTO</w:t>
      </w:r>
    </w:p>
    <w:p w14:paraId="1263740B" w14:textId="190D0C04" w:rsidR="00627222" w:rsidRDefault="00627222" w:rsidP="00FD3B9C">
      <w:pPr>
        <w:pStyle w:val="Prrafodelista"/>
        <w:numPr>
          <w:ilvl w:val="1"/>
          <w:numId w:val="1"/>
        </w:numPr>
        <w:spacing w:after="0" w:line="360" w:lineRule="auto"/>
        <w:jc w:val="both"/>
        <w:rPr>
          <w:rFonts w:ascii="Times New Roman" w:hAnsi="Times New Roman" w:cs="Times New Roman"/>
          <w:b/>
          <w:bCs/>
          <w:sz w:val="24"/>
          <w:szCs w:val="24"/>
        </w:rPr>
      </w:pPr>
      <w:r w:rsidRPr="00627222">
        <w:rPr>
          <w:rFonts w:ascii="Times New Roman" w:hAnsi="Times New Roman" w:cs="Times New Roman"/>
          <w:b/>
          <w:bCs/>
          <w:sz w:val="24"/>
          <w:szCs w:val="24"/>
        </w:rPr>
        <w:t>Tipo de solicitud de dictamen</w:t>
      </w:r>
    </w:p>
    <w:p w14:paraId="2492C361" w14:textId="69224BC2"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El presente proyecto corresponde a un dictamen de prioridad, debido a que se financiará con el Presupuesto General del Estado.</w:t>
      </w:r>
    </w:p>
    <w:p w14:paraId="1474FA36" w14:textId="178E33FC"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Nombre Proyecto</w:t>
      </w:r>
    </w:p>
    <w:p w14:paraId="456D1BB2" w14:textId="646D8F3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 xml:space="preserve">Proyecto de factibilidad para el mejoramiento del sistema de agua potable en el barrio </w:t>
      </w:r>
      <w:proofErr w:type="spellStart"/>
      <w:r w:rsidRPr="009E2AEF">
        <w:rPr>
          <w:rFonts w:ascii="Times New Roman" w:hAnsi="Times New Roman" w:cs="Times New Roman"/>
          <w:sz w:val="24"/>
          <w:szCs w:val="24"/>
        </w:rPr>
        <w:t>Carigán</w:t>
      </w:r>
      <w:proofErr w:type="spellEnd"/>
      <w:r w:rsidRPr="009E2AEF">
        <w:rPr>
          <w:rFonts w:ascii="Times New Roman" w:hAnsi="Times New Roman" w:cs="Times New Roman"/>
          <w:sz w:val="24"/>
          <w:szCs w:val="24"/>
        </w:rPr>
        <w:t xml:space="preserve">, parroquia </w:t>
      </w:r>
      <w:proofErr w:type="spellStart"/>
      <w:r w:rsidRPr="009E2AEF">
        <w:rPr>
          <w:rFonts w:ascii="Times New Roman" w:hAnsi="Times New Roman" w:cs="Times New Roman"/>
          <w:sz w:val="24"/>
          <w:szCs w:val="24"/>
        </w:rPr>
        <w:t>Carigán</w:t>
      </w:r>
      <w:proofErr w:type="spellEnd"/>
      <w:r w:rsidRPr="009E2AEF">
        <w:rPr>
          <w:rFonts w:ascii="Times New Roman" w:hAnsi="Times New Roman" w:cs="Times New Roman"/>
          <w:sz w:val="24"/>
          <w:szCs w:val="24"/>
        </w:rPr>
        <w:t xml:space="preserve"> del cantón Loja provincia de Loja.</w:t>
      </w:r>
    </w:p>
    <w:p w14:paraId="3E8B03A9" w14:textId="3B159BBC" w:rsidR="009E2AEF"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(UDAF)</w:t>
      </w:r>
    </w:p>
    <w:p w14:paraId="47044B8C" w14:textId="2BB1F55E" w:rsidR="009E2AEF" w:rsidRPr="009E2AEF" w:rsidRDefault="009E2AEF" w:rsidP="00FD3B9C">
      <w:pPr>
        <w:spacing w:after="0" w:line="360" w:lineRule="auto"/>
        <w:rPr>
          <w:rFonts w:ascii="Times New Roman" w:hAnsi="Times New Roman" w:cs="Times New Roman"/>
          <w:sz w:val="24"/>
          <w:szCs w:val="24"/>
        </w:rPr>
      </w:pPr>
      <w:r w:rsidRPr="009E2AEF">
        <w:rPr>
          <w:rFonts w:ascii="Times New Roman" w:hAnsi="Times New Roman" w:cs="Times New Roman"/>
          <w:sz w:val="24"/>
          <w:szCs w:val="24"/>
        </w:rPr>
        <w:t>Gobierno Autónomo Descentralizado Municipal de Loja</w:t>
      </w:r>
    </w:p>
    <w:p w14:paraId="1F732286" w14:textId="651ED6B0"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operativa desconcentrada (EOD)</w:t>
      </w:r>
    </w:p>
    <w:p w14:paraId="6B1EF8F9" w14:textId="3C3DBCF8" w:rsidR="009E2AEF" w:rsidRPr="009E2AEF" w:rsidRDefault="009E2AEF" w:rsidP="00FD3B9C">
      <w:pPr>
        <w:spacing w:after="0" w:line="360" w:lineRule="auto"/>
        <w:rPr>
          <w:rFonts w:ascii="Times New Roman" w:hAnsi="Times New Roman" w:cs="Times New Roman"/>
          <w:sz w:val="24"/>
          <w:szCs w:val="24"/>
        </w:rPr>
      </w:pPr>
      <w:r>
        <w:rPr>
          <w:rFonts w:ascii="Times New Roman" w:hAnsi="Times New Roman" w:cs="Times New Roman"/>
          <w:sz w:val="24"/>
          <w:szCs w:val="24"/>
        </w:rPr>
        <w:t>No aplica</w:t>
      </w:r>
    </w:p>
    <w:p w14:paraId="48CF6B6F" w14:textId="27874EE3"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Gabinete Sectorial</w:t>
      </w:r>
    </w:p>
    <w:p w14:paraId="0CEA174F" w14:textId="3E6AE96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De acuerdo con lo establecido en el Decreto Ejecutivo No. 91 del año 2024, los gabinetes sectoriales son espacios de coordinación entre distintas instituciones del Estado, creados para articular políticas públicas, planes, programas y proyectos según cada área estratégica del país. En este sentido, el presente proyecto de inversión pública se alinea con el Gabinete Sectorial de Recursos Naturales, Hábitat e Infraestructura, ya que se busca mejorar el acceso a servicios básicos esenciales, garantizar el abastecimiento de agua potable y fortalecer la infraestructura comunitaria, contribuyendo así al bienestar y calidad de vida de la población beneficiaria.</w:t>
      </w:r>
    </w:p>
    <w:p w14:paraId="3D922EFE" w14:textId="75953629"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Sector, subsector y tipo de inversión</w:t>
      </w:r>
    </w:p>
    <w:p w14:paraId="784BC26B" w14:textId="0A426C03" w:rsid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Conforme a lo que establece la guía para la presentación de programas y proyectos de inversión pública, en su Anexo 1, el sector al que pertenece el proyecto, se detalla en la Tabla 1.</w:t>
      </w:r>
    </w:p>
    <w:p w14:paraId="31365DFF" w14:textId="49AF57F3" w:rsidR="009E2AEF" w:rsidRPr="009E2AEF" w:rsidRDefault="009E2AEF" w:rsidP="009E2AEF">
      <w:pPr>
        <w:spacing w:after="0"/>
        <w:jc w:val="both"/>
        <w:rPr>
          <w:rFonts w:ascii="Times New Roman" w:hAnsi="Times New Roman" w:cs="Times New Roman"/>
          <w:b/>
          <w:bCs/>
          <w:sz w:val="24"/>
          <w:szCs w:val="24"/>
        </w:rPr>
      </w:pPr>
      <w:r w:rsidRPr="009E2AEF">
        <w:rPr>
          <w:rFonts w:ascii="Times New Roman" w:hAnsi="Times New Roman" w:cs="Times New Roman"/>
          <w:b/>
          <w:bCs/>
          <w:sz w:val="24"/>
          <w:szCs w:val="24"/>
        </w:rPr>
        <w:t>Tabla 1</w:t>
      </w:r>
    </w:p>
    <w:p w14:paraId="66CDD479" w14:textId="798AB952" w:rsidR="009E2AEF" w:rsidRDefault="009E2AEF" w:rsidP="009E2AEF">
      <w:pPr>
        <w:spacing w:after="0"/>
        <w:jc w:val="both"/>
        <w:rPr>
          <w:rFonts w:ascii="Times New Roman" w:hAnsi="Times New Roman" w:cs="Times New Roman"/>
          <w:i/>
          <w:iCs/>
          <w:sz w:val="24"/>
          <w:szCs w:val="24"/>
        </w:rPr>
      </w:pPr>
      <w:r>
        <w:rPr>
          <w:rFonts w:ascii="Times New Roman" w:hAnsi="Times New Roman" w:cs="Times New Roman"/>
          <w:i/>
          <w:iCs/>
          <w:sz w:val="24"/>
          <w:szCs w:val="24"/>
        </w:rPr>
        <w:t>Clasificación del proyecto según sector, subsector y código de inv</w:t>
      </w:r>
      <w:r w:rsidR="00A342BD">
        <w:rPr>
          <w:rFonts w:ascii="Times New Roman" w:hAnsi="Times New Roman" w:cs="Times New Roman"/>
          <w:i/>
          <w:iCs/>
          <w:sz w:val="24"/>
          <w:szCs w:val="24"/>
        </w:rPr>
        <w:t>er</w:t>
      </w:r>
      <w:r>
        <w:rPr>
          <w:rFonts w:ascii="Times New Roman" w:hAnsi="Times New Roman" w:cs="Times New Roman"/>
          <w:i/>
          <w:iCs/>
          <w:sz w:val="24"/>
          <w:szCs w:val="24"/>
        </w:rPr>
        <w:t>sión</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267"/>
        <w:gridCol w:w="2267"/>
        <w:gridCol w:w="2268"/>
        <w:gridCol w:w="2268"/>
      </w:tblGrid>
      <w:tr w:rsidR="009E2AEF" w:rsidRPr="009E2AEF" w14:paraId="7D1A1894" w14:textId="77777777" w:rsidTr="00AF4B40">
        <w:tc>
          <w:tcPr>
            <w:tcW w:w="2267" w:type="dxa"/>
            <w:tcBorders>
              <w:bottom w:val="single" w:sz="4" w:space="0" w:color="000000"/>
            </w:tcBorders>
          </w:tcPr>
          <w:p w14:paraId="279B86BE"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Macro sector</w:t>
            </w:r>
          </w:p>
        </w:tc>
        <w:tc>
          <w:tcPr>
            <w:tcW w:w="2267" w:type="dxa"/>
            <w:tcBorders>
              <w:bottom w:val="single" w:sz="4" w:space="0" w:color="000000"/>
            </w:tcBorders>
          </w:tcPr>
          <w:p w14:paraId="148CFB2C"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Sector</w:t>
            </w:r>
          </w:p>
        </w:tc>
        <w:tc>
          <w:tcPr>
            <w:tcW w:w="2268" w:type="dxa"/>
            <w:tcBorders>
              <w:bottom w:val="single" w:sz="4" w:space="0" w:color="000000"/>
            </w:tcBorders>
          </w:tcPr>
          <w:p w14:paraId="7F8C79C8"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2268" w:type="dxa"/>
            <w:tcBorders>
              <w:bottom w:val="single" w:sz="4" w:space="0" w:color="000000"/>
            </w:tcBorders>
          </w:tcPr>
          <w:p w14:paraId="4B28F3B4"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Subsector</w:t>
            </w:r>
          </w:p>
        </w:tc>
      </w:tr>
      <w:tr w:rsidR="009E2AEF" w:rsidRPr="009E2AEF" w14:paraId="5E603B93" w14:textId="77777777" w:rsidTr="00AF4B40">
        <w:tc>
          <w:tcPr>
            <w:tcW w:w="2267" w:type="dxa"/>
            <w:tcBorders>
              <w:top w:val="single" w:sz="4" w:space="0" w:color="000000"/>
              <w:bottom w:val="single" w:sz="4" w:space="0" w:color="000000"/>
            </w:tcBorders>
            <w:vAlign w:val="center"/>
          </w:tcPr>
          <w:p w14:paraId="6D2DDDF3"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Social</w:t>
            </w:r>
          </w:p>
        </w:tc>
        <w:tc>
          <w:tcPr>
            <w:tcW w:w="2267" w:type="dxa"/>
            <w:tcBorders>
              <w:top w:val="single" w:sz="4" w:space="0" w:color="000000"/>
              <w:bottom w:val="single" w:sz="4" w:space="0" w:color="000000"/>
            </w:tcBorders>
            <w:vAlign w:val="center"/>
          </w:tcPr>
          <w:p w14:paraId="13A89A9B"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Equipamiento urbano y vivienda</w:t>
            </w:r>
          </w:p>
        </w:tc>
        <w:tc>
          <w:tcPr>
            <w:tcW w:w="2268" w:type="dxa"/>
            <w:tcBorders>
              <w:top w:val="single" w:sz="4" w:space="0" w:color="000000"/>
              <w:bottom w:val="single" w:sz="4" w:space="0" w:color="000000"/>
            </w:tcBorders>
            <w:vAlign w:val="center"/>
          </w:tcPr>
          <w:p w14:paraId="463FF25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A00602</w:t>
            </w:r>
          </w:p>
        </w:tc>
        <w:tc>
          <w:tcPr>
            <w:tcW w:w="2268" w:type="dxa"/>
            <w:tcBorders>
              <w:top w:val="single" w:sz="4" w:space="0" w:color="000000"/>
              <w:bottom w:val="single" w:sz="4" w:space="0" w:color="000000"/>
            </w:tcBorders>
            <w:vAlign w:val="center"/>
          </w:tcPr>
          <w:p w14:paraId="1E41D39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Agua potable</w:t>
            </w:r>
          </w:p>
        </w:tc>
      </w:tr>
    </w:tbl>
    <w:p w14:paraId="097E6DAC" w14:textId="5666FEE9" w:rsidR="009E2AEF" w:rsidRDefault="009E2AEF" w:rsidP="00FD3B9C">
      <w:pPr>
        <w:spacing w:before="240" w:after="0" w:line="360" w:lineRule="auto"/>
        <w:rPr>
          <w:rFonts w:ascii="Times New Roman" w:hAnsi="Times New Roman" w:cs="Times New Roman"/>
          <w:sz w:val="24"/>
          <w:szCs w:val="24"/>
        </w:rPr>
      </w:pPr>
      <w:r w:rsidRPr="009E2AEF">
        <w:rPr>
          <w:rFonts w:ascii="Times New Roman" w:hAnsi="Times New Roman" w:cs="Times New Roman"/>
          <w:sz w:val="24"/>
          <w:szCs w:val="24"/>
        </w:rPr>
        <w:t>Asimismo, conforme a lo que establece la guía para la presentación de programas y proyectos de inversión pública, en su Anexo 2, la tipología de la intervención definidas y las actividades relacionadas al proyecto, se detalla en la Tabla 2.</w:t>
      </w:r>
    </w:p>
    <w:p w14:paraId="5FC1D170" w14:textId="77777777" w:rsidR="009E2AEF" w:rsidRPr="009E2AEF" w:rsidRDefault="009E2AEF" w:rsidP="009E2AEF">
      <w:pPr>
        <w:spacing w:after="0"/>
        <w:rPr>
          <w:rFonts w:ascii="Times New Roman" w:hAnsi="Times New Roman" w:cs="Times New Roman"/>
          <w:b/>
          <w:bCs/>
          <w:sz w:val="24"/>
          <w:szCs w:val="24"/>
        </w:rPr>
      </w:pPr>
      <w:r w:rsidRPr="009E2AEF">
        <w:rPr>
          <w:rFonts w:ascii="Times New Roman" w:hAnsi="Times New Roman" w:cs="Times New Roman"/>
          <w:b/>
          <w:bCs/>
          <w:sz w:val="24"/>
          <w:szCs w:val="24"/>
        </w:rPr>
        <w:t>Tabla 2</w:t>
      </w:r>
    </w:p>
    <w:p w14:paraId="484E1FC3" w14:textId="138FDB82" w:rsidR="009E2AEF" w:rsidRDefault="009E2AEF" w:rsidP="009E2AEF">
      <w:pPr>
        <w:spacing w:after="0"/>
        <w:rPr>
          <w:rFonts w:ascii="Times New Roman" w:hAnsi="Times New Roman" w:cs="Times New Roman"/>
          <w:i/>
          <w:iCs/>
          <w:sz w:val="24"/>
          <w:szCs w:val="24"/>
        </w:rPr>
      </w:pPr>
      <w:r w:rsidRPr="009E2AEF">
        <w:rPr>
          <w:rFonts w:ascii="Times New Roman" w:hAnsi="Times New Roman" w:cs="Times New Roman"/>
          <w:i/>
          <w:iCs/>
          <w:sz w:val="24"/>
          <w:szCs w:val="24"/>
        </w:rPr>
        <w:t>Tipología de la intervención y actividades relacionadas</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890"/>
        <w:gridCol w:w="1520"/>
        <w:gridCol w:w="5107"/>
        <w:gridCol w:w="1553"/>
      </w:tblGrid>
      <w:tr w:rsidR="009E2AEF" w:rsidRPr="009E2AEF" w14:paraId="16EB45C4" w14:textId="77777777" w:rsidTr="00A342BD">
        <w:tc>
          <w:tcPr>
            <w:tcW w:w="890" w:type="dxa"/>
            <w:tcBorders>
              <w:bottom w:val="single" w:sz="4" w:space="0" w:color="000000"/>
            </w:tcBorders>
            <w:vAlign w:val="center"/>
          </w:tcPr>
          <w:p w14:paraId="79C8F7C2"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1520" w:type="dxa"/>
            <w:tcBorders>
              <w:bottom w:val="single" w:sz="4" w:space="0" w:color="000000"/>
            </w:tcBorders>
            <w:vAlign w:val="center"/>
          </w:tcPr>
          <w:p w14:paraId="2DD5C630"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Tipología</w:t>
            </w:r>
          </w:p>
        </w:tc>
        <w:tc>
          <w:tcPr>
            <w:tcW w:w="5107" w:type="dxa"/>
            <w:tcBorders>
              <w:bottom w:val="single" w:sz="4" w:space="0" w:color="000000"/>
            </w:tcBorders>
            <w:vAlign w:val="center"/>
          </w:tcPr>
          <w:p w14:paraId="7D20EAE3"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Conceptualización</w:t>
            </w:r>
          </w:p>
        </w:tc>
        <w:tc>
          <w:tcPr>
            <w:tcW w:w="1553" w:type="dxa"/>
            <w:tcBorders>
              <w:bottom w:val="single" w:sz="4" w:space="0" w:color="000000"/>
            </w:tcBorders>
            <w:vAlign w:val="center"/>
          </w:tcPr>
          <w:p w14:paraId="72E0034B"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Actividades relacionadas</w:t>
            </w:r>
          </w:p>
        </w:tc>
      </w:tr>
      <w:tr w:rsidR="009E2AEF" w:rsidRPr="009E2AEF" w14:paraId="2DADDC1C" w14:textId="77777777" w:rsidTr="00A342BD">
        <w:tc>
          <w:tcPr>
            <w:tcW w:w="890" w:type="dxa"/>
            <w:tcBorders>
              <w:top w:val="single" w:sz="4" w:space="0" w:color="000000"/>
              <w:bottom w:val="single" w:sz="4" w:space="0" w:color="000000"/>
            </w:tcBorders>
            <w:vAlign w:val="center"/>
          </w:tcPr>
          <w:p w14:paraId="5AE02AD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T01</w:t>
            </w:r>
          </w:p>
        </w:tc>
        <w:tc>
          <w:tcPr>
            <w:tcW w:w="1520" w:type="dxa"/>
            <w:tcBorders>
              <w:top w:val="single" w:sz="4" w:space="0" w:color="000000"/>
              <w:bottom w:val="single" w:sz="4" w:space="0" w:color="000000"/>
            </w:tcBorders>
            <w:vAlign w:val="center"/>
          </w:tcPr>
          <w:p w14:paraId="64D98F77"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Infraestructura</w:t>
            </w:r>
          </w:p>
        </w:tc>
        <w:tc>
          <w:tcPr>
            <w:tcW w:w="5107" w:type="dxa"/>
            <w:tcBorders>
              <w:top w:val="single" w:sz="4" w:space="0" w:color="000000"/>
              <w:bottom w:val="single" w:sz="4" w:space="0" w:color="000000"/>
            </w:tcBorders>
            <w:vAlign w:val="center"/>
          </w:tcPr>
          <w:p w14:paraId="0961BC00" w14:textId="77777777" w:rsidR="009E2AEF" w:rsidRPr="009E2AEF" w:rsidRDefault="009E2AEF" w:rsidP="009E2AEF">
            <w:pPr>
              <w:spacing w:after="0" w:line="240" w:lineRule="auto"/>
              <w:jc w:val="both"/>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 xml:space="preserve">Son todos aquellos procesos encaminados a la adquisición, construcción, ampliación, mantenimiento, reparación, reposición, restauración de acervo físico que </w:t>
            </w:r>
            <w:r w:rsidRPr="009E2AEF">
              <w:rPr>
                <w:rFonts w:ascii="Times New Roman" w:eastAsia="Times New Roman" w:hAnsi="Times New Roman" w:cs="Times New Roman"/>
                <w:lang w:eastAsia="es-EC"/>
              </w:rPr>
              <w:lastRenderedPageBreak/>
              <w:t>permitirá la prestación de servicios. Generalmente relacionadas con: carreteras, ferrocarriles, puentes, represas, alcantarillado, vivienda, hospitales, centros educativos, suministro de energía y agua potable, etc.</w:t>
            </w:r>
          </w:p>
        </w:tc>
        <w:tc>
          <w:tcPr>
            <w:tcW w:w="1553" w:type="dxa"/>
            <w:tcBorders>
              <w:top w:val="single" w:sz="4" w:space="0" w:color="000000"/>
              <w:bottom w:val="single" w:sz="4" w:space="0" w:color="000000"/>
            </w:tcBorders>
            <w:vAlign w:val="center"/>
          </w:tcPr>
          <w:p w14:paraId="0575F178"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lastRenderedPageBreak/>
              <w:t>Reparación</w:t>
            </w:r>
          </w:p>
          <w:p w14:paraId="18BD352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Restauración</w:t>
            </w:r>
          </w:p>
        </w:tc>
      </w:tr>
    </w:tbl>
    <w:p w14:paraId="6AC6E0A6" w14:textId="68A8566D" w:rsidR="00627222" w:rsidRPr="009E2AEF" w:rsidRDefault="00627222" w:rsidP="00FD3B9C">
      <w:pPr>
        <w:pStyle w:val="Prrafodelista"/>
        <w:numPr>
          <w:ilvl w:val="1"/>
          <w:numId w:val="1"/>
        </w:numPr>
        <w:spacing w:before="240" w:after="0" w:line="360" w:lineRule="auto"/>
        <w:rPr>
          <w:rFonts w:ascii="Times New Roman" w:hAnsi="Times New Roman" w:cs="Times New Roman"/>
          <w:b/>
          <w:bCs/>
          <w:sz w:val="24"/>
          <w:szCs w:val="24"/>
        </w:rPr>
      </w:pPr>
      <w:r w:rsidRPr="009E2AEF">
        <w:rPr>
          <w:rFonts w:ascii="Times New Roman" w:hAnsi="Times New Roman" w:cs="Times New Roman"/>
          <w:b/>
          <w:bCs/>
          <w:sz w:val="24"/>
          <w:szCs w:val="24"/>
        </w:rPr>
        <w:t>Plazo de ejecución</w:t>
      </w:r>
      <w:r w:rsidR="00A342BD">
        <w:rPr>
          <w:rFonts w:ascii="Times New Roman" w:hAnsi="Times New Roman" w:cs="Times New Roman"/>
          <w:b/>
          <w:bCs/>
          <w:sz w:val="24"/>
          <w:szCs w:val="24"/>
        </w:rPr>
        <w:t xml:space="preserve"> </w:t>
      </w:r>
      <w:r w:rsidR="00A342BD" w:rsidRPr="00F10042">
        <w:rPr>
          <w:rFonts w:ascii="Times New Roman" w:eastAsia="Times New Roman" w:hAnsi="Times New Roman" w:cs="Times New Roman"/>
          <w:b/>
          <w:bCs/>
          <w:color w:val="000000"/>
          <w:sz w:val="24"/>
          <w:szCs w:val="24"/>
          <w:highlight w:val="yellow"/>
        </w:rPr>
        <w:t>(pendiente</w:t>
      </w:r>
      <w:r w:rsidR="00A342BD">
        <w:rPr>
          <w:rFonts w:ascii="Times New Roman" w:eastAsia="Times New Roman" w:hAnsi="Times New Roman" w:cs="Times New Roman"/>
          <w:b/>
          <w:bCs/>
          <w:color w:val="000000"/>
          <w:sz w:val="24"/>
          <w:szCs w:val="24"/>
          <w:highlight w:val="yellow"/>
        </w:rPr>
        <w:t>, al final</w:t>
      </w:r>
      <w:r w:rsidR="00A342BD" w:rsidRPr="00F10042">
        <w:rPr>
          <w:rFonts w:ascii="Times New Roman" w:eastAsia="Times New Roman" w:hAnsi="Times New Roman" w:cs="Times New Roman"/>
          <w:b/>
          <w:bCs/>
          <w:color w:val="000000"/>
          <w:sz w:val="24"/>
          <w:szCs w:val="24"/>
          <w:highlight w:val="yellow"/>
        </w:rPr>
        <w:t>)</w:t>
      </w:r>
    </w:p>
    <w:p w14:paraId="35BAEAF6" w14:textId="62FA4C88" w:rsidR="00627222" w:rsidRP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Monto total</w:t>
      </w:r>
      <w:r w:rsidR="00A342BD">
        <w:rPr>
          <w:rFonts w:ascii="Times New Roman" w:hAnsi="Times New Roman" w:cs="Times New Roman"/>
          <w:b/>
          <w:bCs/>
          <w:sz w:val="24"/>
          <w:szCs w:val="24"/>
        </w:rPr>
        <w:t xml:space="preserve"> </w:t>
      </w:r>
      <w:r w:rsidR="00A342BD" w:rsidRPr="00F10042">
        <w:rPr>
          <w:rFonts w:ascii="Times New Roman" w:eastAsia="Times New Roman" w:hAnsi="Times New Roman" w:cs="Times New Roman"/>
          <w:b/>
          <w:bCs/>
          <w:color w:val="000000"/>
          <w:sz w:val="24"/>
          <w:szCs w:val="24"/>
          <w:highlight w:val="yellow"/>
        </w:rPr>
        <w:t>(pendiente</w:t>
      </w:r>
      <w:r w:rsidR="00A342BD">
        <w:rPr>
          <w:rFonts w:ascii="Times New Roman" w:eastAsia="Times New Roman" w:hAnsi="Times New Roman" w:cs="Times New Roman"/>
          <w:b/>
          <w:bCs/>
          <w:color w:val="000000"/>
          <w:sz w:val="24"/>
          <w:szCs w:val="24"/>
          <w:highlight w:val="yellow"/>
        </w:rPr>
        <w:t>, al final</w:t>
      </w:r>
      <w:r w:rsidR="00A342BD" w:rsidRPr="00F10042">
        <w:rPr>
          <w:rFonts w:ascii="Times New Roman" w:eastAsia="Times New Roman" w:hAnsi="Times New Roman" w:cs="Times New Roman"/>
          <w:b/>
          <w:bCs/>
          <w:color w:val="000000"/>
          <w:sz w:val="24"/>
          <w:szCs w:val="24"/>
          <w:highlight w:val="yellow"/>
        </w:rPr>
        <w:t>)</w:t>
      </w:r>
    </w:p>
    <w:p w14:paraId="006F8160" w14:textId="1EC7438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t>DIAGNÓSTICO Y PROBLEMA</w:t>
      </w:r>
    </w:p>
    <w:p w14:paraId="5D76F8AC" w14:textId="1F2DBD47" w:rsidR="00627222" w:rsidRPr="00627222" w:rsidRDefault="00627222" w:rsidP="00FD3B9C">
      <w:pPr>
        <w:pStyle w:val="Prrafodelista"/>
        <w:numPr>
          <w:ilvl w:val="1"/>
          <w:numId w:val="1"/>
        </w:numPr>
        <w:spacing w:line="360" w:lineRule="auto"/>
        <w:jc w:val="both"/>
        <w:rPr>
          <w:rFonts w:ascii="Times New Roman" w:hAnsi="Times New Roman" w:cs="Times New Roman"/>
          <w:b/>
          <w:bCs/>
          <w:sz w:val="24"/>
          <w:szCs w:val="24"/>
        </w:rPr>
      </w:pPr>
      <w:r w:rsidRPr="00627222">
        <w:rPr>
          <w:rFonts w:ascii="Times New Roman" w:hAnsi="Times New Roman" w:cs="Times New Roman"/>
          <w:b/>
          <w:bCs/>
          <w:sz w:val="24"/>
          <w:szCs w:val="24"/>
        </w:rPr>
        <w:t xml:space="preserve">Descripción de la situación </w:t>
      </w:r>
      <w:r w:rsidR="00A342BD" w:rsidRPr="00A342BD">
        <w:rPr>
          <w:rFonts w:ascii="Times New Roman" w:hAnsi="Times New Roman" w:cs="Times New Roman"/>
          <w:b/>
          <w:bCs/>
          <w:sz w:val="24"/>
          <w:szCs w:val="24"/>
        </w:rPr>
        <w:t>actual del sector, área o zona de intervención y de influencia por el desarrollo del proyecto</w:t>
      </w:r>
    </w:p>
    <w:p w14:paraId="186B1338" w14:textId="377DA0F2" w:rsidR="003517DA" w:rsidRPr="00700B94" w:rsidRDefault="00700B94" w:rsidP="008F67F9">
      <w:pPr>
        <w:spacing w:line="360" w:lineRule="auto"/>
        <w:rPr>
          <w:rFonts w:ascii="Times New Roman" w:hAnsi="Times New Roman" w:cs="Times New Roman"/>
          <w:b/>
          <w:bCs/>
          <w:sz w:val="24"/>
          <w:szCs w:val="24"/>
        </w:rPr>
      </w:pPr>
      <w:r w:rsidRPr="00700B94">
        <w:rPr>
          <w:rFonts w:ascii="Times New Roman" w:hAnsi="Times New Roman" w:cs="Times New Roman"/>
          <w:b/>
          <w:bCs/>
          <w:sz w:val="24"/>
          <w:szCs w:val="24"/>
          <w:highlight w:val="yellow"/>
        </w:rPr>
        <w:t>Aquí debe ir información del cantón Loja</w:t>
      </w:r>
    </w:p>
    <w:p w14:paraId="67D3B9A4" w14:textId="1B02E3DA" w:rsidR="00A342BD" w:rsidRDefault="00A342BD" w:rsidP="00FD3B9C">
      <w:pPr>
        <w:pStyle w:val="Prrafodelista"/>
        <w:numPr>
          <w:ilvl w:val="1"/>
          <w:numId w:val="1"/>
        </w:numPr>
        <w:spacing w:after="0" w:line="360" w:lineRule="auto"/>
        <w:rPr>
          <w:rFonts w:ascii="Times New Roman" w:hAnsi="Times New Roman" w:cs="Times New Roman"/>
          <w:b/>
          <w:bCs/>
          <w:sz w:val="24"/>
          <w:szCs w:val="24"/>
        </w:rPr>
      </w:pPr>
      <w:r w:rsidRPr="00A342BD">
        <w:rPr>
          <w:rFonts w:ascii="Times New Roman" w:hAnsi="Times New Roman" w:cs="Times New Roman"/>
          <w:b/>
          <w:bCs/>
          <w:sz w:val="24"/>
          <w:szCs w:val="24"/>
        </w:rPr>
        <w:t>Identificación, descripción y diagnóstico del problema</w:t>
      </w:r>
    </w:p>
    <w:p w14:paraId="35979673"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A través de la aplicación de entrevistas a moradores del barrio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observación de campo y el análisis participativo realizado con actores locales, se identificó como problema principal el deterioro y las frecuentes roturas de la red de distribución de agua potable, situación que provoca interrupciones recurrentes del servicio y afecta de manera directa las condiciones de vida de la población.</w:t>
      </w:r>
    </w:p>
    <w:p w14:paraId="13738396"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Este problema se origina principalmente por la antigüedad y el deterioro de las tuberías existentes, muchas de las cuales han cumplido o superado su vida útil debido al uso continuo y a la presión constante del agua. Asimismo, los materiales deteriorados incrementan la probabilidad de fugas y roturas, reduciendo la eficiencia de la red de distribución.</w:t>
      </w:r>
    </w:p>
    <w:p w14:paraId="518BC1BF"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Otra de las causas identificadas corresponde a los daños ocasionados por lluvias intensas y condiciones climáticas adversas. Durante las temporadas de precipitación, la infraestructura se vuelve más vulnerable debido a los movimientos y la saturación del suelo, generando fisuras y afectaciones que incrementan la frecuencia de fallas en el sistema de abastecimiento.</w:t>
      </w:r>
    </w:p>
    <w:p w14:paraId="79949553"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De igual manera, se evidenció un insuficiente mantenimiento preventivo de la red de agua potable. La atención institucional se ha enfocado principalmente en acciones correctivas y emergentes cuando ocurre una avería, limitando la implementación de programas periódicos de mantenimiento que permitan anticipar y reducir los daños en la infraestructura.</w:t>
      </w:r>
    </w:p>
    <w:p w14:paraId="5431824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Adicionalmente, la limitada inversión y gestión institucional para la renovación de la infraestructura constituye una causa importante del problema. La falta de ejecución de proyectos de mejoramiento y la insuficiente asignación de recursos económicos han impedido la rehabilitación oportuna de los tramos deteriorados de la red de distribución.</w:t>
      </w:r>
    </w:p>
    <w:p w14:paraId="0A605BE1"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Por otra parte, se identificó una escasa coordinación y participación comunitaria en la gestión del problema, reflejada en la baja participación de los moradores en actividades de seguimiento </w:t>
      </w:r>
      <w:r w:rsidRPr="003517DA">
        <w:rPr>
          <w:rFonts w:ascii="Times New Roman" w:hAnsi="Times New Roman" w:cs="Times New Roman"/>
          <w:sz w:val="24"/>
          <w:szCs w:val="24"/>
        </w:rPr>
        <w:lastRenderedPageBreak/>
        <w:t>y en la limitada realización de reuniones comunitarias para coordinar acciones orientadas a mejorar el servicio.</w:t>
      </w:r>
    </w:p>
    <w:p w14:paraId="2DB1780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Como consecuencia directa de esta problemática, se producen interrupciones frecuentes del servicio de agua potable, generando dificultades para el aseo personal, la preparación de alimentos y la limpieza de los hogares. Además, la falta de presión o los cortes recurrentes obligan a las familias a almacenar agua en recipientes, situación que puede afectar la calidad del recurso y aumentar los riesgos sanitarios.</w:t>
      </w:r>
    </w:p>
    <w:p w14:paraId="0C570568"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Otro efecto importante es el incremento de los gastos familiares debido a la necesidad de adquirir agua mediante bidones o contratar servicios de abastecimiento por cisternas cuando las interrupciones son prolongadas. Esta situación representa una carga económica adicional, especialmente para los hogares con menores ingresos.</w:t>
      </w:r>
    </w:p>
    <w:p w14:paraId="01771E3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Asimismo, las deficiencias en el servicio generan riesgos de enfermedades y molestias en la salud, particularmente en niños, adultos mayores y grupos vulnerables, debido a las dificultades para mantener condiciones adecuadas de higiene y saneamiento.</w:t>
      </w:r>
    </w:p>
    <w:p w14:paraId="51CF80C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Finalmente, la persistencia de los problemas en la red de distribución ha provocado desconfianza e inconformidad de la población hacia las instituciones responsables del servicio, debido a la percepción de demoras en la atención de daños y a la ausencia de soluciones definitivas. En conjunto, estas afectaciones repercuten en la disminución de la calidad de vida de las familias del barrio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constituyéndose en una problemática prioritaria para la comunidad y para las autoridades locales.</w:t>
      </w:r>
    </w:p>
    <w:p w14:paraId="58EBF524" w14:textId="208CD0E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La problemática descrita fue validada mediante la participación de los habitantes del barrio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a través de entrevistas y análisis participativos. Los resultados obtenidos permitieron elaborar el árbol de problemas, presentado en el Anexo E, herramienta que facilitó la identificación y representación de las principales causas y efectos asociados al deterioro y las frecuentes roturas de la red de distribución de agua potable. A partir de este diagnóstico se construyó el árbol de objetivos, presentado en el Anexo F, en el cual se plantea como situación deseada el mejoramiento de la infraestructura y la garantía de un servicio continuo y de calidad para la población beneficiaria.</w:t>
      </w:r>
    </w:p>
    <w:p w14:paraId="79E97968" w14:textId="0BC7F8CF" w:rsidR="00627222"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Línea base del proyecto</w:t>
      </w:r>
    </w:p>
    <w:p w14:paraId="11A0C165" w14:textId="14EA7167" w:rsidR="00A342BD"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Análisis de oferta y demanda</w:t>
      </w:r>
    </w:p>
    <w:p w14:paraId="49C25979" w14:textId="635DAE9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Oferta</w:t>
      </w:r>
    </w:p>
    <w:p w14:paraId="569E927E"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oferta actual del servicio de agua potable del barrio </w:t>
      </w:r>
      <w:proofErr w:type="spellStart"/>
      <w:r w:rsidRPr="00027B54">
        <w:rPr>
          <w:rFonts w:ascii="Times New Roman" w:hAnsi="Times New Roman" w:cs="Times New Roman"/>
          <w:sz w:val="24"/>
          <w:szCs w:val="24"/>
        </w:rPr>
        <w:t>Carigán</w:t>
      </w:r>
      <w:proofErr w:type="spellEnd"/>
      <w:r w:rsidRPr="00027B54">
        <w:rPr>
          <w:rFonts w:ascii="Times New Roman" w:hAnsi="Times New Roman" w:cs="Times New Roman"/>
          <w:sz w:val="24"/>
          <w:szCs w:val="24"/>
        </w:rPr>
        <w:t xml:space="preserve"> es nula (Oferta = 0), ya que depende exclusivamente del GAD Municipal de Loja, por ser la entidad competente para proveer este servicio básico en el cantón. Es decir, no existen otros oferentes privados que </w:t>
      </w:r>
      <w:r w:rsidRPr="00027B54">
        <w:rPr>
          <w:rFonts w:ascii="Times New Roman" w:hAnsi="Times New Roman" w:cs="Times New Roman"/>
          <w:sz w:val="24"/>
          <w:szCs w:val="24"/>
        </w:rPr>
        <w:lastRenderedPageBreak/>
        <w:t>abastezcan formalmente a la población, ya que la provisión del agua potable corresponde al municipio.</w:t>
      </w:r>
    </w:p>
    <w:p w14:paraId="1BFF3B82" w14:textId="1C66D6D9"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Sin embargo, aunque el municipio es el único oferente del servicio, la infraestructura hídrica existente presenta limitaciones que afectan la continuidad, cobertura y calidad del abastecimiento. Por ello, la oferta actual no logra responder de manera eficiente a las situaciones de problemas que se genera en la población.</w:t>
      </w:r>
    </w:p>
    <w:p w14:paraId="0F828575" w14:textId="6907432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Demanda</w:t>
      </w:r>
    </w:p>
    <w:p w14:paraId="5DCEAC06" w14:textId="77777777" w:rsidR="00027B54" w:rsidRPr="00C74371" w:rsidRDefault="00027B54" w:rsidP="00FD3B9C">
      <w:pPr>
        <w:spacing w:after="0" w:line="360" w:lineRule="auto"/>
        <w:jc w:val="both"/>
        <w:rPr>
          <w:rFonts w:ascii="Times New Roman" w:hAnsi="Times New Roman" w:cs="Times New Roman"/>
          <w:b/>
          <w:bCs/>
          <w:i/>
          <w:iCs/>
          <w:sz w:val="24"/>
          <w:szCs w:val="24"/>
        </w:rPr>
      </w:pPr>
      <w:r w:rsidRPr="00C74371">
        <w:rPr>
          <w:rFonts w:ascii="Times New Roman" w:hAnsi="Times New Roman" w:cs="Times New Roman"/>
          <w:b/>
          <w:bCs/>
          <w:i/>
          <w:iCs/>
          <w:sz w:val="24"/>
          <w:szCs w:val="24"/>
        </w:rPr>
        <w:t>Población de referencia (Cantón Loja)</w:t>
      </w:r>
    </w:p>
    <w:p w14:paraId="566CE8B3" w14:textId="69942420" w:rsidR="006C7579" w:rsidRPr="00700B9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población de referencia corresponde al total de habitantes del cantón Loja, que según los resultados del Censo de Población y Vivienda 2022 asciende a 284.224 personas. Esta cifra permite ubicar el proyecto dentro del contexto cantonal y sirve como punto de partida para delimitar el área de influencia. </w:t>
      </w:r>
    </w:p>
    <w:p w14:paraId="0A181A21" w14:textId="3C3EF5EA"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 xml:space="preserve">Población demandante potencial (Parroquia </w:t>
      </w:r>
      <w:proofErr w:type="spellStart"/>
      <w:r w:rsidRPr="00027B54">
        <w:rPr>
          <w:rFonts w:ascii="Times New Roman" w:hAnsi="Times New Roman" w:cs="Times New Roman"/>
          <w:b/>
          <w:bCs/>
          <w:i/>
          <w:iCs/>
          <w:sz w:val="24"/>
          <w:szCs w:val="24"/>
        </w:rPr>
        <w:t>Carigán</w:t>
      </w:r>
      <w:proofErr w:type="spellEnd"/>
      <w:r w:rsidRPr="00027B54">
        <w:rPr>
          <w:rFonts w:ascii="Times New Roman" w:hAnsi="Times New Roman" w:cs="Times New Roman"/>
          <w:b/>
          <w:bCs/>
          <w:i/>
          <w:iCs/>
          <w:sz w:val="24"/>
          <w:szCs w:val="24"/>
        </w:rPr>
        <w:t>)</w:t>
      </w:r>
    </w:p>
    <w:p w14:paraId="59AF1EF5"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población demandante potencial está conformada por los habitantes de la parroquia </w:t>
      </w:r>
      <w:proofErr w:type="spellStart"/>
      <w:r w:rsidRPr="00027B54">
        <w:rPr>
          <w:rFonts w:ascii="Times New Roman" w:hAnsi="Times New Roman" w:cs="Times New Roman"/>
          <w:sz w:val="24"/>
          <w:szCs w:val="24"/>
        </w:rPr>
        <w:t>Carigán</w:t>
      </w:r>
      <w:proofErr w:type="spellEnd"/>
      <w:r w:rsidRPr="00027B54">
        <w:rPr>
          <w:rFonts w:ascii="Times New Roman" w:hAnsi="Times New Roman" w:cs="Times New Roman"/>
          <w:sz w:val="24"/>
          <w:szCs w:val="24"/>
        </w:rPr>
        <w:t>, debido a que esta es el área territorial donde se desarrolla la intervención. De acuerdo con la información del Plan de Desarrollo y Ordenamiento Territorial del GAD Municipal de Loja, esta población se estima en 26,852habitantes.</w:t>
      </w:r>
    </w:p>
    <w:p w14:paraId="2E4374F9"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 xml:space="preserve">Población demandante efectiva (Barrio </w:t>
      </w:r>
      <w:proofErr w:type="spellStart"/>
      <w:r w:rsidRPr="00027B54">
        <w:rPr>
          <w:rFonts w:ascii="Times New Roman" w:hAnsi="Times New Roman" w:cs="Times New Roman"/>
          <w:b/>
          <w:bCs/>
          <w:i/>
          <w:iCs/>
          <w:sz w:val="24"/>
          <w:szCs w:val="24"/>
        </w:rPr>
        <w:t>Carigán</w:t>
      </w:r>
      <w:proofErr w:type="spellEnd"/>
      <w:r w:rsidRPr="00027B54">
        <w:rPr>
          <w:rFonts w:ascii="Times New Roman" w:hAnsi="Times New Roman" w:cs="Times New Roman"/>
          <w:b/>
          <w:bCs/>
          <w:i/>
          <w:iCs/>
          <w:sz w:val="24"/>
          <w:szCs w:val="24"/>
        </w:rPr>
        <w:t>)</w:t>
      </w:r>
    </w:p>
    <w:p w14:paraId="6CEB315F"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población demandante efectiva corresponde a los habitantes del barrio </w:t>
      </w:r>
      <w:proofErr w:type="spellStart"/>
      <w:r w:rsidRPr="00027B54">
        <w:rPr>
          <w:rFonts w:ascii="Times New Roman" w:hAnsi="Times New Roman" w:cs="Times New Roman"/>
          <w:sz w:val="24"/>
          <w:szCs w:val="24"/>
        </w:rPr>
        <w:t>Carigán</w:t>
      </w:r>
      <w:proofErr w:type="spellEnd"/>
      <w:r w:rsidRPr="00027B54">
        <w:rPr>
          <w:rFonts w:ascii="Times New Roman" w:hAnsi="Times New Roman" w:cs="Times New Roman"/>
          <w:sz w:val="24"/>
          <w:szCs w:val="24"/>
        </w:rPr>
        <w:t xml:space="preserve"> que se verán beneficiados directamente con el mejoramiento del servicio de agua potable. En este caso, se estima un total aproximado de 6.500 habitantes, quienes representan la demanda real del proyecto, ya que actualmente presentan la necesidad directa del servicio y serán los principales beneficiarios de la intervención.</w:t>
      </w:r>
    </w:p>
    <w:p w14:paraId="15D1FD34"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 xml:space="preserve">Proyección de la demanda </w:t>
      </w:r>
    </w:p>
    <w:p w14:paraId="56A776F9" w14:textId="2B61D45D" w:rsid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Se estima la evolución futura de la población demandante aplicando una tasa de crecimiento anual de 1,44%, correspondiente a la ciudad de Loja según el PDOT del GAD Municipal de Loja, debido a que el proyecto se ubica en el sector urbano. Esta tasa permite proyectar la demanda futura del servicio de agua potable y evaluar si la infraestructura hídrica actual responde a las necesidades de la población beneficiaria. En este sentido, la Tabla </w:t>
      </w:r>
      <w:r w:rsidR="006C7579">
        <w:rPr>
          <w:rFonts w:ascii="Times New Roman" w:hAnsi="Times New Roman" w:cs="Times New Roman"/>
          <w:sz w:val="24"/>
          <w:szCs w:val="24"/>
        </w:rPr>
        <w:t>3</w:t>
      </w:r>
      <w:r w:rsidRPr="00027B54">
        <w:rPr>
          <w:rFonts w:ascii="Times New Roman" w:hAnsi="Times New Roman" w:cs="Times New Roman"/>
          <w:sz w:val="24"/>
          <w:szCs w:val="24"/>
        </w:rPr>
        <w:t xml:space="preserve"> presenta la proyección de la demanda efectiva y el déficit de infraestructura hídrica durante el horizonte de diseño de 20 años (GAD Municipal de Loja, 2024, p. 419).</w:t>
      </w:r>
    </w:p>
    <w:p w14:paraId="49EB1250" w14:textId="37D28FD9" w:rsidR="00027B54" w:rsidRDefault="00027B54" w:rsidP="00027B54">
      <w:pPr>
        <w:spacing w:after="0"/>
        <w:jc w:val="both"/>
        <w:rPr>
          <w:rFonts w:ascii="Times New Roman" w:hAnsi="Times New Roman" w:cs="Times New Roman"/>
          <w:b/>
          <w:bCs/>
          <w:sz w:val="24"/>
          <w:szCs w:val="24"/>
        </w:rPr>
      </w:pPr>
      <w:r w:rsidRPr="00C31D4E">
        <w:rPr>
          <w:rFonts w:ascii="Times New Roman" w:hAnsi="Times New Roman" w:cs="Times New Roman"/>
          <w:b/>
          <w:bCs/>
          <w:sz w:val="24"/>
          <w:szCs w:val="24"/>
        </w:rPr>
        <w:t xml:space="preserve">Tabla </w:t>
      </w:r>
      <w:r w:rsidR="006C7579">
        <w:rPr>
          <w:rFonts w:ascii="Times New Roman" w:hAnsi="Times New Roman" w:cs="Times New Roman"/>
          <w:b/>
          <w:bCs/>
          <w:sz w:val="24"/>
          <w:szCs w:val="24"/>
        </w:rPr>
        <w:t>3</w:t>
      </w:r>
    </w:p>
    <w:p w14:paraId="530577B3" w14:textId="7613E39A" w:rsidR="00C31D4E" w:rsidRPr="00C31D4E" w:rsidRDefault="00C31D4E" w:rsidP="00027B54">
      <w:pPr>
        <w:spacing w:after="0"/>
        <w:jc w:val="both"/>
        <w:rPr>
          <w:rFonts w:ascii="Times New Roman" w:hAnsi="Times New Roman" w:cs="Times New Roman"/>
          <w:i/>
          <w:iCs/>
          <w:sz w:val="24"/>
          <w:szCs w:val="24"/>
        </w:rPr>
      </w:pPr>
      <w:r>
        <w:rPr>
          <w:rFonts w:ascii="Times New Roman" w:hAnsi="Times New Roman" w:cs="Times New Roman"/>
          <w:i/>
          <w:iCs/>
          <w:sz w:val="24"/>
          <w:szCs w:val="24"/>
        </w:rPr>
        <w:t>Estimación del déficit o demanda insatisfecha</w:t>
      </w:r>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2083"/>
        <w:gridCol w:w="2081"/>
        <w:gridCol w:w="3054"/>
      </w:tblGrid>
      <w:tr w:rsidR="00027B54" w:rsidRPr="00027B54" w14:paraId="3E8DB84A" w14:textId="77777777" w:rsidTr="00027B54">
        <w:trPr>
          <w:trHeight w:val="113"/>
        </w:trPr>
        <w:tc>
          <w:tcPr>
            <w:tcW w:w="1001" w:type="pct"/>
            <w:tcBorders>
              <w:top w:val="single" w:sz="4" w:space="0" w:color="auto"/>
              <w:bottom w:val="single" w:sz="4" w:space="0" w:color="auto"/>
            </w:tcBorders>
            <w:vAlign w:val="center"/>
          </w:tcPr>
          <w:p w14:paraId="36B3BCB8"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Años</w:t>
            </w:r>
          </w:p>
        </w:tc>
        <w:tc>
          <w:tcPr>
            <w:tcW w:w="1154" w:type="pct"/>
            <w:tcBorders>
              <w:top w:val="single" w:sz="4" w:space="0" w:color="auto"/>
              <w:bottom w:val="single" w:sz="4" w:space="0" w:color="auto"/>
            </w:tcBorders>
            <w:vAlign w:val="center"/>
          </w:tcPr>
          <w:p w14:paraId="285BAA60"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efectiva (habitantes)</w:t>
            </w:r>
          </w:p>
        </w:tc>
        <w:tc>
          <w:tcPr>
            <w:tcW w:w="1153" w:type="pct"/>
            <w:tcBorders>
              <w:top w:val="single" w:sz="4" w:space="0" w:color="auto"/>
              <w:bottom w:val="single" w:sz="4" w:space="0" w:color="auto"/>
            </w:tcBorders>
            <w:vAlign w:val="center"/>
          </w:tcPr>
          <w:p w14:paraId="5FA3DBF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b/>
                <w:bCs/>
              </w:rPr>
              <w:t>Oferta</w:t>
            </w:r>
          </w:p>
        </w:tc>
        <w:tc>
          <w:tcPr>
            <w:tcW w:w="1692" w:type="pct"/>
            <w:tcBorders>
              <w:top w:val="single" w:sz="4" w:space="0" w:color="auto"/>
              <w:bottom w:val="single" w:sz="4" w:space="0" w:color="auto"/>
            </w:tcBorders>
            <w:vAlign w:val="center"/>
          </w:tcPr>
          <w:p w14:paraId="2C39C029"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insatisfecha</w:t>
            </w:r>
            <w:r w:rsidRPr="00027B54">
              <w:rPr>
                <w:rFonts w:ascii="Times New Roman" w:eastAsia="Times New Roman" w:hAnsi="Times New Roman" w:cs="Times New Roman"/>
                <w:b/>
                <w:bCs/>
              </w:rPr>
              <w:br/>
              <w:t>(habitantes)</w:t>
            </w:r>
          </w:p>
        </w:tc>
      </w:tr>
      <w:tr w:rsidR="00027B54" w:rsidRPr="00027B54" w14:paraId="6C151F18" w14:textId="77777777" w:rsidTr="00027B54">
        <w:trPr>
          <w:trHeight w:val="113"/>
        </w:trPr>
        <w:tc>
          <w:tcPr>
            <w:tcW w:w="1001" w:type="pct"/>
            <w:tcBorders>
              <w:top w:val="single" w:sz="4" w:space="0" w:color="auto"/>
            </w:tcBorders>
          </w:tcPr>
          <w:p w14:paraId="5DE3CF1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lastRenderedPageBreak/>
              <w:t>0</w:t>
            </w:r>
          </w:p>
        </w:tc>
        <w:tc>
          <w:tcPr>
            <w:tcW w:w="1154" w:type="pct"/>
            <w:tcBorders>
              <w:top w:val="single" w:sz="4" w:space="0" w:color="auto"/>
            </w:tcBorders>
          </w:tcPr>
          <w:p w14:paraId="078C87E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c>
          <w:tcPr>
            <w:tcW w:w="1153" w:type="pct"/>
            <w:tcBorders>
              <w:top w:val="single" w:sz="4" w:space="0" w:color="auto"/>
            </w:tcBorders>
          </w:tcPr>
          <w:p w14:paraId="3545E3D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top w:val="single" w:sz="4" w:space="0" w:color="auto"/>
            </w:tcBorders>
          </w:tcPr>
          <w:p w14:paraId="5542507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r>
      <w:tr w:rsidR="00027B54" w:rsidRPr="00027B54" w14:paraId="0E3A0FB5" w14:textId="77777777" w:rsidTr="00027B54">
        <w:trPr>
          <w:trHeight w:val="113"/>
        </w:trPr>
        <w:tc>
          <w:tcPr>
            <w:tcW w:w="1001" w:type="pct"/>
          </w:tcPr>
          <w:p w14:paraId="0156DB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w:t>
            </w:r>
          </w:p>
        </w:tc>
        <w:tc>
          <w:tcPr>
            <w:tcW w:w="1154" w:type="pct"/>
          </w:tcPr>
          <w:p w14:paraId="7C28BF8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c>
          <w:tcPr>
            <w:tcW w:w="1153" w:type="pct"/>
          </w:tcPr>
          <w:p w14:paraId="424805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017D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r>
      <w:tr w:rsidR="00027B54" w:rsidRPr="00027B54" w14:paraId="5C39F0B1" w14:textId="77777777" w:rsidTr="00027B54">
        <w:trPr>
          <w:trHeight w:val="113"/>
        </w:trPr>
        <w:tc>
          <w:tcPr>
            <w:tcW w:w="1001" w:type="pct"/>
          </w:tcPr>
          <w:p w14:paraId="647951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w:t>
            </w:r>
          </w:p>
        </w:tc>
        <w:tc>
          <w:tcPr>
            <w:tcW w:w="1154" w:type="pct"/>
          </w:tcPr>
          <w:p w14:paraId="1D42C33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c>
          <w:tcPr>
            <w:tcW w:w="1153" w:type="pct"/>
          </w:tcPr>
          <w:p w14:paraId="2546F35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DF2F1F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r>
      <w:tr w:rsidR="00027B54" w:rsidRPr="00027B54" w14:paraId="250AA8B3" w14:textId="77777777" w:rsidTr="00027B54">
        <w:trPr>
          <w:trHeight w:val="113"/>
        </w:trPr>
        <w:tc>
          <w:tcPr>
            <w:tcW w:w="1001" w:type="pct"/>
          </w:tcPr>
          <w:p w14:paraId="35D38D3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3</w:t>
            </w:r>
          </w:p>
        </w:tc>
        <w:tc>
          <w:tcPr>
            <w:tcW w:w="1154" w:type="pct"/>
          </w:tcPr>
          <w:p w14:paraId="0FDD6BC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c>
          <w:tcPr>
            <w:tcW w:w="1153" w:type="pct"/>
          </w:tcPr>
          <w:p w14:paraId="3C7D2B6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8F6F46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r>
      <w:tr w:rsidR="00027B54" w:rsidRPr="00027B54" w14:paraId="6E10EFB6" w14:textId="77777777" w:rsidTr="00027B54">
        <w:trPr>
          <w:trHeight w:val="113"/>
        </w:trPr>
        <w:tc>
          <w:tcPr>
            <w:tcW w:w="1001" w:type="pct"/>
          </w:tcPr>
          <w:p w14:paraId="24F6A4F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4</w:t>
            </w:r>
          </w:p>
        </w:tc>
        <w:tc>
          <w:tcPr>
            <w:tcW w:w="1154" w:type="pct"/>
          </w:tcPr>
          <w:p w14:paraId="252415B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c>
          <w:tcPr>
            <w:tcW w:w="1153" w:type="pct"/>
          </w:tcPr>
          <w:p w14:paraId="7462C4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13C8F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r>
      <w:tr w:rsidR="00027B54" w:rsidRPr="00027B54" w14:paraId="6495C0B1" w14:textId="77777777" w:rsidTr="00027B54">
        <w:trPr>
          <w:trHeight w:val="113"/>
        </w:trPr>
        <w:tc>
          <w:tcPr>
            <w:tcW w:w="1001" w:type="pct"/>
          </w:tcPr>
          <w:p w14:paraId="1AC906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5</w:t>
            </w:r>
          </w:p>
        </w:tc>
        <w:tc>
          <w:tcPr>
            <w:tcW w:w="1154" w:type="pct"/>
          </w:tcPr>
          <w:p w14:paraId="2D05F1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c>
          <w:tcPr>
            <w:tcW w:w="1153" w:type="pct"/>
          </w:tcPr>
          <w:p w14:paraId="580811A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89A5AA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r>
      <w:tr w:rsidR="00027B54" w:rsidRPr="00027B54" w14:paraId="3FDF1908" w14:textId="77777777" w:rsidTr="00027B54">
        <w:trPr>
          <w:trHeight w:val="113"/>
        </w:trPr>
        <w:tc>
          <w:tcPr>
            <w:tcW w:w="1001" w:type="pct"/>
          </w:tcPr>
          <w:p w14:paraId="600E2D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w:t>
            </w:r>
          </w:p>
        </w:tc>
        <w:tc>
          <w:tcPr>
            <w:tcW w:w="1154" w:type="pct"/>
          </w:tcPr>
          <w:p w14:paraId="1AEDB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c>
          <w:tcPr>
            <w:tcW w:w="1153" w:type="pct"/>
          </w:tcPr>
          <w:p w14:paraId="2DEB29E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31B31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r>
      <w:tr w:rsidR="00027B54" w:rsidRPr="00027B54" w14:paraId="0E0863D2" w14:textId="77777777" w:rsidTr="00027B54">
        <w:trPr>
          <w:trHeight w:val="113"/>
        </w:trPr>
        <w:tc>
          <w:tcPr>
            <w:tcW w:w="1001" w:type="pct"/>
          </w:tcPr>
          <w:p w14:paraId="6CD025D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w:t>
            </w:r>
          </w:p>
        </w:tc>
        <w:tc>
          <w:tcPr>
            <w:tcW w:w="1154" w:type="pct"/>
          </w:tcPr>
          <w:p w14:paraId="084986F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c>
          <w:tcPr>
            <w:tcW w:w="1153" w:type="pct"/>
          </w:tcPr>
          <w:p w14:paraId="07CACEE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A7037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r>
      <w:tr w:rsidR="00027B54" w:rsidRPr="00027B54" w14:paraId="1ACC3BE7" w14:textId="77777777" w:rsidTr="00027B54">
        <w:trPr>
          <w:trHeight w:val="113"/>
        </w:trPr>
        <w:tc>
          <w:tcPr>
            <w:tcW w:w="1001" w:type="pct"/>
          </w:tcPr>
          <w:p w14:paraId="72EA26E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w:t>
            </w:r>
          </w:p>
        </w:tc>
        <w:tc>
          <w:tcPr>
            <w:tcW w:w="1154" w:type="pct"/>
          </w:tcPr>
          <w:p w14:paraId="1BE2A3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c>
          <w:tcPr>
            <w:tcW w:w="1153" w:type="pct"/>
          </w:tcPr>
          <w:p w14:paraId="60B14C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DD247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r>
      <w:tr w:rsidR="00027B54" w:rsidRPr="00027B54" w14:paraId="03CA4974" w14:textId="77777777" w:rsidTr="00027B54">
        <w:trPr>
          <w:trHeight w:val="113"/>
        </w:trPr>
        <w:tc>
          <w:tcPr>
            <w:tcW w:w="1001" w:type="pct"/>
          </w:tcPr>
          <w:p w14:paraId="2822C48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9</w:t>
            </w:r>
          </w:p>
        </w:tc>
        <w:tc>
          <w:tcPr>
            <w:tcW w:w="1154" w:type="pct"/>
          </w:tcPr>
          <w:p w14:paraId="58D9CD4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c>
          <w:tcPr>
            <w:tcW w:w="1153" w:type="pct"/>
          </w:tcPr>
          <w:p w14:paraId="36A3ED2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9CE20B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r>
      <w:tr w:rsidR="00027B54" w:rsidRPr="00027B54" w14:paraId="2E14A470" w14:textId="77777777" w:rsidTr="00027B54">
        <w:trPr>
          <w:trHeight w:val="113"/>
        </w:trPr>
        <w:tc>
          <w:tcPr>
            <w:tcW w:w="1001" w:type="pct"/>
          </w:tcPr>
          <w:p w14:paraId="02709E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10</w:t>
            </w:r>
          </w:p>
        </w:tc>
        <w:tc>
          <w:tcPr>
            <w:tcW w:w="1154" w:type="pct"/>
          </w:tcPr>
          <w:p w14:paraId="35782A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c>
          <w:tcPr>
            <w:tcW w:w="1153" w:type="pct"/>
          </w:tcPr>
          <w:p w14:paraId="5E07477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84D71D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r>
      <w:tr w:rsidR="00027B54" w:rsidRPr="00027B54" w14:paraId="1F020304" w14:textId="77777777" w:rsidTr="00027B54">
        <w:trPr>
          <w:trHeight w:val="113"/>
        </w:trPr>
        <w:tc>
          <w:tcPr>
            <w:tcW w:w="1001" w:type="pct"/>
          </w:tcPr>
          <w:p w14:paraId="68F52F0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11</w:t>
            </w:r>
          </w:p>
        </w:tc>
        <w:tc>
          <w:tcPr>
            <w:tcW w:w="1154" w:type="pct"/>
          </w:tcPr>
          <w:p w14:paraId="211A37A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c>
          <w:tcPr>
            <w:tcW w:w="1153" w:type="pct"/>
          </w:tcPr>
          <w:p w14:paraId="05D5AAC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71066FF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r>
      <w:tr w:rsidR="00027B54" w:rsidRPr="00027B54" w14:paraId="570EF44B" w14:textId="77777777" w:rsidTr="00027B54">
        <w:trPr>
          <w:trHeight w:val="113"/>
        </w:trPr>
        <w:tc>
          <w:tcPr>
            <w:tcW w:w="1001" w:type="pct"/>
          </w:tcPr>
          <w:p w14:paraId="2B3A716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12</w:t>
            </w:r>
          </w:p>
        </w:tc>
        <w:tc>
          <w:tcPr>
            <w:tcW w:w="1154" w:type="pct"/>
          </w:tcPr>
          <w:p w14:paraId="7C1DDBD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c>
          <w:tcPr>
            <w:tcW w:w="1153" w:type="pct"/>
          </w:tcPr>
          <w:p w14:paraId="20882D1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33583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r>
      <w:tr w:rsidR="00027B54" w:rsidRPr="00027B54" w14:paraId="3EE0A944" w14:textId="77777777" w:rsidTr="00027B54">
        <w:trPr>
          <w:trHeight w:val="113"/>
        </w:trPr>
        <w:tc>
          <w:tcPr>
            <w:tcW w:w="1001" w:type="pct"/>
          </w:tcPr>
          <w:p w14:paraId="73BEB56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13</w:t>
            </w:r>
          </w:p>
        </w:tc>
        <w:tc>
          <w:tcPr>
            <w:tcW w:w="1154" w:type="pct"/>
          </w:tcPr>
          <w:p w14:paraId="7641967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c>
          <w:tcPr>
            <w:tcW w:w="1153" w:type="pct"/>
          </w:tcPr>
          <w:p w14:paraId="4D373F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B9003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r>
      <w:tr w:rsidR="00027B54" w:rsidRPr="00027B54" w14:paraId="1DBA244A" w14:textId="77777777" w:rsidTr="00027B54">
        <w:trPr>
          <w:trHeight w:val="113"/>
        </w:trPr>
        <w:tc>
          <w:tcPr>
            <w:tcW w:w="1001" w:type="pct"/>
          </w:tcPr>
          <w:p w14:paraId="4BCA7DC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14</w:t>
            </w:r>
          </w:p>
        </w:tc>
        <w:tc>
          <w:tcPr>
            <w:tcW w:w="1154" w:type="pct"/>
          </w:tcPr>
          <w:p w14:paraId="3248209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c>
          <w:tcPr>
            <w:tcW w:w="1153" w:type="pct"/>
          </w:tcPr>
          <w:p w14:paraId="1417573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E7A87D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r>
      <w:tr w:rsidR="00027B54" w:rsidRPr="00027B54" w14:paraId="658C15DF" w14:textId="77777777" w:rsidTr="00027B54">
        <w:trPr>
          <w:trHeight w:val="113"/>
        </w:trPr>
        <w:tc>
          <w:tcPr>
            <w:tcW w:w="1001" w:type="pct"/>
          </w:tcPr>
          <w:p w14:paraId="090EF4E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15</w:t>
            </w:r>
          </w:p>
        </w:tc>
        <w:tc>
          <w:tcPr>
            <w:tcW w:w="1154" w:type="pct"/>
          </w:tcPr>
          <w:p w14:paraId="1DD67A2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c>
          <w:tcPr>
            <w:tcW w:w="1153" w:type="pct"/>
          </w:tcPr>
          <w:p w14:paraId="4819903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17BDC0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r>
      <w:tr w:rsidR="00027B54" w:rsidRPr="00027B54" w14:paraId="66CAF2B2" w14:textId="77777777" w:rsidTr="00027B54">
        <w:trPr>
          <w:trHeight w:val="113"/>
        </w:trPr>
        <w:tc>
          <w:tcPr>
            <w:tcW w:w="1001" w:type="pct"/>
          </w:tcPr>
          <w:p w14:paraId="4A300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16</w:t>
            </w:r>
          </w:p>
        </w:tc>
        <w:tc>
          <w:tcPr>
            <w:tcW w:w="1154" w:type="pct"/>
          </w:tcPr>
          <w:p w14:paraId="30236DB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c>
          <w:tcPr>
            <w:tcW w:w="1153" w:type="pct"/>
          </w:tcPr>
          <w:p w14:paraId="5A3520C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3386D6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r>
      <w:tr w:rsidR="00027B54" w:rsidRPr="00027B54" w14:paraId="1FB52C00" w14:textId="77777777" w:rsidTr="00027B54">
        <w:trPr>
          <w:trHeight w:val="113"/>
        </w:trPr>
        <w:tc>
          <w:tcPr>
            <w:tcW w:w="1001" w:type="pct"/>
          </w:tcPr>
          <w:p w14:paraId="12CD796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17</w:t>
            </w:r>
          </w:p>
        </w:tc>
        <w:tc>
          <w:tcPr>
            <w:tcW w:w="1154" w:type="pct"/>
          </w:tcPr>
          <w:p w14:paraId="6FB7E7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c>
          <w:tcPr>
            <w:tcW w:w="1153" w:type="pct"/>
          </w:tcPr>
          <w:p w14:paraId="7D2B58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2E17E4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r>
      <w:tr w:rsidR="00027B54" w:rsidRPr="00027B54" w14:paraId="2E9C5965" w14:textId="77777777" w:rsidTr="00027B54">
        <w:trPr>
          <w:trHeight w:val="113"/>
        </w:trPr>
        <w:tc>
          <w:tcPr>
            <w:tcW w:w="1001" w:type="pct"/>
          </w:tcPr>
          <w:p w14:paraId="0465D22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18</w:t>
            </w:r>
          </w:p>
        </w:tc>
        <w:tc>
          <w:tcPr>
            <w:tcW w:w="1154" w:type="pct"/>
          </w:tcPr>
          <w:p w14:paraId="513CA81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c>
          <w:tcPr>
            <w:tcW w:w="1153" w:type="pct"/>
          </w:tcPr>
          <w:p w14:paraId="1F0A615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C45034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r>
      <w:tr w:rsidR="00027B54" w:rsidRPr="00027B54" w14:paraId="1C42AEAB" w14:textId="77777777" w:rsidTr="00027B54">
        <w:trPr>
          <w:trHeight w:val="113"/>
        </w:trPr>
        <w:tc>
          <w:tcPr>
            <w:tcW w:w="1001" w:type="pct"/>
          </w:tcPr>
          <w:p w14:paraId="3F1E48F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19</w:t>
            </w:r>
          </w:p>
        </w:tc>
        <w:tc>
          <w:tcPr>
            <w:tcW w:w="1154" w:type="pct"/>
          </w:tcPr>
          <w:p w14:paraId="07E2EE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c>
          <w:tcPr>
            <w:tcW w:w="1153" w:type="pct"/>
          </w:tcPr>
          <w:p w14:paraId="27F0D11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C935C2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r>
      <w:tr w:rsidR="00027B54" w:rsidRPr="00027B54" w14:paraId="774BD5E2" w14:textId="77777777" w:rsidTr="00027B54">
        <w:trPr>
          <w:trHeight w:val="113"/>
        </w:trPr>
        <w:tc>
          <w:tcPr>
            <w:tcW w:w="1001" w:type="pct"/>
            <w:tcBorders>
              <w:bottom w:val="single" w:sz="4" w:space="0" w:color="auto"/>
            </w:tcBorders>
          </w:tcPr>
          <w:p w14:paraId="4533849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20</w:t>
            </w:r>
          </w:p>
        </w:tc>
        <w:tc>
          <w:tcPr>
            <w:tcW w:w="1154" w:type="pct"/>
            <w:tcBorders>
              <w:bottom w:val="single" w:sz="4" w:space="0" w:color="auto"/>
            </w:tcBorders>
          </w:tcPr>
          <w:p w14:paraId="6471EC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c>
          <w:tcPr>
            <w:tcW w:w="1153" w:type="pct"/>
            <w:tcBorders>
              <w:bottom w:val="single" w:sz="4" w:space="0" w:color="auto"/>
            </w:tcBorders>
          </w:tcPr>
          <w:p w14:paraId="019AD4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bottom w:val="single" w:sz="4" w:space="0" w:color="auto"/>
            </w:tcBorders>
          </w:tcPr>
          <w:p w14:paraId="2BD0760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r>
    </w:tbl>
    <w:p w14:paraId="6D3E185D" w14:textId="1F36ACEC" w:rsidR="00C74371" w:rsidRPr="00C74371" w:rsidRDefault="00C74371" w:rsidP="00C74371">
      <w:pPr>
        <w:jc w:val="both"/>
        <w:rPr>
          <w:rFonts w:ascii="Times New Roman" w:hAnsi="Times New Roman" w:cs="Times New Roman"/>
          <w:sz w:val="20"/>
          <w:szCs w:val="20"/>
        </w:rPr>
      </w:pPr>
      <w:r>
        <w:rPr>
          <w:rFonts w:ascii="Times New Roman" w:hAnsi="Times New Roman" w:cs="Times New Roman"/>
          <w:i/>
          <w:iCs/>
          <w:sz w:val="20"/>
          <w:szCs w:val="20"/>
        </w:rPr>
        <w:t xml:space="preserve">Nota. </w:t>
      </w:r>
      <w:r w:rsidRPr="00C74371">
        <w:rPr>
          <w:rFonts w:ascii="Times New Roman" w:hAnsi="Times New Roman" w:cs="Times New Roman"/>
          <w:sz w:val="20"/>
          <w:szCs w:val="20"/>
        </w:rPr>
        <w:t>Los valores proyectados se estiman mediante la expresión con habitantes y una tasa anual de crecimiento poblacional r=0,0144. La demanda</w:t>
      </w:r>
      <w:r>
        <w:rPr>
          <w:rFonts w:ascii="Times New Roman" w:hAnsi="Times New Roman" w:cs="Times New Roman"/>
          <w:i/>
          <w:iCs/>
          <w:sz w:val="20"/>
          <w:szCs w:val="20"/>
        </w:rPr>
        <w:t xml:space="preserve"> </w:t>
      </w:r>
    </w:p>
    <w:p w14:paraId="0B82FF35" w14:textId="2FD1EEAE" w:rsidR="00A342BD" w:rsidRDefault="00A342BD" w:rsidP="00FD3B9C">
      <w:pPr>
        <w:pStyle w:val="Prrafodelista"/>
        <w:numPr>
          <w:ilvl w:val="1"/>
          <w:numId w:val="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Identificación y caracterización de la población objetivo</w:t>
      </w:r>
    </w:p>
    <w:p w14:paraId="7D497071" w14:textId="252AD0C7" w:rsidR="008F67F9" w:rsidRP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Descripción de la situación actual del sector, área o zona de intervención</w:t>
      </w:r>
    </w:p>
    <w:p w14:paraId="056BAACC" w14:textId="77777777" w:rsidR="008F67F9" w:rsidRPr="003517DA" w:rsidRDefault="008F67F9" w:rsidP="008F67F9">
      <w:pPr>
        <w:spacing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La parroquia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se define como una zona urbana. Su extensión de superficie es de aproximadamente 4.918,16 hectáreas (49,18 km²) conforme a los datos oficiales del municipio de Loja. En cuanto a sus límites, se encuentra situada al occidente de la ciudad de Loja, contigua al río Zamora y limita con las parroquias rurales</w:t>
      </w:r>
      <w:r>
        <w:rPr>
          <w:rFonts w:ascii="Times New Roman" w:hAnsi="Times New Roman" w:cs="Times New Roman"/>
          <w:sz w:val="24"/>
          <w:szCs w:val="24"/>
        </w:rPr>
        <w:t xml:space="preserve"> </w:t>
      </w:r>
      <w:r w:rsidRPr="003517DA">
        <w:rPr>
          <w:rFonts w:ascii="Times New Roman" w:hAnsi="Times New Roman" w:cs="Times New Roman"/>
          <w:sz w:val="24"/>
          <w:szCs w:val="24"/>
        </w:rPr>
        <w:t xml:space="preserve">Jimbilla, Santiago y </w:t>
      </w:r>
      <w:proofErr w:type="spellStart"/>
      <w:r w:rsidRPr="003517DA">
        <w:rPr>
          <w:rFonts w:ascii="Times New Roman" w:hAnsi="Times New Roman" w:cs="Times New Roman"/>
          <w:sz w:val="24"/>
          <w:szCs w:val="24"/>
        </w:rPr>
        <w:t>Taquil</w:t>
      </w:r>
      <w:proofErr w:type="spellEnd"/>
      <w:r w:rsidRPr="003517DA">
        <w:rPr>
          <w:rFonts w:ascii="Times New Roman" w:hAnsi="Times New Roman" w:cs="Times New Roman"/>
          <w:sz w:val="24"/>
          <w:szCs w:val="24"/>
        </w:rPr>
        <w:t xml:space="preserve"> según la ordenanza de delimitación parroquial del cantón.</w:t>
      </w:r>
    </w:p>
    <w:p w14:paraId="0E83FE72" w14:textId="6D136A5F" w:rsidR="008F67F9" w:rsidRP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Características físicas del territorio</w:t>
      </w:r>
    </w:p>
    <w:p w14:paraId="78C526F0" w14:textId="77777777" w:rsidR="008F67F9" w:rsidRDefault="008F67F9" w:rsidP="008F67F9">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Clima</w:t>
      </w:r>
    </w:p>
    <w:p w14:paraId="3E73C8FD" w14:textId="77777777" w:rsidR="008F67F9" w:rsidRPr="003517DA"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w:t>
      </w:r>
      <w:r w:rsidRPr="003517DA">
        <w:rPr>
          <w:rFonts w:ascii="Times New Roman" w:hAnsi="Times New Roman" w:cs="Times New Roman"/>
          <w:sz w:val="24"/>
          <w:szCs w:val="24"/>
        </w:rPr>
        <w:t xml:space="preserve"> clima </w:t>
      </w:r>
      <w:r>
        <w:rPr>
          <w:rFonts w:ascii="Times New Roman" w:hAnsi="Times New Roman" w:cs="Times New Roman"/>
          <w:sz w:val="24"/>
          <w:szCs w:val="24"/>
        </w:rPr>
        <w:t xml:space="preserve">de la parroquia </w:t>
      </w:r>
      <w:r w:rsidRPr="003517DA">
        <w:rPr>
          <w:rFonts w:ascii="Times New Roman" w:hAnsi="Times New Roman" w:cs="Times New Roman"/>
          <w:sz w:val="24"/>
          <w:szCs w:val="24"/>
        </w:rPr>
        <w:t xml:space="preserve">es de tipo </w:t>
      </w:r>
      <w:r>
        <w:rPr>
          <w:rFonts w:ascii="Times New Roman" w:hAnsi="Times New Roman" w:cs="Times New Roman"/>
          <w:sz w:val="24"/>
          <w:szCs w:val="24"/>
        </w:rPr>
        <w:t>e</w:t>
      </w:r>
      <w:r w:rsidRPr="003517DA">
        <w:rPr>
          <w:rFonts w:ascii="Times New Roman" w:hAnsi="Times New Roman" w:cs="Times New Roman"/>
          <w:sz w:val="24"/>
          <w:szCs w:val="24"/>
        </w:rPr>
        <w:t xml:space="preserve">cuatorial </w:t>
      </w:r>
      <w:r>
        <w:rPr>
          <w:rFonts w:ascii="Times New Roman" w:hAnsi="Times New Roman" w:cs="Times New Roman"/>
          <w:sz w:val="24"/>
          <w:szCs w:val="24"/>
        </w:rPr>
        <w:t>m</w:t>
      </w:r>
      <w:r w:rsidRPr="003517DA">
        <w:rPr>
          <w:rFonts w:ascii="Times New Roman" w:hAnsi="Times New Roman" w:cs="Times New Roman"/>
          <w:sz w:val="24"/>
          <w:szCs w:val="24"/>
        </w:rPr>
        <w:t xml:space="preserve">esotérmico </w:t>
      </w:r>
      <w:proofErr w:type="spellStart"/>
      <w:r>
        <w:rPr>
          <w:rFonts w:ascii="Times New Roman" w:hAnsi="Times New Roman" w:cs="Times New Roman"/>
          <w:sz w:val="24"/>
          <w:szCs w:val="24"/>
        </w:rPr>
        <w:t>s</w:t>
      </w:r>
      <w:r w:rsidRPr="003517DA">
        <w:rPr>
          <w:rFonts w:ascii="Times New Roman" w:hAnsi="Times New Roman" w:cs="Times New Roman"/>
          <w:sz w:val="24"/>
          <w:szCs w:val="24"/>
        </w:rPr>
        <w:t>emi-</w:t>
      </w:r>
      <w:r>
        <w:rPr>
          <w:rFonts w:ascii="Times New Roman" w:hAnsi="Times New Roman" w:cs="Times New Roman"/>
          <w:sz w:val="24"/>
          <w:szCs w:val="24"/>
        </w:rPr>
        <w:t>h</w:t>
      </w:r>
      <w:r w:rsidRPr="003517DA">
        <w:rPr>
          <w:rFonts w:ascii="Times New Roman" w:hAnsi="Times New Roman" w:cs="Times New Roman"/>
          <w:sz w:val="24"/>
          <w:szCs w:val="24"/>
        </w:rPr>
        <w:t>úmedo</w:t>
      </w:r>
      <w:proofErr w:type="spellEnd"/>
      <w:r w:rsidRPr="003517DA">
        <w:rPr>
          <w:rFonts w:ascii="Times New Roman" w:hAnsi="Times New Roman" w:cs="Times New Roman"/>
          <w:sz w:val="24"/>
          <w:szCs w:val="24"/>
        </w:rPr>
        <w:t>, con una temperatura media anual de 15 °C.</w:t>
      </w:r>
    </w:p>
    <w:p w14:paraId="7AF258DD" w14:textId="77777777" w:rsidR="008F67F9" w:rsidRDefault="008F67F9" w:rsidP="008F67F9">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Recursos hídricos</w:t>
      </w:r>
    </w:p>
    <w:p w14:paraId="3E481703" w14:textId="77777777" w:rsidR="008F67F9" w:rsidRDefault="008F67F9" w:rsidP="008F67F9">
      <w:pPr>
        <w:spacing w:after="0" w:line="360" w:lineRule="auto"/>
        <w:jc w:val="both"/>
        <w:rPr>
          <w:rFonts w:ascii="Times New Roman" w:hAnsi="Times New Roman" w:cs="Times New Roman"/>
          <w:sz w:val="24"/>
          <w:szCs w:val="24"/>
        </w:rPr>
      </w:pP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juega un papel esencial en la seguridad hídrica de Loja, ya que el Sistema de Tratamiento de Agua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es la fuente principal que abastece de agua potable de calidad a cerca del 70% de la población de la ciudad. A pesar de la importancia de esta infraestructura, el sistema es vulnerable a factores ambientales, registrándose daños en las tuberías de conducción causados por la desestabilización y erosión del suelo, un riesgo exacerbado por las intensas lluvias y el manejo inadecuado de los canales de riego en la zona.</w:t>
      </w:r>
    </w:p>
    <w:p w14:paraId="6EA7AA53"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t>Suelos y forma de ocupación</w:t>
      </w:r>
    </w:p>
    <w:p w14:paraId="313E22FF" w14:textId="77777777" w:rsidR="008F67F9"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lastRenderedPageBreak/>
        <w:t xml:space="preserve">La parroquia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es un área de transición y crecimiento, clasificada como zona en desarrollo y periurbana de Loja, con una superficie que incluye tanto un área urbana de 1.426,06 hectáreas como una Zona en Desarrollo de 4.918,16 hectáreas. La ocupación del suelo es diversa, abarcando usos de vivienda, comercio, administración y equipamiento, aunque la planificación territorial también identifica y protege extensas áreas como no urbanizables debido a sus condiciones geotécnicas y la pendiente del terreno, buscando ordenar las transformaciones socio espaciales propias de la periferia urbana.</w:t>
      </w:r>
    </w:p>
    <w:p w14:paraId="37D15965"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t>Recursos naturales no renovables</w:t>
      </w:r>
    </w:p>
    <w:p w14:paraId="755F397A" w14:textId="77777777" w:rsidR="008F67F9"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w:t>
      </w:r>
      <w:r w:rsidRPr="003517DA">
        <w:rPr>
          <w:rFonts w:ascii="Times New Roman" w:hAnsi="Times New Roman" w:cs="Times New Roman"/>
          <w:sz w:val="24"/>
          <w:szCs w:val="24"/>
        </w:rPr>
        <w:t xml:space="preserve"> principal preocupación ambiental reside en el riesgo de contaminación de los recursos hídricos por escorrentías agrícolas con químicos y desechos de actividades como la minería. Si bien la parroquia no destaca por recursos no renovables, el cantón sí posee un importante potencial para la explotación de recursos energéticos renovables, como la energía solar y eólica.</w:t>
      </w:r>
    </w:p>
    <w:p w14:paraId="612CE997" w14:textId="77777777" w:rsidR="008F67F9" w:rsidRDefault="008F67F9" w:rsidP="008F67F9">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white"/>
        </w:rPr>
        <w:t>Amenazas y riesgos naturales</w:t>
      </w:r>
    </w:p>
    <w:p w14:paraId="130A31D5" w14:textId="77777777" w:rsidR="008F67F9" w:rsidRPr="003517DA" w:rsidRDefault="008F67F9" w:rsidP="008F67F9">
      <w:pPr>
        <w:spacing w:line="360" w:lineRule="auto"/>
        <w:jc w:val="both"/>
        <w:rPr>
          <w:rFonts w:ascii="Times New Roman" w:hAnsi="Times New Roman" w:cs="Times New Roman"/>
          <w:sz w:val="24"/>
          <w:szCs w:val="24"/>
        </w:rPr>
      </w:pP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se encuentra en una zona de Loja con notable vulnerabilidad a riesgos de origen natural, principalmente movimientos en masa y deslizamientos debido a las características de sus suelos y topografía, lo que ya ha comprometido su infraestructura crítica de agua. Adicionalmente, la proximidad al casco urbano la expone a riesgos de origen antrópico como la contaminación del aire (partículas PM10) y posibles emergencias relacionadas con la ubicación de instalaciones que manejan productos químicos y combustibles peligrosos.</w:t>
      </w:r>
    </w:p>
    <w:p w14:paraId="0926620B" w14:textId="77777777" w:rsid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Condiciones económicas del territorio</w:t>
      </w:r>
    </w:p>
    <w:p w14:paraId="208BF32D" w14:textId="77777777" w:rsidR="008F67F9" w:rsidRPr="003517DA" w:rsidRDefault="008F67F9" w:rsidP="008F67F9">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Principales actividades económicas</w:t>
      </w:r>
    </w:p>
    <w:p w14:paraId="33FCBB26"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La parroquia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integrada a la Zona 4 de planificación de la ciudad de Loja, se caracteriza por una economía fundamentalmente urbana, donde predominan el comercio y los servicios. La mayor parte de la Población Económicamente Activa se desempeña en el sector terciario, lo que evidencia su rol como área de soporte económico del cantón.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participa activamente en la red de comercialización local mediante ferias barriales y cuenta con el Mercado Nueva Granada, un punto estratégico de intercambio de productos agropecuarios que provienen tanto de la parroquia como de otros sectores de Loja.</w:t>
      </w:r>
    </w:p>
    <w:p w14:paraId="01A46452"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A pesar de su creciente urbanización, en </w:t>
      </w:r>
      <w:proofErr w:type="spellStart"/>
      <w:r w:rsidRPr="003517DA">
        <w:rPr>
          <w:rFonts w:ascii="Times New Roman" w:hAnsi="Times New Roman" w:cs="Times New Roman"/>
          <w:sz w:val="24"/>
          <w:szCs w:val="24"/>
        </w:rPr>
        <w:t>Carigán</w:t>
      </w:r>
      <w:proofErr w:type="spellEnd"/>
      <w:r w:rsidRPr="003517DA">
        <w:rPr>
          <w:rFonts w:ascii="Times New Roman" w:hAnsi="Times New Roman" w:cs="Times New Roman"/>
          <w:sz w:val="24"/>
          <w:szCs w:val="24"/>
        </w:rPr>
        <w:t xml:space="preserve"> aún se mantienen actividades agropecuarias en zonas periféricas, inscritas en la lógica de la Agricultura Familiar Campesina. En estos espacios se cultivan hortalizas y granos como maíz y fréjol, además de la producción de leche y carne. Sin embargo, su participación en el uso del suelo es reducida y enfrenta dificultades logísticas, como la circulación de ganado en áreas verdes.</w:t>
      </w:r>
    </w:p>
    <w:p w14:paraId="1AA94428"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lastRenderedPageBreak/>
        <w:t>La parroquia también registra una pequeña concesión minera y cuenta con una limitada oferta turística, destacándose un hostal con capacidad para atender visitantes. No obstante, la economía local presenta desafíos importantes, entre ellos la falta de capacitación productiva y el bajo conocimiento de la normativa municipal que promueve el emprendimiento. Asimismo, se requiere fortalecer la infraestructura productiva, especialmente la vialidad en barrios periféricos, lo que permitiría mejorar la movilidad, la comercialización y el aprovechamiento de sus potencialidades.</w:t>
      </w:r>
    </w:p>
    <w:p w14:paraId="6AA86602" w14:textId="77777777" w:rsid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Caracterización de la infraestructura y servicios disponibles</w:t>
      </w:r>
    </w:p>
    <w:p w14:paraId="595E37E6"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Energía eléctrica</w:t>
      </w:r>
    </w:p>
    <w:p w14:paraId="0E935A8F"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 xml:space="preserve">La cobertura de energía eléctrica en la parroquia </w:t>
      </w:r>
      <w:proofErr w:type="spellStart"/>
      <w:r w:rsidRPr="00FD3B9C">
        <w:rPr>
          <w:rFonts w:ascii="Times New Roman" w:hAnsi="Times New Roman" w:cs="Times New Roman"/>
          <w:sz w:val="24"/>
          <w:szCs w:val="24"/>
        </w:rPr>
        <w:t>Carigán</w:t>
      </w:r>
      <w:proofErr w:type="spellEnd"/>
      <w:r w:rsidRPr="00FD3B9C">
        <w:rPr>
          <w:rFonts w:ascii="Times New Roman" w:hAnsi="Times New Roman" w:cs="Times New Roman"/>
          <w:sz w:val="24"/>
          <w:szCs w:val="24"/>
        </w:rPr>
        <w:t xml:space="preserve"> alcanza a los barrios formalmente urbanizados, aunque existen zonas periféricas donde el acceso regular depende de la expansión paulatina de la red municipal (Municipio de Loja, 2025). Se estima que aproximadamente el 90% de las viviendas formales cuentan con conexión eléctrica directa.</w:t>
      </w:r>
    </w:p>
    <w:p w14:paraId="4605D7EC"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Internet</w:t>
      </w:r>
    </w:p>
    <w:p w14:paraId="69394682"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 xml:space="preserve">Desde 2023, se facilita internet gratuito en espacios públicos y zonas urbanas de </w:t>
      </w:r>
      <w:proofErr w:type="spellStart"/>
      <w:r w:rsidRPr="00FD3B9C">
        <w:rPr>
          <w:rFonts w:ascii="Times New Roman" w:hAnsi="Times New Roman" w:cs="Times New Roman"/>
          <w:sz w:val="24"/>
          <w:szCs w:val="24"/>
        </w:rPr>
        <w:t>Carigán</w:t>
      </w:r>
      <w:proofErr w:type="spellEnd"/>
      <w:r w:rsidRPr="00FD3B9C">
        <w:rPr>
          <w:rFonts w:ascii="Times New Roman" w:hAnsi="Times New Roman" w:cs="Times New Roman"/>
          <w:sz w:val="24"/>
          <w:szCs w:val="24"/>
        </w:rPr>
        <w:t xml:space="preserve"> a través de convenios locales, aunque la conectividad domiciliaria varía y está sujeta al tipo de vivienda y regularización de los barrios. El 65% de la parroquia accede a servicios fijos o móviles con tecnología 3G–4G (Municipio de Loja, 2023; Ministerio de Telecomunicaciones, 2024).</w:t>
      </w:r>
    </w:p>
    <w:p w14:paraId="5552D7E5"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Agua potable</w:t>
      </w:r>
    </w:p>
    <w:p w14:paraId="663150E5"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 xml:space="preserve">La Planta de Tratamiento de Agua Potable de </w:t>
      </w:r>
      <w:proofErr w:type="spellStart"/>
      <w:r w:rsidRPr="00FD3B9C">
        <w:rPr>
          <w:rFonts w:ascii="Times New Roman" w:hAnsi="Times New Roman" w:cs="Times New Roman"/>
          <w:sz w:val="24"/>
          <w:szCs w:val="24"/>
        </w:rPr>
        <w:t>Carigán</w:t>
      </w:r>
      <w:proofErr w:type="spellEnd"/>
      <w:r w:rsidRPr="00FD3B9C">
        <w:rPr>
          <w:rFonts w:ascii="Times New Roman" w:hAnsi="Times New Roman" w:cs="Times New Roman"/>
          <w:sz w:val="24"/>
          <w:szCs w:val="24"/>
        </w:rPr>
        <w:t xml:space="preserve"> abastece alrededor del 70% de la ciudad de Loja, incluyendo su parroquia homónima. En </w:t>
      </w:r>
      <w:proofErr w:type="spellStart"/>
      <w:r w:rsidRPr="00FD3B9C">
        <w:rPr>
          <w:rFonts w:ascii="Times New Roman" w:hAnsi="Times New Roman" w:cs="Times New Roman"/>
          <w:sz w:val="24"/>
          <w:szCs w:val="24"/>
        </w:rPr>
        <w:t>Carigán</w:t>
      </w:r>
      <w:proofErr w:type="spellEnd"/>
      <w:r w:rsidRPr="00FD3B9C">
        <w:rPr>
          <w:rFonts w:ascii="Times New Roman" w:hAnsi="Times New Roman" w:cs="Times New Roman"/>
          <w:sz w:val="24"/>
          <w:szCs w:val="24"/>
        </w:rPr>
        <w:t>, el 80% de las viviendas reportan acceso regular a agua potable, aunque algunos sectores en desarrollo esperan ampliación de redes (Municipio de Loja, 2025; Crónica, 2025).</w:t>
      </w:r>
    </w:p>
    <w:p w14:paraId="0CF93FD4"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Alcantarillado</w:t>
      </w:r>
    </w:p>
    <w:p w14:paraId="51126B4D"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 xml:space="preserve">La cobertura de alcantarillado en </w:t>
      </w:r>
      <w:proofErr w:type="spellStart"/>
      <w:r w:rsidRPr="00FD3B9C">
        <w:rPr>
          <w:rFonts w:ascii="Times New Roman" w:hAnsi="Times New Roman" w:cs="Times New Roman"/>
          <w:sz w:val="24"/>
          <w:szCs w:val="24"/>
        </w:rPr>
        <w:t>Carigán</w:t>
      </w:r>
      <w:proofErr w:type="spellEnd"/>
      <w:r w:rsidRPr="00FD3B9C">
        <w:rPr>
          <w:rFonts w:ascii="Times New Roman" w:hAnsi="Times New Roman" w:cs="Times New Roman"/>
          <w:sz w:val="24"/>
          <w:szCs w:val="24"/>
        </w:rPr>
        <w:t xml:space="preserve"> supera el 70% en barrios formalizados, quedando zonas en desarrollo con sistemas individuales o en vías de integración a la red urbana (UMAPAL, 2025). La expansión de este servicio continúa como una prioridad local y municipal.</w:t>
      </w:r>
    </w:p>
    <w:p w14:paraId="4AAB472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Eliminación de basura</w:t>
      </w:r>
    </w:p>
    <w:p w14:paraId="27D5AFBC"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El servicio de recolección cubre barrios regularizados, con un 37,7% de los habitantes señalando problemas puntuales con la eliminación de residuos, principalmente en zonas de reciente urbanización (Eguiguren</w:t>
      </w:r>
      <w:r>
        <w:rPr>
          <w:rFonts w:ascii="Times New Roman" w:hAnsi="Times New Roman" w:cs="Times New Roman"/>
          <w:sz w:val="24"/>
          <w:szCs w:val="24"/>
        </w:rPr>
        <w:t xml:space="preserve"> </w:t>
      </w:r>
      <w:r w:rsidRPr="00FD3B9C">
        <w:rPr>
          <w:rFonts w:ascii="Times New Roman" w:hAnsi="Times New Roman" w:cs="Times New Roman"/>
          <w:sz w:val="24"/>
          <w:szCs w:val="24"/>
        </w:rPr>
        <w:t>et al., 2022). El municipio cuenta además con una escombrera para residuos de construcción y campañas de concienciación ambiental.</w:t>
      </w:r>
    </w:p>
    <w:p w14:paraId="4BC38FD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Tipo de vivienda</w:t>
      </w:r>
    </w:p>
    <w:p w14:paraId="2872356D"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 xml:space="preserve">En </w:t>
      </w:r>
      <w:proofErr w:type="spellStart"/>
      <w:r w:rsidRPr="00FD3B9C">
        <w:rPr>
          <w:rFonts w:ascii="Times New Roman" w:hAnsi="Times New Roman" w:cs="Times New Roman"/>
          <w:sz w:val="24"/>
          <w:szCs w:val="24"/>
        </w:rPr>
        <w:t>Carigán</w:t>
      </w:r>
      <w:proofErr w:type="spellEnd"/>
      <w:r w:rsidRPr="00FD3B9C">
        <w:rPr>
          <w:rFonts w:ascii="Times New Roman" w:hAnsi="Times New Roman" w:cs="Times New Roman"/>
          <w:sz w:val="24"/>
          <w:szCs w:val="24"/>
        </w:rPr>
        <w:t xml:space="preserve"> predominan las viviendas formales (60%) y un crecimiento de asentamientos de autoconstrucción en zonas nuevas. El 40% restante corresponde a viviendas en regularización, con diferencias claras en acceso a servicios básicos y condiciones estructurales (Eguiguren et al., 2022).</w:t>
      </w:r>
    </w:p>
    <w:p w14:paraId="75991783" w14:textId="26EDD426" w:rsidR="008F67F9" w:rsidRPr="008F67F9" w:rsidRDefault="008F67F9" w:rsidP="008F67F9">
      <w:pPr>
        <w:pStyle w:val="Prrafodelista"/>
        <w:numPr>
          <w:ilvl w:val="0"/>
          <w:numId w:val="38"/>
        </w:numPr>
        <w:spacing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Condiciones socioeconómicas</w:t>
      </w:r>
    </w:p>
    <w:p w14:paraId="0D280603"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Población total</w:t>
      </w:r>
    </w:p>
    <w:p w14:paraId="537B59A9"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 xml:space="preserve">El área de estudio, la parroquia urbana </w:t>
      </w:r>
      <w:proofErr w:type="spellStart"/>
      <w:r w:rsidRPr="00FD3B9C">
        <w:rPr>
          <w:rFonts w:ascii="Times New Roman" w:hAnsi="Times New Roman" w:cs="Times New Roman"/>
          <w:sz w:val="24"/>
          <w:szCs w:val="24"/>
        </w:rPr>
        <w:t>Carigán</w:t>
      </w:r>
      <w:proofErr w:type="spellEnd"/>
      <w:r w:rsidRPr="00FD3B9C">
        <w:rPr>
          <w:rFonts w:ascii="Times New Roman" w:hAnsi="Times New Roman" w:cs="Times New Roman"/>
          <w:sz w:val="24"/>
          <w:szCs w:val="24"/>
        </w:rPr>
        <w:t>, es una de las más pobladas del cantón. Para el año 2021, contaba con una población estimada de 26,852 habitantes (Vinculación UTPL, 2021). Esta parroquia, creada en 2014, está conformada por 51 barrios (Chuquimarca, 2024).</w:t>
      </w:r>
    </w:p>
    <w:p w14:paraId="3E2B878E" w14:textId="77777777" w:rsidR="008F67F9" w:rsidRPr="00FD3B9C" w:rsidRDefault="008F67F9" w:rsidP="008F67F9">
      <w:pPr>
        <w:spacing w:after="0" w:line="360" w:lineRule="auto"/>
        <w:rPr>
          <w:rFonts w:ascii="Times New Roman" w:hAnsi="Times New Roman" w:cs="Times New Roman"/>
          <w:b/>
          <w:bCs/>
          <w:sz w:val="24"/>
          <w:szCs w:val="24"/>
        </w:rPr>
      </w:pPr>
      <w:r w:rsidRPr="00FD3B9C">
        <w:rPr>
          <w:rFonts w:ascii="Times New Roman" w:hAnsi="Times New Roman" w:cs="Times New Roman"/>
          <w:b/>
          <w:bCs/>
          <w:sz w:val="24"/>
          <w:szCs w:val="24"/>
        </w:rPr>
        <w:t>Grupos de atención prioritaria</w:t>
      </w:r>
    </w:p>
    <w:p w14:paraId="26FC204A"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Las fuentes identifican una presencia significativa de adultos mayores en la parroquia. En 2021, se implementó un proyecto de atención municipal enfocado en la rehabilitación física y apoyo terapéutico para 40 adultos mayores del sector (GAD Municipal de Loja, 2021).</w:t>
      </w:r>
    </w:p>
    <w:p w14:paraId="316F7839"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Población (Área de Influencia)</w:t>
      </w:r>
    </w:p>
    <w:p w14:paraId="1C63E5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influencia directa, el barrio Sauces Norte, es un sector consolidado con más de tres décadas de creación y cuenta con la comunidad educativa de la Escuela de Educación Básica Pompilio Reinoso Jaramillo (Diario Crónica, 2023).</w:t>
      </w:r>
    </w:p>
    <w:p w14:paraId="3F5B80E2"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Educación (tasa de analfabetismo, años de escolaridad)</w:t>
      </w:r>
    </w:p>
    <w:p w14:paraId="346C24E9"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hay información disponible a nivel de barrio.</w:t>
      </w:r>
    </w:p>
    <w:p w14:paraId="33D0CB13"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Infraestructura (Área de Influencia)</w:t>
      </w:r>
    </w:p>
    <w:p w14:paraId="6C0B55DE"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 el barrio Sauces Norte (área de influencia) se identifica la Escuela de Educación Básica Pompilio Reinoso Jaramillo. Esta infraestructura educativa ha sido reportada con necesidades urgentes de intervención, incluyendo la falta de cubierta en el patio, 7 puertas para baterías sanitarias y el cambio de cubiertas (hojas de zinc) en las aulas (Diario Crónica, 2023).</w:t>
      </w:r>
    </w:p>
    <w:p w14:paraId="09EA07CF"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Acceso a Centros de Salud</w:t>
      </w:r>
    </w:p>
    <w:p w14:paraId="723A41E0"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El área de estudio cuenta con el Centro de Salud </w:t>
      </w:r>
      <w:proofErr w:type="spellStart"/>
      <w:r>
        <w:rPr>
          <w:rFonts w:ascii="Times New Roman" w:eastAsia="Times New Roman" w:hAnsi="Times New Roman" w:cs="Times New Roman"/>
          <w:sz w:val="24"/>
          <w:szCs w:val="24"/>
          <w:highlight w:val="white"/>
        </w:rPr>
        <w:t>Carigán</w:t>
      </w:r>
      <w:proofErr w:type="spellEnd"/>
      <w:r>
        <w:rPr>
          <w:rFonts w:ascii="Times New Roman" w:eastAsia="Times New Roman" w:hAnsi="Times New Roman" w:cs="Times New Roman"/>
          <w:sz w:val="24"/>
          <w:szCs w:val="24"/>
          <w:highlight w:val="white"/>
        </w:rPr>
        <w:t>, un establecimiento tipo Puesto de Salud perteneciente al Ministerio de Salud Pública (MSP) y bajo la Coordinación Zonal 7 (Ministerio de Salud Pública del Ecuador, 2025).</w:t>
      </w:r>
    </w:p>
    <w:p w14:paraId="3FFE18A0"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Condiciones de Salubridad (Infraestructura)</w:t>
      </w:r>
    </w:p>
    <w:p w14:paraId="2AA4F0DB" w14:textId="03BDF820" w:rsidR="008F67F9" w:rsidRP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 factor crítico que afecta la salud pública en la parroquia es el déficit en servicios básicos. Según declaraciones del presidente de </w:t>
      </w:r>
      <w:proofErr w:type="spellStart"/>
      <w:r>
        <w:rPr>
          <w:rFonts w:ascii="Times New Roman" w:eastAsia="Times New Roman" w:hAnsi="Times New Roman" w:cs="Times New Roman"/>
          <w:sz w:val="24"/>
          <w:szCs w:val="24"/>
          <w:highlight w:val="white"/>
        </w:rPr>
        <w:t>Carigán</w:t>
      </w:r>
      <w:proofErr w:type="spellEnd"/>
      <w:r>
        <w:rPr>
          <w:rFonts w:ascii="Times New Roman" w:eastAsia="Times New Roman" w:hAnsi="Times New Roman" w:cs="Times New Roman"/>
          <w:sz w:val="24"/>
          <w:szCs w:val="24"/>
          <w:highlight w:val="white"/>
        </w:rPr>
        <w:t xml:space="preserve">, solamente el 50% del barrio cuenta con servicios básicos, existiendo una carencia notable de alcantarillado y, en algunas zonas, de agua </w:t>
      </w:r>
      <w:r>
        <w:rPr>
          <w:rFonts w:ascii="Times New Roman" w:eastAsia="Times New Roman" w:hAnsi="Times New Roman" w:cs="Times New Roman"/>
          <w:sz w:val="24"/>
          <w:szCs w:val="24"/>
          <w:highlight w:val="white"/>
        </w:rPr>
        <w:lastRenderedPageBreak/>
        <w:t>potable (Diario Crónica, 2023). En el área de influencia (Sauces Norte), esta falta de infraestructura se agrava por las vías de tierra, que provocan polvo en verano y lodo en invierno (Diario Crónica, 2023), afectando la salud respiratoria y la movilidad.</w:t>
      </w:r>
    </w:p>
    <w:p w14:paraId="109802D2"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Principales Enfermedades/Síntomas</w:t>
      </w:r>
    </w:p>
    <w:p w14:paraId="32B0DF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 hay información disponible sobre las causas generales de morbilidad en la parroquia. Sin embargo, un estudio enfocado en pacientes con enfermedades crónicas en el Centro de Salud </w:t>
      </w:r>
      <w:proofErr w:type="spellStart"/>
      <w:r>
        <w:rPr>
          <w:rFonts w:ascii="Times New Roman" w:eastAsia="Times New Roman" w:hAnsi="Times New Roman" w:cs="Times New Roman"/>
          <w:sz w:val="24"/>
          <w:szCs w:val="24"/>
          <w:highlight w:val="white"/>
        </w:rPr>
        <w:t>Carigán</w:t>
      </w:r>
      <w:proofErr w:type="spellEnd"/>
      <w:r>
        <w:rPr>
          <w:rFonts w:ascii="Times New Roman" w:eastAsia="Times New Roman" w:hAnsi="Times New Roman" w:cs="Times New Roman"/>
          <w:sz w:val="24"/>
          <w:szCs w:val="24"/>
          <w:highlight w:val="white"/>
        </w:rPr>
        <w:t>, identificó una alta prevalencia de síntomas severos, incluyendo un 59% con sensación marcada de agotamiento, un 48% que se sintió deprimido y un 31% con dolor severo (Bonilla Sierra &amp; Espinosa Jaramillo, 2019).</w:t>
      </w:r>
    </w:p>
    <w:p w14:paraId="466E6D41"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Migración</w:t>
      </w:r>
    </w:p>
    <w:p w14:paraId="1562416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Según los resultados preliminares del Censo de Población y Vivienda 2022 del Instituto Nacional de Estadística y Censos (INEC), la migración sigue siendo un fenómeno relevante en Ecuador, con miles de personas que han emigrado en los últimos años, especialmente entre jóvenes de 15 a 29 años, en busca de mejores oportunidades laborales y educativas (INEC, 2025). A nivel nacional, los datos también reflejan tendencias de emigración e inmigración que afectan la composición demográfica y el mercado laboral del país, y que tienen implicaciones indirectas para zonas urbanas como la parroquia </w:t>
      </w:r>
      <w:proofErr w:type="spellStart"/>
      <w:r>
        <w:rPr>
          <w:rFonts w:ascii="Times New Roman" w:eastAsia="Times New Roman" w:hAnsi="Times New Roman" w:cs="Times New Roman"/>
          <w:sz w:val="24"/>
          <w:szCs w:val="24"/>
          <w:highlight w:val="white"/>
        </w:rPr>
        <w:t>Carigán</w:t>
      </w:r>
      <w:proofErr w:type="spellEnd"/>
      <w:r>
        <w:rPr>
          <w:rFonts w:ascii="Times New Roman" w:eastAsia="Times New Roman" w:hAnsi="Times New Roman" w:cs="Times New Roman"/>
          <w:sz w:val="24"/>
          <w:szCs w:val="24"/>
          <w:highlight w:val="white"/>
        </w:rPr>
        <w:t>, en el cantón Loja, aunque no existen cifras oficiales desagregadas por migración interna o externa específicamente para esa parroquia (INEC, 2025; INEC, 2022). Estas dinámicas migratorias ayudan a comprender parte de las condiciones sociodemográficas del área de estudio, en donde factores como la búsqueda de empleo formal o informal pueden influir en la estructura económica local.</w:t>
      </w:r>
    </w:p>
    <w:p w14:paraId="75734695"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Características Culturales</w:t>
      </w:r>
    </w:p>
    <w:p w14:paraId="6267B73D"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 parroquia </w:t>
      </w:r>
      <w:proofErr w:type="spellStart"/>
      <w:r>
        <w:rPr>
          <w:rFonts w:ascii="Times New Roman" w:eastAsia="Times New Roman" w:hAnsi="Times New Roman" w:cs="Times New Roman"/>
          <w:sz w:val="24"/>
          <w:szCs w:val="24"/>
          <w:highlight w:val="white"/>
        </w:rPr>
        <w:t>Carigán</w:t>
      </w:r>
      <w:proofErr w:type="spellEnd"/>
      <w:r>
        <w:rPr>
          <w:rFonts w:ascii="Times New Roman" w:eastAsia="Times New Roman" w:hAnsi="Times New Roman" w:cs="Times New Roman"/>
          <w:sz w:val="24"/>
          <w:szCs w:val="24"/>
          <w:highlight w:val="white"/>
        </w:rPr>
        <w:t xml:space="preserve"> demuestra una fuerte cohesión social y organización a través de sus 51 barrios. Esta organización se enfoca en "fomentar la amistad y la unión entre los barrios" con el objetivo de gestionar obras (Chuquimarca, 2024).</w:t>
      </w:r>
    </w:p>
    <w:p w14:paraId="3FED9BC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festividades de aniversario de la parroquia (10 de agosto) son un evento cultural central, que incluye actividades deportivas, una Santa Eucaristía, presentaciones de grupos de danza, artistas locales y la proclamación de reinas barriales (Chuquimarca, 2024).</w:t>
      </w:r>
    </w:p>
    <w:p w14:paraId="197D8AAB" w14:textId="77777777" w:rsidR="008F67F9" w:rsidRPr="00FD3B9C"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Culturalmente, la parroquia también participa en eventos cívicos de la ciudad, como la Posta de la </w:t>
      </w:r>
      <w:proofErr w:type="spellStart"/>
      <w:r>
        <w:rPr>
          <w:rFonts w:ascii="Times New Roman" w:eastAsia="Times New Roman" w:hAnsi="Times New Roman" w:cs="Times New Roman"/>
          <w:sz w:val="24"/>
          <w:szCs w:val="24"/>
          <w:highlight w:val="white"/>
        </w:rPr>
        <w:t>Lojanidad</w:t>
      </w:r>
      <w:proofErr w:type="spellEnd"/>
      <w:r>
        <w:rPr>
          <w:rFonts w:ascii="Times New Roman" w:eastAsia="Times New Roman" w:hAnsi="Times New Roman" w:cs="Times New Roman"/>
          <w:sz w:val="24"/>
          <w:szCs w:val="24"/>
          <w:highlight w:val="white"/>
        </w:rPr>
        <w:t xml:space="preserve"> (Diario Crónica, 2023). Algunos de sus barrios poseen una identidad productiva específica, como el barrio </w:t>
      </w:r>
      <w:proofErr w:type="spellStart"/>
      <w:r>
        <w:rPr>
          <w:rFonts w:ascii="Times New Roman" w:eastAsia="Times New Roman" w:hAnsi="Times New Roman" w:cs="Times New Roman"/>
          <w:sz w:val="24"/>
          <w:szCs w:val="24"/>
          <w:highlight w:val="white"/>
        </w:rPr>
        <w:t>Zalapa</w:t>
      </w:r>
      <w:proofErr w:type="spellEnd"/>
      <w:r>
        <w:rPr>
          <w:rFonts w:ascii="Times New Roman" w:eastAsia="Times New Roman" w:hAnsi="Times New Roman" w:cs="Times New Roman"/>
          <w:sz w:val="24"/>
          <w:szCs w:val="24"/>
          <w:highlight w:val="white"/>
        </w:rPr>
        <w:t>, conocido por la producción de queso y leche (Chuquimarca, 2024).</w:t>
      </w:r>
    </w:p>
    <w:p w14:paraId="4FBCED10" w14:textId="08C56C9B" w:rsidR="008F67F9" w:rsidRPr="008F67F9" w:rsidRDefault="008F67F9" w:rsidP="008F67F9">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Población objetivo del proyecto</w:t>
      </w:r>
    </w:p>
    <w:p w14:paraId="1D2C3BCE" w14:textId="77777777" w:rsidR="00BE2B9B" w:rsidRPr="00BE2B9B" w:rsidRDefault="00BE2B9B" w:rsidP="00FD3B9C">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lastRenderedPageBreak/>
        <w:t xml:space="preserve">La población objetivo del proyecto corresponde a los habitantes del barrio </w:t>
      </w:r>
      <w:proofErr w:type="spellStart"/>
      <w:r w:rsidRPr="00BE2B9B">
        <w:rPr>
          <w:rFonts w:ascii="Times New Roman" w:hAnsi="Times New Roman" w:cs="Times New Roman"/>
          <w:sz w:val="24"/>
          <w:szCs w:val="24"/>
        </w:rPr>
        <w:t>Carigán</w:t>
      </w:r>
      <w:proofErr w:type="spellEnd"/>
      <w:r w:rsidRPr="00BE2B9B">
        <w:rPr>
          <w:rFonts w:ascii="Times New Roman" w:hAnsi="Times New Roman" w:cs="Times New Roman"/>
          <w:sz w:val="24"/>
          <w:szCs w:val="24"/>
        </w:rPr>
        <w:t xml:space="preserve">, quienes tienen la necesidad urgente de mejorar el servicio de agua potable debido a las constantes interrupciones y problemas en la red de distribución. Aproximadamente, la población que se beneficiará directamente está conformada por 6.500 habitantes, que son quienes representan la demanda efectiva del proyecto. </w:t>
      </w:r>
    </w:p>
    <w:p w14:paraId="58A2806A" w14:textId="0754A051" w:rsidR="00BE2B9B" w:rsidRDefault="00BE2B9B" w:rsidP="00FD3B9C">
      <w:pPr>
        <w:spacing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Para calcular el número estimado de hogares que se beneficiarán, se utilizó la </w:t>
      </w:r>
      <w:r>
        <w:rPr>
          <w:rFonts w:ascii="Times New Roman" w:hAnsi="Times New Roman" w:cs="Times New Roman"/>
          <w:sz w:val="24"/>
          <w:szCs w:val="24"/>
        </w:rPr>
        <w:t>Ecuación 1, definida por el</w:t>
      </w:r>
      <w:r w:rsidRPr="00BE2B9B">
        <w:rPr>
          <w:rFonts w:ascii="Times New Roman" w:hAnsi="Times New Roman" w:cs="Times New Roman"/>
          <w:sz w:val="24"/>
          <w:szCs w:val="24"/>
        </w:rPr>
        <w:t xml:space="preserve"> Instituto Nacional de Estadística y Censos (INEC, 2023).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BE2B9B" w:rsidRPr="00BE2B9B" w14:paraId="0081FC16" w14:textId="77777777" w:rsidTr="00BE2B9B">
        <w:tc>
          <w:tcPr>
            <w:tcW w:w="8500" w:type="dxa"/>
            <w:vAlign w:val="center"/>
          </w:tcPr>
          <w:p w14:paraId="558B4456" w14:textId="0514AC74" w:rsidR="00BE2B9B" w:rsidRPr="00BE2B9B" w:rsidRDefault="00BE2B9B" w:rsidP="00BE2B9B">
            <w:pPr>
              <w:jc w:val="center"/>
              <w:rPr>
                <w:rFonts w:ascii="Times New Roman" w:hAnsi="Times New Roman" w:cs="Times New Roman"/>
              </w:rPr>
            </w:pPr>
            <m:oMathPara>
              <m:oMath>
                <m:r>
                  <w:rPr>
                    <w:rFonts w:ascii="Cambria Math" w:hAnsi="Cambria Math" w:cs="Times New Roman"/>
                    <w:lang w:val="es-MX"/>
                  </w:rPr>
                  <m:t xml:space="preserve">Número de Hogares= </m:t>
                </m:r>
                <m:f>
                  <m:fPr>
                    <m:ctrlPr>
                      <w:rPr>
                        <w:rFonts w:ascii="Cambria Math" w:hAnsi="Cambria Math" w:cs="Times New Roman"/>
                        <w:i/>
                        <w:lang w:val="es-MX"/>
                      </w:rPr>
                    </m:ctrlPr>
                  </m:fPr>
                  <m:num>
                    <m:r>
                      <w:rPr>
                        <w:rFonts w:ascii="Cambria Math" w:hAnsi="Cambria Math" w:cs="Times New Roman"/>
                        <w:lang w:val="es-MX"/>
                      </w:rPr>
                      <m:t>Población total (6500)</m:t>
                    </m:r>
                  </m:num>
                  <m:den>
                    <m:r>
                      <w:rPr>
                        <w:rFonts w:ascii="Cambria Math" w:hAnsi="Cambria Math" w:cs="Times New Roman"/>
                        <w:lang w:val="es-MX"/>
                      </w:rPr>
                      <m:t>Tamaño promedio del hogar (3,2)</m:t>
                    </m:r>
                  </m:den>
                </m:f>
              </m:oMath>
            </m:oMathPara>
          </w:p>
        </w:tc>
        <w:tc>
          <w:tcPr>
            <w:tcW w:w="516" w:type="dxa"/>
            <w:vAlign w:val="center"/>
          </w:tcPr>
          <w:p w14:paraId="5AC98862" w14:textId="001F9580" w:rsidR="00BE2B9B" w:rsidRPr="00BE2B9B" w:rsidRDefault="00BE2B9B" w:rsidP="00BE2B9B">
            <w:pPr>
              <w:jc w:val="center"/>
              <w:rPr>
                <w:rFonts w:ascii="Times New Roman" w:hAnsi="Times New Roman" w:cs="Times New Roman"/>
              </w:rPr>
            </w:pPr>
            <w:r w:rsidRPr="00BE2B9B">
              <w:rPr>
                <w:rFonts w:ascii="Times New Roman" w:hAnsi="Times New Roman" w:cs="Times New Roman"/>
              </w:rPr>
              <w:t>(1)</w:t>
            </w:r>
          </w:p>
        </w:tc>
      </w:tr>
    </w:tbl>
    <w:p w14:paraId="139066A3" w14:textId="7826CEAF" w:rsidR="00BE2B9B" w:rsidRDefault="00BE2B9B" w:rsidP="00FD3B9C">
      <w:pPr>
        <w:spacing w:before="240" w:line="360" w:lineRule="auto"/>
        <w:jc w:val="both"/>
        <w:rPr>
          <w:rFonts w:ascii="Times New Roman" w:hAnsi="Times New Roman" w:cs="Times New Roman"/>
          <w:sz w:val="24"/>
          <w:szCs w:val="24"/>
          <w:lang w:val="es-MX"/>
        </w:rPr>
      </w:pPr>
      <w:r>
        <w:rPr>
          <w:rFonts w:ascii="Times New Roman" w:eastAsiaTheme="minorEastAsia" w:hAnsi="Times New Roman" w:cs="Times New Roman"/>
          <w:sz w:val="24"/>
          <w:szCs w:val="24"/>
          <w:lang w:val="es-MX"/>
        </w:rPr>
        <w:t xml:space="preserve">Por lo tanto, el </w:t>
      </w:r>
      <w:r w:rsidRPr="00965A13">
        <w:rPr>
          <w:rFonts w:ascii="Times New Roman" w:hAnsi="Times New Roman" w:cs="Times New Roman"/>
          <w:sz w:val="24"/>
          <w:szCs w:val="24"/>
          <w:lang w:val="es-MX"/>
        </w:rPr>
        <w:t xml:space="preserve">barrio </w:t>
      </w:r>
      <w:proofErr w:type="spellStart"/>
      <w:r w:rsidRPr="00965A13">
        <w:rPr>
          <w:rFonts w:ascii="Times New Roman" w:hAnsi="Times New Roman" w:cs="Times New Roman"/>
          <w:sz w:val="24"/>
          <w:szCs w:val="24"/>
          <w:lang w:val="es-MX"/>
        </w:rPr>
        <w:t>Carigán</w:t>
      </w:r>
      <w:proofErr w:type="spellEnd"/>
      <w:r w:rsidRPr="00965A13">
        <w:rPr>
          <w:rFonts w:ascii="Times New Roman" w:hAnsi="Times New Roman" w:cs="Times New Roman"/>
          <w:sz w:val="24"/>
          <w:szCs w:val="24"/>
          <w:lang w:val="es-MX"/>
        </w:rPr>
        <w:t xml:space="preserve"> tiene alrededor de 2.031 hogares que se beneficiarán del mejoramiento del sistema de agua potable. Esta intervención tiene como objetivo asegurar un servicio continuo, seguro y de calidad, lo que ayudará a mejorar las condiciones de vida de las familias</w:t>
      </w:r>
      <w:r>
        <w:rPr>
          <w:rFonts w:ascii="Times New Roman" w:hAnsi="Times New Roman" w:cs="Times New Roman"/>
          <w:sz w:val="24"/>
          <w:szCs w:val="24"/>
          <w:lang w:val="es-MX"/>
        </w:rPr>
        <w:t xml:space="preserve"> del sector. </w:t>
      </w:r>
    </w:p>
    <w:p w14:paraId="3B6A0E92" w14:textId="3B65FF9E" w:rsidR="00A342BD" w:rsidRPr="00700B94" w:rsidRDefault="00A342BD" w:rsidP="00700B94">
      <w:pPr>
        <w:pStyle w:val="Prrafodelista"/>
        <w:numPr>
          <w:ilvl w:val="1"/>
          <w:numId w:val="1"/>
        </w:num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Ubicación geográfica e impacto territoria</w:t>
      </w:r>
      <w:r w:rsidR="00C31D4E" w:rsidRPr="00700B94">
        <w:rPr>
          <w:rFonts w:ascii="Times New Roman" w:hAnsi="Times New Roman" w:cs="Times New Roman"/>
          <w:b/>
          <w:bCs/>
          <w:sz w:val="24"/>
          <w:szCs w:val="24"/>
        </w:rPr>
        <w:t>l</w:t>
      </w:r>
    </w:p>
    <w:p w14:paraId="1F6928AE" w14:textId="416ED413" w:rsidR="00C31D4E" w:rsidRDefault="00C31D4E" w:rsidP="00FD3B9C">
      <w:pPr>
        <w:spacing w:after="0" w:line="360" w:lineRule="auto"/>
        <w:jc w:val="both"/>
        <w:rPr>
          <w:rFonts w:ascii="Times New Roman" w:hAnsi="Times New Roman" w:cs="Times New Roman"/>
          <w:sz w:val="24"/>
          <w:szCs w:val="24"/>
        </w:rPr>
      </w:pPr>
      <w:r w:rsidRPr="00C31D4E">
        <w:rPr>
          <w:rFonts w:ascii="Times New Roman" w:hAnsi="Times New Roman" w:cs="Times New Roman"/>
          <w:sz w:val="24"/>
          <w:szCs w:val="24"/>
        </w:rPr>
        <w:t xml:space="preserve">El proyecto se desarrollará en el barrio </w:t>
      </w:r>
      <w:proofErr w:type="spellStart"/>
      <w:r w:rsidRPr="00C31D4E">
        <w:rPr>
          <w:rFonts w:ascii="Times New Roman" w:hAnsi="Times New Roman" w:cs="Times New Roman"/>
          <w:sz w:val="24"/>
          <w:szCs w:val="24"/>
        </w:rPr>
        <w:t>Carigán</w:t>
      </w:r>
      <w:proofErr w:type="spellEnd"/>
      <w:r w:rsidRPr="00C31D4E">
        <w:rPr>
          <w:rFonts w:ascii="Times New Roman" w:hAnsi="Times New Roman" w:cs="Times New Roman"/>
          <w:sz w:val="24"/>
          <w:szCs w:val="24"/>
        </w:rPr>
        <w:t xml:space="preserve">, localizado al norte de la ciudad de Loja, provincia de Loja, Ecuador. El sector se encuentra situado aproximadamente en las coordenadas geográficas 3°57’24” de latitud sur y 79°12’47” de longitud oeste, con una altitud media de 2.128 metros sobre el nivel del mar. Este barrio forma parte del área urbana consolidada del cantón Loja y constituye el ámbito territorial de intervención del proyecto. En la Figura 1 se presenta el mapa de ubicación del barrio </w:t>
      </w:r>
      <w:proofErr w:type="spellStart"/>
      <w:r w:rsidRPr="00C31D4E">
        <w:rPr>
          <w:rFonts w:ascii="Times New Roman" w:hAnsi="Times New Roman" w:cs="Times New Roman"/>
          <w:sz w:val="24"/>
          <w:szCs w:val="24"/>
        </w:rPr>
        <w:t>Carigán</w:t>
      </w:r>
      <w:proofErr w:type="spellEnd"/>
      <w:r w:rsidRPr="00C31D4E">
        <w:rPr>
          <w:rFonts w:ascii="Times New Roman" w:hAnsi="Times New Roman" w:cs="Times New Roman"/>
          <w:sz w:val="24"/>
          <w:szCs w:val="24"/>
        </w:rPr>
        <w:t xml:space="preserve"> dentro del contexto urbano de la ciudad de Loja.</w:t>
      </w:r>
    </w:p>
    <w:p w14:paraId="24FC2FBD" w14:textId="77777777" w:rsidR="00C31D4E" w:rsidRDefault="00C31D4E" w:rsidP="00C7437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1</w:t>
      </w:r>
    </w:p>
    <w:p w14:paraId="79C022F3" w14:textId="77777777" w:rsidR="00C31D4E" w:rsidRPr="00F43022" w:rsidRDefault="00C31D4E" w:rsidP="00C74371">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Mapa del barrio </w:t>
      </w:r>
      <w:proofErr w:type="spellStart"/>
      <w:r>
        <w:rPr>
          <w:rFonts w:ascii="Times New Roman" w:eastAsia="Times New Roman" w:hAnsi="Times New Roman" w:cs="Times New Roman"/>
          <w:i/>
          <w:iCs/>
          <w:sz w:val="24"/>
          <w:szCs w:val="24"/>
        </w:rPr>
        <w:t>Carigán</w:t>
      </w:r>
      <w:proofErr w:type="spellEnd"/>
    </w:p>
    <w:p w14:paraId="5B09B472" w14:textId="77777777" w:rsidR="00C31D4E" w:rsidRPr="002F3595" w:rsidRDefault="00C31D4E" w:rsidP="00C31D4E">
      <w:pPr>
        <w:spacing w:after="0" w:line="360" w:lineRule="auto"/>
        <w:jc w:val="both"/>
        <w:rPr>
          <w:rFonts w:ascii="Times New Roman" w:eastAsia="Times New Roman" w:hAnsi="Times New Roman" w:cs="Times New Roman"/>
          <w:b/>
          <w:bCs/>
          <w:sz w:val="24"/>
          <w:szCs w:val="24"/>
        </w:rPr>
      </w:pPr>
      <w:r>
        <w:rPr>
          <w:noProof/>
        </w:rPr>
        <w:drawing>
          <wp:inline distT="0" distB="0" distL="0" distR="0" wp14:anchorId="1E5C501C" wp14:editId="676B4620">
            <wp:extent cx="2646453" cy="1661160"/>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1817" cy="1677081"/>
                    </a:xfrm>
                    <a:prstGeom prst="rect">
                      <a:avLst/>
                    </a:prstGeom>
                    <a:noFill/>
                    <a:ln>
                      <a:noFill/>
                    </a:ln>
                  </pic:spPr>
                </pic:pic>
              </a:graphicData>
            </a:graphic>
          </wp:inline>
        </w:drawing>
      </w:r>
    </w:p>
    <w:p w14:paraId="3BA0E9EF" w14:textId="67D9E600" w:rsidR="00627222" w:rsidRDefault="00627222" w:rsidP="00700B94">
      <w:pPr>
        <w:pStyle w:val="Prrafodelista"/>
        <w:numPr>
          <w:ilvl w:val="0"/>
          <w:numId w:val="1"/>
        </w:numPr>
        <w:spacing w:after="0"/>
        <w:rPr>
          <w:rFonts w:ascii="Times New Roman" w:hAnsi="Times New Roman" w:cs="Times New Roman"/>
          <w:b/>
          <w:bCs/>
          <w:sz w:val="24"/>
          <w:szCs w:val="24"/>
        </w:rPr>
      </w:pPr>
      <w:r w:rsidRPr="00627222">
        <w:rPr>
          <w:rFonts w:ascii="Times New Roman" w:hAnsi="Times New Roman" w:cs="Times New Roman"/>
          <w:b/>
          <w:bCs/>
          <w:sz w:val="24"/>
          <w:szCs w:val="24"/>
        </w:rPr>
        <w:t>ARTICULACIÓN CON LA PLANIFICACIÓN</w:t>
      </w:r>
    </w:p>
    <w:p w14:paraId="2D596E0F" w14:textId="1687BCEC"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sidRPr="00A342BD">
        <w:rPr>
          <w:rFonts w:ascii="Times New Roman" w:hAnsi="Times New Roman" w:cs="Times New Roman"/>
          <w:b/>
          <w:bCs/>
          <w:sz w:val="24"/>
          <w:szCs w:val="24"/>
        </w:rPr>
        <w:t>Alineación objetivo estratégico institucional</w:t>
      </w:r>
    </w:p>
    <w:p w14:paraId="7067550A" w14:textId="2C7E507E" w:rsid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El proyecto se articula con el PDOT 2023</w:t>
      </w:r>
      <w:r>
        <w:rPr>
          <w:rFonts w:ascii="Times New Roman" w:hAnsi="Times New Roman" w:cs="Times New Roman"/>
          <w:sz w:val="24"/>
          <w:szCs w:val="24"/>
        </w:rPr>
        <w:t>-</w:t>
      </w:r>
      <w:r w:rsidRPr="00D9743C">
        <w:rPr>
          <w:rFonts w:ascii="Times New Roman" w:hAnsi="Times New Roman" w:cs="Times New Roman"/>
          <w:sz w:val="24"/>
          <w:szCs w:val="24"/>
        </w:rPr>
        <w:t xml:space="preserve">2027 de la ciudad de Loja, específicamente con el objetivo de desarrollo: Fortalecer la infraestructura resiliente y sostenible mediante riegos </w:t>
      </w:r>
      <w:r w:rsidRPr="00D9743C">
        <w:rPr>
          <w:rFonts w:ascii="Times New Roman" w:hAnsi="Times New Roman" w:cs="Times New Roman"/>
          <w:sz w:val="24"/>
          <w:szCs w:val="24"/>
        </w:rPr>
        <w:lastRenderedPageBreak/>
        <w:t xml:space="preserve">anticipadamente, asegurando la provisión continua y de calidad de los servicios esenciales (agua, </w:t>
      </w:r>
      <w:r>
        <w:rPr>
          <w:rFonts w:ascii="Times New Roman" w:hAnsi="Times New Roman" w:cs="Times New Roman"/>
          <w:sz w:val="24"/>
          <w:szCs w:val="24"/>
        </w:rPr>
        <w:t>a</w:t>
      </w:r>
      <w:r w:rsidRPr="00D9743C">
        <w:rPr>
          <w:rFonts w:ascii="Times New Roman" w:hAnsi="Times New Roman" w:cs="Times New Roman"/>
          <w:sz w:val="24"/>
          <w:szCs w:val="24"/>
        </w:rPr>
        <w:t>lcantarillado, energía), complementarios, la promoción de entornos habitables dentro de un marco de ordenamiento territorial integral, sostenible y resiliente. Cuya meta es: Reducir al 2027</w:t>
      </w:r>
      <w:r>
        <w:rPr>
          <w:rFonts w:ascii="Times New Roman" w:hAnsi="Times New Roman" w:cs="Times New Roman"/>
          <w:sz w:val="24"/>
          <w:szCs w:val="24"/>
        </w:rPr>
        <w:t xml:space="preserve"> el 6,41% el porcentaje de viviendas que no disponen del servicio de agua potable por tubería en el cantón. </w:t>
      </w:r>
    </w:p>
    <w:p w14:paraId="490F266E" w14:textId="461F8C44" w:rsidR="001E6E45" w:rsidRPr="001E6E45" w:rsidRDefault="001E6E45" w:rsidP="00FD3B9C">
      <w:pPr>
        <w:spacing w:after="0" w:line="360" w:lineRule="auto"/>
        <w:jc w:val="both"/>
        <w:rPr>
          <w:rFonts w:ascii="Times New Roman" w:hAnsi="Times New Roman" w:cs="Times New Roman"/>
          <w:b/>
          <w:bCs/>
          <w:sz w:val="24"/>
          <w:szCs w:val="24"/>
        </w:rPr>
      </w:pPr>
      <w:r w:rsidRPr="001E6E45">
        <w:rPr>
          <w:rFonts w:ascii="Times New Roman" w:hAnsi="Times New Roman" w:cs="Times New Roman"/>
          <w:b/>
          <w:bCs/>
          <w:sz w:val="24"/>
          <w:szCs w:val="24"/>
        </w:rPr>
        <w:t xml:space="preserve">Tabla 4 </w:t>
      </w:r>
    </w:p>
    <w:p w14:paraId="46F2A6A2" w14:textId="4354E69E" w:rsidR="00700B94" w:rsidRDefault="00700B94" w:rsidP="00FD3B9C">
      <w:pPr>
        <w:spacing w:after="0" w:line="360" w:lineRule="auto"/>
        <w:jc w:val="both"/>
        <w:rPr>
          <w:rFonts w:ascii="Times New Roman" w:hAnsi="Times New Roman" w:cs="Times New Roman"/>
          <w:b/>
          <w:bCs/>
          <w:sz w:val="24"/>
          <w:szCs w:val="24"/>
        </w:rPr>
      </w:pPr>
      <w:r w:rsidRPr="00700B94">
        <w:rPr>
          <w:rFonts w:ascii="Times New Roman" w:hAnsi="Times New Roman" w:cs="Times New Roman"/>
          <w:b/>
          <w:bCs/>
          <w:sz w:val="24"/>
          <w:szCs w:val="24"/>
          <w:highlight w:val="yellow"/>
        </w:rPr>
        <w:t>Aquí debe ir la tabla del PDOT</w:t>
      </w:r>
    </w:p>
    <w:p w14:paraId="7CA4EFA3" w14:textId="44FA37A1" w:rsidR="001E6E45" w:rsidRDefault="001E6E45" w:rsidP="00FD3B9C">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PDOT</w:t>
      </w:r>
    </w:p>
    <w:p w14:paraId="4E34F121" w14:textId="77777777" w:rsidR="001E6E45" w:rsidRPr="001E6E45" w:rsidRDefault="001E6E45" w:rsidP="00FD3B9C">
      <w:pPr>
        <w:spacing w:after="0" w:line="360" w:lineRule="auto"/>
        <w:jc w:val="both"/>
        <w:rPr>
          <w:rFonts w:ascii="Times New Roman" w:hAnsi="Times New Roman" w:cs="Times New Roman"/>
          <w:sz w:val="24"/>
          <w:szCs w:val="24"/>
        </w:rPr>
      </w:pPr>
    </w:p>
    <w:p w14:paraId="4CCC8E8A" w14:textId="7163CE8B"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Contribución del proyecto a la meta del Plan Nacional de Desarrollo alineada al indicador del objetivo estratégico institucional</w:t>
      </w:r>
    </w:p>
    <w:p w14:paraId="273B20CB" w14:textId="77777777" w:rsid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El proyecto se alinea con el eje económico del Plan Nacional de Desarrollo denominado “Ecuador no se detiene”, correspondiente al período 2025-2029. Con el eje denominado “Economía y ambiente”, específicamente con el Objetivo Nacional 6: Precautelar el uso sostenible de los recursos naturales, la protección del ambiente, así como la optimización y la eficiencia energética. Esta relación se justifica porque el mejoramiento de la red de agua potable permite optimizar el uso del recurso hídrico, reducir pérdidas en el sistema y mejorar la distribución del agua en calidad y cantidad suficiente para la población.</w:t>
      </w:r>
    </w:p>
    <w:p w14:paraId="470E9E8A" w14:textId="60333312" w:rsidR="00D9743C" w:rsidRP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Asimismo, se vincula directamente con la Política 6.5, la cual plantea promover la gestión integral del recurso hídrico y el acceso al agua en calidad y cantidad, con énfasis en el derecho humano al agua potable, saneamiento, riego y drenaje. Así miso, con la estrategia b de fomentar la implementación y/o ampliación de sistemas de agua para consumo humano, saneamiento, riego y drenaje. Por tanto, el proyecto no solo responde a una necesidad de infraestructura, sino también al cumplimiento del derecho de la población a contar con un servicio de agua potable más seguro, continuo y eficiente.</w:t>
      </w:r>
    </w:p>
    <w:p w14:paraId="5140144C" w14:textId="6530C49A" w:rsidR="003C13F7"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 xml:space="preserve">Finalmente, la intervención aporta de manera indirecta al cumplimiento de la meta nacional de incrementar el territorio bajo garantías preventivas y mecanismos de protección del recurso hídrico de </w:t>
      </w:r>
      <w:r w:rsidR="003C13F7" w:rsidRPr="00D9743C">
        <w:rPr>
          <w:rFonts w:ascii="Times New Roman" w:hAnsi="Times New Roman" w:cs="Times New Roman"/>
          <w:sz w:val="24"/>
          <w:szCs w:val="24"/>
        </w:rPr>
        <w:t xml:space="preserve">295.974,79 </w:t>
      </w:r>
      <w:r w:rsidRPr="00D9743C">
        <w:rPr>
          <w:rFonts w:ascii="Times New Roman" w:hAnsi="Times New Roman" w:cs="Times New Roman"/>
          <w:sz w:val="24"/>
          <w:szCs w:val="24"/>
        </w:rPr>
        <w:t>hectáreas en 2024 a 318.811,06 hectáreas al 2029. Aunque esta meta se enfoca principalmente en la protección del recurso hídrico, el mejoramiento de la red de agua potable contribuye a su cumplimiento al promover un uso más eficiente del agua, disminuir pérdidas y fortalecer la sostenibilidad del sistema de abastecimiento.</w:t>
      </w:r>
    </w:p>
    <w:p w14:paraId="1F566706" w14:textId="1B1075F6" w:rsidR="003C13F7" w:rsidRPr="003C13F7" w:rsidRDefault="003C13F7" w:rsidP="00FD3B9C">
      <w:pPr>
        <w:spacing w:after="0" w:line="360" w:lineRule="auto"/>
        <w:jc w:val="both"/>
        <w:rPr>
          <w:rFonts w:ascii="Times New Roman" w:hAnsi="Times New Roman" w:cs="Times New Roman"/>
          <w:b/>
          <w:bCs/>
          <w:sz w:val="24"/>
          <w:szCs w:val="24"/>
        </w:rPr>
      </w:pPr>
      <w:r w:rsidRPr="003C13F7">
        <w:rPr>
          <w:rFonts w:ascii="Times New Roman" w:hAnsi="Times New Roman" w:cs="Times New Roman"/>
          <w:b/>
          <w:bCs/>
          <w:sz w:val="24"/>
          <w:szCs w:val="24"/>
        </w:rPr>
        <w:t>Tabla 4</w:t>
      </w:r>
    </w:p>
    <w:p w14:paraId="618A29D1" w14:textId="13CB84CC" w:rsidR="003C13F7" w:rsidRDefault="003C13F7" w:rsidP="00FD3B9C">
      <w:pPr>
        <w:spacing w:after="0" w:line="360" w:lineRule="auto"/>
        <w:jc w:val="both"/>
        <w:rPr>
          <w:rFonts w:ascii="Times New Roman" w:hAnsi="Times New Roman" w:cs="Times New Roman"/>
          <w:i/>
          <w:iCs/>
          <w:sz w:val="24"/>
          <w:szCs w:val="24"/>
        </w:rPr>
      </w:pPr>
      <w:r w:rsidRPr="003C13F7">
        <w:rPr>
          <w:rFonts w:ascii="Times New Roman" w:hAnsi="Times New Roman" w:cs="Times New Roman"/>
          <w:i/>
          <w:iCs/>
          <w:sz w:val="24"/>
          <w:szCs w:val="24"/>
        </w:rPr>
        <w:t>Contribución del proyecto a la meta del Plan Nacional de Desarrollo</w:t>
      </w:r>
    </w:p>
    <w:tbl>
      <w:tblPr>
        <w:tblStyle w:val="Tablaconcuadrcula"/>
        <w:tblW w:w="5000" w:type="pct"/>
        <w:tblLook w:val="04A0" w:firstRow="1" w:lastRow="0" w:firstColumn="1" w:lastColumn="0" w:noHBand="0" w:noVBand="1"/>
      </w:tblPr>
      <w:tblGrid>
        <w:gridCol w:w="1583"/>
        <w:gridCol w:w="1583"/>
        <w:gridCol w:w="1462"/>
        <w:gridCol w:w="1462"/>
        <w:gridCol w:w="1462"/>
        <w:gridCol w:w="1464"/>
      </w:tblGrid>
      <w:tr w:rsidR="003C13F7" w:rsidRPr="003C13F7" w14:paraId="41846F89" w14:textId="77777777" w:rsidTr="003C13F7">
        <w:trPr>
          <w:trHeight w:val="20"/>
        </w:trPr>
        <w:tc>
          <w:tcPr>
            <w:tcW w:w="833" w:type="pct"/>
            <w:vMerge w:val="restart"/>
            <w:noWrap/>
            <w:vAlign w:val="center"/>
            <w:hideMark/>
          </w:tcPr>
          <w:p w14:paraId="300E1936"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lastRenderedPageBreak/>
              <w:t>Meta PND</w:t>
            </w:r>
          </w:p>
        </w:tc>
        <w:tc>
          <w:tcPr>
            <w:tcW w:w="833" w:type="pct"/>
            <w:vMerge w:val="restart"/>
            <w:noWrap/>
            <w:vAlign w:val="center"/>
            <w:hideMark/>
          </w:tcPr>
          <w:p w14:paraId="27E9EB2F"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Línea Base</w:t>
            </w:r>
          </w:p>
        </w:tc>
        <w:tc>
          <w:tcPr>
            <w:tcW w:w="3333" w:type="pct"/>
            <w:gridSpan w:val="4"/>
            <w:noWrap/>
            <w:vAlign w:val="center"/>
            <w:hideMark/>
          </w:tcPr>
          <w:p w14:paraId="53F0374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Meta anualizada</w:t>
            </w:r>
          </w:p>
        </w:tc>
      </w:tr>
      <w:tr w:rsidR="003C13F7" w:rsidRPr="003C13F7" w14:paraId="5511D729" w14:textId="77777777" w:rsidTr="003C13F7">
        <w:trPr>
          <w:trHeight w:val="306"/>
        </w:trPr>
        <w:tc>
          <w:tcPr>
            <w:tcW w:w="833" w:type="pct"/>
            <w:vMerge/>
            <w:vAlign w:val="center"/>
            <w:hideMark/>
          </w:tcPr>
          <w:p w14:paraId="10B7BA15"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833" w:type="pct"/>
            <w:vMerge/>
            <w:vAlign w:val="center"/>
            <w:hideMark/>
          </w:tcPr>
          <w:p w14:paraId="736A6CE6"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833" w:type="pct"/>
            <w:noWrap/>
            <w:vAlign w:val="center"/>
            <w:hideMark/>
          </w:tcPr>
          <w:p w14:paraId="54E0B96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2026</w:t>
            </w:r>
          </w:p>
        </w:tc>
        <w:tc>
          <w:tcPr>
            <w:tcW w:w="833" w:type="pct"/>
            <w:noWrap/>
            <w:vAlign w:val="center"/>
            <w:hideMark/>
          </w:tcPr>
          <w:p w14:paraId="4C348199"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2027</w:t>
            </w:r>
          </w:p>
        </w:tc>
        <w:tc>
          <w:tcPr>
            <w:tcW w:w="833" w:type="pct"/>
            <w:noWrap/>
            <w:vAlign w:val="center"/>
            <w:hideMark/>
          </w:tcPr>
          <w:p w14:paraId="155CAFBD"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2028</w:t>
            </w:r>
          </w:p>
        </w:tc>
        <w:tc>
          <w:tcPr>
            <w:tcW w:w="833" w:type="pct"/>
            <w:noWrap/>
            <w:vAlign w:val="center"/>
            <w:hideMark/>
          </w:tcPr>
          <w:p w14:paraId="1FCEA161"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2029</w:t>
            </w:r>
          </w:p>
        </w:tc>
      </w:tr>
      <w:tr w:rsidR="003C13F7" w:rsidRPr="003C13F7" w14:paraId="32445959" w14:textId="77777777" w:rsidTr="003C13F7">
        <w:trPr>
          <w:trHeight w:val="297"/>
        </w:trPr>
        <w:tc>
          <w:tcPr>
            <w:tcW w:w="833" w:type="pct"/>
            <w:noWrap/>
            <w:vAlign w:val="center"/>
            <w:hideMark/>
          </w:tcPr>
          <w:p w14:paraId="28782054" w14:textId="60B50809" w:rsidR="003C13F7" w:rsidRPr="003C13F7" w:rsidRDefault="003C13F7" w:rsidP="003C13F7">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295.974,79</w:t>
            </w:r>
            <w:r>
              <w:rPr>
                <w:rFonts w:ascii="Times New Roman" w:hAnsi="Times New Roman" w:cs="Times New Roman"/>
                <w:sz w:val="24"/>
                <w:szCs w:val="24"/>
              </w:rPr>
              <w:t xml:space="preserve"> ha</w:t>
            </w:r>
          </w:p>
        </w:tc>
        <w:tc>
          <w:tcPr>
            <w:tcW w:w="833" w:type="pct"/>
            <w:noWrap/>
            <w:vAlign w:val="center"/>
            <w:hideMark/>
          </w:tcPr>
          <w:p w14:paraId="237D0797" w14:textId="7478C33D" w:rsidR="003C13F7" w:rsidRPr="003C13F7" w:rsidRDefault="003C13F7" w:rsidP="003C13F7">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318.811,06</w:t>
            </w:r>
            <w:r>
              <w:rPr>
                <w:rFonts w:ascii="Times New Roman" w:hAnsi="Times New Roman" w:cs="Times New Roman"/>
                <w:sz w:val="24"/>
                <w:szCs w:val="24"/>
              </w:rPr>
              <w:t xml:space="preserve"> ha</w:t>
            </w:r>
          </w:p>
        </w:tc>
        <w:tc>
          <w:tcPr>
            <w:tcW w:w="833" w:type="pct"/>
            <w:noWrap/>
            <w:vAlign w:val="center"/>
            <w:hideMark/>
          </w:tcPr>
          <w:p w14:paraId="0E98F3DD" w14:textId="77777777" w:rsidR="003C13F7" w:rsidRPr="003C13F7" w:rsidRDefault="003C13F7" w:rsidP="003C13F7">
            <w:pPr>
              <w:spacing w:line="360" w:lineRule="auto"/>
              <w:jc w:val="center"/>
              <w:rPr>
                <w:rFonts w:ascii="Times New Roman" w:hAnsi="Times New Roman" w:cs="Times New Roman"/>
                <w:sz w:val="24"/>
                <w:szCs w:val="24"/>
              </w:rPr>
            </w:pPr>
          </w:p>
        </w:tc>
        <w:tc>
          <w:tcPr>
            <w:tcW w:w="833" w:type="pct"/>
            <w:noWrap/>
            <w:vAlign w:val="center"/>
            <w:hideMark/>
          </w:tcPr>
          <w:p w14:paraId="1CD02E1E" w14:textId="77777777" w:rsidR="003C13F7" w:rsidRPr="003C13F7" w:rsidRDefault="003C13F7" w:rsidP="003C13F7">
            <w:pPr>
              <w:spacing w:line="360" w:lineRule="auto"/>
              <w:jc w:val="center"/>
              <w:rPr>
                <w:rFonts w:ascii="Times New Roman" w:hAnsi="Times New Roman" w:cs="Times New Roman"/>
                <w:sz w:val="24"/>
                <w:szCs w:val="24"/>
              </w:rPr>
            </w:pPr>
          </w:p>
        </w:tc>
        <w:tc>
          <w:tcPr>
            <w:tcW w:w="833" w:type="pct"/>
            <w:noWrap/>
            <w:vAlign w:val="center"/>
            <w:hideMark/>
          </w:tcPr>
          <w:p w14:paraId="7985FDA7" w14:textId="77777777" w:rsidR="003C13F7" w:rsidRPr="003C13F7" w:rsidRDefault="003C13F7" w:rsidP="003C13F7">
            <w:pPr>
              <w:spacing w:line="360" w:lineRule="auto"/>
              <w:jc w:val="center"/>
              <w:rPr>
                <w:rFonts w:ascii="Times New Roman" w:hAnsi="Times New Roman" w:cs="Times New Roman"/>
                <w:sz w:val="24"/>
                <w:szCs w:val="24"/>
              </w:rPr>
            </w:pPr>
          </w:p>
        </w:tc>
        <w:tc>
          <w:tcPr>
            <w:tcW w:w="833" w:type="pct"/>
            <w:noWrap/>
            <w:vAlign w:val="center"/>
            <w:hideMark/>
          </w:tcPr>
          <w:p w14:paraId="2460D7D2" w14:textId="77777777" w:rsidR="003C13F7" w:rsidRPr="003C13F7" w:rsidRDefault="003C13F7" w:rsidP="003C13F7">
            <w:pPr>
              <w:spacing w:line="360" w:lineRule="auto"/>
              <w:jc w:val="center"/>
              <w:rPr>
                <w:rFonts w:ascii="Times New Roman" w:hAnsi="Times New Roman" w:cs="Times New Roman"/>
                <w:sz w:val="24"/>
                <w:szCs w:val="24"/>
              </w:rPr>
            </w:pPr>
          </w:p>
        </w:tc>
      </w:tr>
      <w:tr w:rsidR="003C13F7" w:rsidRPr="003C13F7" w14:paraId="7C5C541F" w14:textId="77777777" w:rsidTr="003C13F7">
        <w:trPr>
          <w:trHeight w:val="20"/>
        </w:trPr>
        <w:tc>
          <w:tcPr>
            <w:tcW w:w="1667" w:type="pct"/>
            <w:gridSpan w:val="2"/>
            <w:noWrap/>
            <w:vAlign w:val="center"/>
            <w:hideMark/>
          </w:tcPr>
          <w:p w14:paraId="03247ECE" w14:textId="77777777" w:rsidR="003C13F7" w:rsidRPr="003C13F7" w:rsidRDefault="003C13F7" w:rsidP="003C13F7">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Proyecto 1</w:t>
            </w:r>
          </w:p>
        </w:tc>
        <w:tc>
          <w:tcPr>
            <w:tcW w:w="833" w:type="pct"/>
            <w:noWrap/>
            <w:vAlign w:val="center"/>
            <w:hideMark/>
          </w:tcPr>
          <w:p w14:paraId="2A2165A7" w14:textId="77777777" w:rsidR="003C13F7" w:rsidRPr="003C13F7" w:rsidRDefault="003C13F7" w:rsidP="003C13F7">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0%</w:t>
            </w:r>
          </w:p>
        </w:tc>
        <w:tc>
          <w:tcPr>
            <w:tcW w:w="833" w:type="pct"/>
            <w:noWrap/>
            <w:vAlign w:val="center"/>
            <w:hideMark/>
          </w:tcPr>
          <w:p w14:paraId="5E456FB7" w14:textId="17207546" w:rsidR="003C13F7" w:rsidRPr="003C13F7" w:rsidRDefault="003C13F7" w:rsidP="003C13F7">
            <w:pPr>
              <w:spacing w:line="360" w:lineRule="auto"/>
              <w:jc w:val="center"/>
              <w:rPr>
                <w:rFonts w:ascii="Times New Roman" w:hAnsi="Times New Roman" w:cs="Times New Roman"/>
                <w:sz w:val="24"/>
                <w:szCs w:val="24"/>
              </w:rPr>
            </w:pPr>
          </w:p>
        </w:tc>
        <w:tc>
          <w:tcPr>
            <w:tcW w:w="833" w:type="pct"/>
            <w:noWrap/>
            <w:vAlign w:val="center"/>
            <w:hideMark/>
          </w:tcPr>
          <w:p w14:paraId="28DBAB3B" w14:textId="533FBF2B" w:rsidR="003C13F7" w:rsidRPr="003C13F7" w:rsidRDefault="003C13F7" w:rsidP="003C13F7">
            <w:pPr>
              <w:spacing w:line="360" w:lineRule="auto"/>
              <w:jc w:val="center"/>
              <w:rPr>
                <w:rFonts w:ascii="Times New Roman" w:hAnsi="Times New Roman" w:cs="Times New Roman"/>
                <w:sz w:val="24"/>
                <w:szCs w:val="24"/>
              </w:rPr>
            </w:pPr>
          </w:p>
        </w:tc>
        <w:tc>
          <w:tcPr>
            <w:tcW w:w="833" w:type="pct"/>
            <w:noWrap/>
            <w:vAlign w:val="center"/>
            <w:hideMark/>
          </w:tcPr>
          <w:p w14:paraId="0E44B18E" w14:textId="4F95AC10" w:rsidR="003C13F7" w:rsidRPr="003C13F7" w:rsidRDefault="003C13F7" w:rsidP="003C13F7">
            <w:pPr>
              <w:spacing w:line="360" w:lineRule="auto"/>
              <w:jc w:val="center"/>
              <w:rPr>
                <w:rFonts w:ascii="Times New Roman" w:hAnsi="Times New Roman" w:cs="Times New Roman"/>
                <w:sz w:val="24"/>
                <w:szCs w:val="24"/>
              </w:rPr>
            </w:pPr>
          </w:p>
        </w:tc>
      </w:tr>
    </w:tbl>
    <w:p w14:paraId="3E776EC9" w14:textId="064B091B" w:rsidR="00627222" w:rsidRDefault="00627222" w:rsidP="00700B94">
      <w:pPr>
        <w:pStyle w:val="Prrafodelista"/>
        <w:numPr>
          <w:ilvl w:val="0"/>
          <w:numId w:val="1"/>
        </w:numPr>
        <w:spacing w:before="240"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t>MATRIZ DE MARCO LÓGICO</w:t>
      </w:r>
    </w:p>
    <w:p w14:paraId="4F4046C5" w14:textId="30CD9617" w:rsidR="00577E1D" w:rsidRPr="00700B94"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Objetivo general y objetivos específicos</w:t>
      </w:r>
    </w:p>
    <w:p w14:paraId="5F601B8B" w14:textId="77777777" w:rsidR="00700B94" w:rsidRPr="009E2AEF" w:rsidRDefault="00700B94" w:rsidP="00700B94">
      <w:pPr>
        <w:spacing w:after="0" w:line="360" w:lineRule="auto"/>
        <w:rPr>
          <w:rFonts w:ascii="Times New Roman" w:hAnsi="Times New Roman" w:cs="Times New Roman"/>
          <w:b/>
          <w:bCs/>
          <w:i/>
          <w:iCs/>
          <w:sz w:val="24"/>
          <w:szCs w:val="24"/>
        </w:rPr>
      </w:pPr>
      <w:r w:rsidRPr="009E2AEF">
        <w:rPr>
          <w:rFonts w:ascii="Times New Roman" w:hAnsi="Times New Roman" w:cs="Times New Roman"/>
          <w:b/>
          <w:bCs/>
          <w:i/>
          <w:iCs/>
          <w:sz w:val="24"/>
          <w:szCs w:val="24"/>
        </w:rPr>
        <w:t>Fin</w:t>
      </w:r>
    </w:p>
    <w:p w14:paraId="050D8847" w14:textId="77777777" w:rsidR="00700B94" w:rsidRPr="00A02BAF" w:rsidRDefault="00700B94" w:rsidP="00700B94">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 xml:space="preserve">Mejorar la continuidad y calidad del servicio de agua potable en el barrio </w:t>
      </w:r>
      <w:proofErr w:type="spellStart"/>
      <w:r w:rsidRPr="009E2AEF">
        <w:rPr>
          <w:rFonts w:ascii="Times New Roman" w:hAnsi="Times New Roman" w:cs="Times New Roman"/>
          <w:sz w:val="24"/>
          <w:szCs w:val="24"/>
        </w:rPr>
        <w:t>Carigán</w:t>
      </w:r>
      <w:proofErr w:type="spellEnd"/>
      <w:r w:rsidRPr="009E2AEF">
        <w:rPr>
          <w:rFonts w:ascii="Times New Roman" w:hAnsi="Times New Roman" w:cs="Times New Roman"/>
          <w:sz w:val="24"/>
          <w:szCs w:val="24"/>
        </w:rPr>
        <w:t>, mediante la reparación del sistema de agua potable, para reducir las interrupciones del suministro de agua ocasionadas por las frecuentes roturas de tuberías y garantizar un servicio más eficiente para la población.</w:t>
      </w:r>
    </w:p>
    <w:p w14:paraId="7331CB08" w14:textId="77777777" w:rsidR="00700B94" w:rsidRPr="009E2AEF" w:rsidRDefault="00700B94" w:rsidP="00700B94">
      <w:pPr>
        <w:spacing w:after="0" w:line="360" w:lineRule="auto"/>
        <w:rPr>
          <w:rFonts w:ascii="Times New Roman" w:hAnsi="Times New Roman" w:cs="Times New Roman"/>
          <w:b/>
          <w:bCs/>
          <w:i/>
          <w:iCs/>
          <w:sz w:val="24"/>
          <w:szCs w:val="24"/>
        </w:rPr>
      </w:pPr>
      <w:r w:rsidRPr="009E2AEF">
        <w:rPr>
          <w:rFonts w:ascii="Times New Roman" w:hAnsi="Times New Roman" w:cs="Times New Roman"/>
          <w:b/>
          <w:bCs/>
          <w:i/>
          <w:iCs/>
          <w:sz w:val="24"/>
          <w:szCs w:val="24"/>
        </w:rPr>
        <w:t>Propósito</w:t>
      </w:r>
    </w:p>
    <w:p w14:paraId="5846D76F"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red de distribución de agua potable, mediante el cambio y refuerzo de las tuberías que se encuentran en mal estado, para disminuir las roturas y garantizar un suministro más continuo y seguro.</w:t>
      </w:r>
    </w:p>
    <w:p w14:paraId="30C39BF6" w14:textId="77777777" w:rsidR="00700B94"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Mantener en buen estado la red de distribución de agua potable, mediante la ejecución de actividades periódicas de revisión y mantenimiento preventivo, para evitar daños y reducir las interrupciones del servicio.</w:t>
      </w:r>
    </w:p>
    <w:p w14:paraId="5B42EFA7"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 xml:space="preserve">Fortalecer el compromiso de los habitantes del barrio </w:t>
      </w:r>
      <w:proofErr w:type="spellStart"/>
      <w:r w:rsidRPr="009E2AEF">
        <w:rPr>
          <w:rFonts w:ascii="Times New Roman" w:hAnsi="Times New Roman" w:cs="Times New Roman"/>
          <w:sz w:val="24"/>
          <w:szCs w:val="24"/>
        </w:rPr>
        <w:t>Carigán</w:t>
      </w:r>
      <w:proofErr w:type="spellEnd"/>
      <w:r w:rsidRPr="009E2AEF">
        <w:rPr>
          <w:rFonts w:ascii="Times New Roman" w:hAnsi="Times New Roman" w:cs="Times New Roman"/>
          <w:sz w:val="24"/>
          <w:szCs w:val="24"/>
        </w:rPr>
        <w:t xml:space="preserve"> con el cuidado del agua potable, mediante campañas de información y sensibilización, para promover el uso responsable del agua y la conservación de la infraestructura hídrica.</w:t>
      </w:r>
    </w:p>
    <w:p w14:paraId="25D03EE6" w14:textId="2E945DD6" w:rsidR="00700B94" w:rsidRPr="00700B94" w:rsidRDefault="00700B94" w:rsidP="00700B94">
      <w:pPr>
        <w:pStyle w:val="Prrafodelista"/>
        <w:numPr>
          <w:ilvl w:val="1"/>
          <w:numId w:val="1"/>
        </w:numPr>
        <w:spacing w:before="240" w:after="0" w:line="360" w:lineRule="auto"/>
        <w:rPr>
          <w:rFonts w:ascii="Times New Roman" w:hAnsi="Times New Roman" w:cs="Times New Roman"/>
          <w:b/>
          <w:bCs/>
          <w:sz w:val="24"/>
          <w:szCs w:val="24"/>
          <w:highlight w:val="yellow"/>
        </w:rPr>
      </w:pPr>
      <w:r w:rsidRPr="00700B94">
        <w:rPr>
          <w:rFonts w:ascii="Times New Roman" w:hAnsi="Times New Roman" w:cs="Times New Roman"/>
          <w:b/>
          <w:bCs/>
          <w:sz w:val="24"/>
          <w:szCs w:val="24"/>
          <w:highlight w:val="yellow"/>
        </w:rPr>
        <w:t>Indicadores de resultado</w:t>
      </w:r>
    </w:p>
    <w:p w14:paraId="0CE0950B" w14:textId="3B85BCBF" w:rsidR="00700B94"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Marco Lógico</w:t>
      </w:r>
    </w:p>
    <w:p w14:paraId="70243176" w14:textId="3F0AF805" w:rsidR="006C7579" w:rsidRPr="006C7579" w:rsidRDefault="006C7579" w:rsidP="006C7579">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Con base en los objetivos definidos y en el análisis realizado durante la formulación del proyecto, se elaboró la siguiente Matriz de Marco Lógico</w:t>
      </w:r>
      <w:r>
        <w:rPr>
          <w:rFonts w:ascii="Times New Roman" w:hAnsi="Times New Roman" w:cs="Times New Roman"/>
          <w:sz w:val="24"/>
          <w:szCs w:val="24"/>
        </w:rPr>
        <w:t xml:space="preserve"> expuesta en la Tabla 7</w:t>
      </w:r>
      <w:r w:rsidRPr="006C7579">
        <w:rPr>
          <w:rFonts w:ascii="Times New Roman" w:hAnsi="Times New Roman" w:cs="Times New Roman"/>
          <w:sz w:val="24"/>
          <w:szCs w:val="24"/>
        </w:rPr>
        <w:t>. Esta herramienta permite organizar de manera coherente la relación entre los resultados esperados, los mecanismos de seguimiento y las condiciones necesarias para el logro de los objetivos planteados.</w:t>
      </w:r>
    </w:p>
    <w:p w14:paraId="57942E84" w14:textId="414ADD9A"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6C7579">
        <w:rPr>
          <w:rFonts w:ascii="Times New Roman" w:hAnsi="Times New Roman" w:cs="Times New Roman"/>
          <w:b/>
          <w:bCs/>
          <w:sz w:val="24"/>
          <w:szCs w:val="24"/>
        </w:rPr>
        <w:t>7</w:t>
      </w:r>
    </w:p>
    <w:p w14:paraId="2FBE2421" w14:textId="043BF075" w:rsidR="005D4729" w:rsidRDefault="005D4729" w:rsidP="005D4729">
      <w:pPr>
        <w:spacing w:after="0"/>
        <w:rPr>
          <w:rFonts w:ascii="Times New Roman" w:hAnsi="Times New Roman" w:cs="Times New Roman"/>
          <w:i/>
          <w:iCs/>
          <w:sz w:val="24"/>
          <w:szCs w:val="24"/>
        </w:rPr>
      </w:pPr>
      <w:r>
        <w:rPr>
          <w:rFonts w:ascii="Times New Roman" w:hAnsi="Times New Roman" w:cs="Times New Roman"/>
          <w:i/>
          <w:iCs/>
          <w:sz w:val="24"/>
          <w:szCs w:val="24"/>
        </w:rPr>
        <w:t>Matriz de marco lógico</w:t>
      </w:r>
    </w:p>
    <w:tbl>
      <w:tblPr>
        <w:tblStyle w:val="Tablaconcuadrcula"/>
        <w:tblW w:w="5062" w:type="pct"/>
        <w:tblLook w:val="04A0" w:firstRow="1" w:lastRow="0" w:firstColumn="1" w:lastColumn="0" w:noHBand="0" w:noVBand="1"/>
      </w:tblPr>
      <w:tblGrid>
        <w:gridCol w:w="2252"/>
        <w:gridCol w:w="2397"/>
        <w:gridCol w:w="2474"/>
        <w:gridCol w:w="2005"/>
      </w:tblGrid>
      <w:tr w:rsidR="005D4729" w:rsidRPr="005D4729" w14:paraId="1C5F4871" w14:textId="77777777" w:rsidTr="00AF4B40">
        <w:trPr>
          <w:trHeight w:val="466"/>
        </w:trPr>
        <w:tc>
          <w:tcPr>
            <w:tcW w:w="1234" w:type="pct"/>
            <w:vAlign w:val="center"/>
            <w:hideMark/>
          </w:tcPr>
          <w:p w14:paraId="16DB9A9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1313" w:type="pct"/>
            <w:vAlign w:val="center"/>
            <w:hideMark/>
          </w:tcPr>
          <w:p w14:paraId="01C645A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Indicadores Verificables Objetivamente</w:t>
            </w:r>
          </w:p>
        </w:tc>
        <w:tc>
          <w:tcPr>
            <w:tcW w:w="1355" w:type="pct"/>
            <w:vAlign w:val="center"/>
            <w:hideMark/>
          </w:tcPr>
          <w:p w14:paraId="2E6B1DB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c>
          <w:tcPr>
            <w:tcW w:w="1098" w:type="pct"/>
            <w:vAlign w:val="center"/>
            <w:hideMark/>
          </w:tcPr>
          <w:p w14:paraId="5E5FCD9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Supuestos</w:t>
            </w:r>
          </w:p>
        </w:tc>
      </w:tr>
      <w:tr w:rsidR="005D4729" w:rsidRPr="005D4729" w14:paraId="4CAD74B7" w14:textId="77777777" w:rsidTr="00AF4B40">
        <w:trPr>
          <w:trHeight w:val="1573"/>
        </w:trPr>
        <w:tc>
          <w:tcPr>
            <w:tcW w:w="1234" w:type="pct"/>
            <w:hideMark/>
          </w:tcPr>
          <w:p w14:paraId="0E6AD312"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lastRenderedPageBreak/>
              <w:t>FIN:</w:t>
            </w:r>
          </w:p>
          <w:p w14:paraId="33301FF9"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rPr>
              <w:t xml:space="preserve">Mejorar la calidad de vida de las familias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 xml:space="preserve"> mediante el acceso a un servicio de agua potable continuo, seguro y de calidad.</w:t>
            </w:r>
          </w:p>
        </w:tc>
        <w:tc>
          <w:tcPr>
            <w:tcW w:w="1313" w:type="pct"/>
          </w:tcPr>
          <w:p w14:paraId="58476368"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Al término del tercer año de operación del proyecto, al menos el 90% de los hogares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 xml:space="preserve"> reporta mejoras en la continuidad, calidad y disponibilidad del servicio de agua potable. </w:t>
            </w:r>
          </w:p>
        </w:tc>
        <w:tc>
          <w:tcPr>
            <w:tcW w:w="1355" w:type="pct"/>
          </w:tcPr>
          <w:p w14:paraId="45BD5F5A"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 xml:space="preserve">Encuestas de satisfacción aplicadas a los hogares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w:t>
            </w:r>
          </w:p>
          <w:p w14:paraId="0CFFDFFB"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4F406352"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c>
          <w:tcPr>
            <w:tcW w:w="1098" w:type="pct"/>
          </w:tcPr>
          <w:p w14:paraId="742F1109"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Se mantiene el compromiso institucional nacional y comunitario para garantizar la continuidad, calidad y sostenibilidad del servicio de agua potable en 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w:t>
            </w:r>
          </w:p>
        </w:tc>
      </w:tr>
      <w:tr w:rsidR="005D4729" w:rsidRPr="005D4729" w14:paraId="05515A5C" w14:textId="77777777" w:rsidTr="001650B8">
        <w:trPr>
          <w:trHeight w:val="3109"/>
        </w:trPr>
        <w:tc>
          <w:tcPr>
            <w:tcW w:w="1234" w:type="pct"/>
            <w:hideMark/>
          </w:tcPr>
          <w:p w14:paraId="3563606E"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7FD7CA05" w14:textId="718A7D94" w:rsidR="005D4729" w:rsidRPr="001650B8"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Mejorar la red de distribución de agua potable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 xml:space="preserve"> mediante la reparación y renovación de la infraestructura, para reducir las roturas y garantizar la continuidad y calidad del servicio.</w:t>
            </w:r>
          </w:p>
          <w:p w14:paraId="146E2877" w14:textId="77777777" w:rsidR="005D4729" w:rsidRPr="005D4729" w:rsidRDefault="005D4729" w:rsidP="005D4729">
            <w:pPr>
              <w:jc w:val="both"/>
              <w:rPr>
                <w:rFonts w:ascii="Times New Roman" w:eastAsia="Times New Roman" w:hAnsi="Times New Roman" w:cs="Times New Roman"/>
                <w:b/>
                <w:bCs/>
              </w:rPr>
            </w:pPr>
          </w:p>
        </w:tc>
        <w:tc>
          <w:tcPr>
            <w:tcW w:w="1313" w:type="pct"/>
          </w:tcPr>
          <w:p w14:paraId="61132071"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Al finalizar el segundo año de ejecución, las roturas de la red de agua potable se mejoran en un 80% y el servicio continuo beneficia a aproximadamente 6.500 habitantes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w:t>
            </w:r>
          </w:p>
        </w:tc>
        <w:tc>
          <w:tcPr>
            <w:tcW w:w="1355" w:type="pct"/>
          </w:tcPr>
          <w:p w14:paraId="35D06645"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16F02907"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1662C1B8"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65AE70F4"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c>
          <w:tcPr>
            <w:tcW w:w="1098" w:type="pct"/>
          </w:tcPr>
          <w:p w14:paraId="70303AEC"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Los recursos financieros, técnicos y operativos permiten ejecutar la reparación y renovación de la red de agua potable dentro del plazo planificado.</w:t>
            </w:r>
          </w:p>
        </w:tc>
      </w:tr>
      <w:tr w:rsidR="005D4729" w:rsidRPr="005D4729" w14:paraId="15BF59BF" w14:textId="77777777" w:rsidTr="00AF4B40">
        <w:trPr>
          <w:trHeight w:val="646"/>
        </w:trPr>
        <w:tc>
          <w:tcPr>
            <w:tcW w:w="1234" w:type="pct"/>
            <w:hideMark/>
          </w:tcPr>
          <w:p w14:paraId="1D04412F"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COMPONENTES</w:t>
            </w:r>
          </w:p>
          <w:p w14:paraId="47455FAC" w14:textId="77777777" w:rsidR="005D4729" w:rsidRPr="005D4729" w:rsidRDefault="005D4729" w:rsidP="005D4729">
            <w:pPr>
              <w:pStyle w:val="Prrafodelista"/>
              <w:numPr>
                <w:ilvl w:val="0"/>
                <w:numId w:val="20"/>
              </w:numPr>
              <w:jc w:val="both"/>
              <w:rPr>
                <w:rFonts w:ascii="Times New Roman" w:eastAsia="Times New Roman" w:hAnsi="Times New Roman" w:cs="Times New Roman"/>
                <w:b/>
                <w:bCs/>
              </w:rPr>
            </w:pPr>
            <w:r w:rsidRPr="005D4729">
              <w:rPr>
                <w:rFonts w:ascii="Times New Roman" w:eastAsia="Times New Roman" w:hAnsi="Times New Roman" w:cs="Times New Roman"/>
              </w:rPr>
              <w:t>Red de distribución de agua potable renovada y en buen estado.</w:t>
            </w:r>
          </w:p>
        </w:tc>
        <w:tc>
          <w:tcPr>
            <w:tcW w:w="1313" w:type="pct"/>
          </w:tcPr>
          <w:p w14:paraId="4B741AC8"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C1:</w:t>
            </w:r>
            <w:r w:rsidRPr="005D4729">
              <w:rPr>
                <w:rFonts w:ascii="Times New Roman" w:hAnsi="Times New Roman" w:cs="Times New Roman"/>
              </w:rPr>
              <w:t xml:space="preserve"> </w:t>
            </w:r>
            <w:r w:rsidRPr="005D4729">
              <w:rPr>
                <w:rFonts w:ascii="Times New Roman" w:eastAsia="Times New Roman" w:hAnsi="Times New Roman" w:cs="Times New Roman"/>
              </w:rPr>
              <w:t xml:space="preserve">Al término del segundo año, la red de agua potable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 xml:space="preserve"> se encuentra renovada y protegida en los tramos críticos identificados (19,2 km de red y 6,4 km de zonas vulnerables y ejecutan al menos 7 inspecciones técnicas preventivas)</w:t>
            </w:r>
          </w:p>
        </w:tc>
        <w:tc>
          <w:tcPr>
            <w:tcW w:w="1355" w:type="pct"/>
          </w:tcPr>
          <w:p w14:paraId="40344791"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30AA6882"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14780D1C"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5C9BA265"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Registro fotográfico de los tramos renovados.</w:t>
            </w:r>
          </w:p>
        </w:tc>
        <w:tc>
          <w:tcPr>
            <w:tcW w:w="1098" w:type="pct"/>
          </w:tcPr>
          <w:p w14:paraId="59B1D182"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Los materiales y equipos requeridos se encuentran disponibles oportunamente para la ejecución de las obras.</w:t>
            </w:r>
          </w:p>
        </w:tc>
      </w:tr>
      <w:tr w:rsidR="005D4729" w:rsidRPr="005D4729" w14:paraId="11ECED4C" w14:textId="77777777" w:rsidTr="00AF4B40">
        <w:trPr>
          <w:trHeight w:val="1290"/>
        </w:trPr>
        <w:tc>
          <w:tcPr>
            <w:tcW w:w="1234" w:type="pct"/>
            <w:hideMark/>
          </w:tcPr>
          <w:p w14:paraId="68E2AEFA"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ACTIVIDADES:</w:t>
            </w:r>
          </w:p>
          <w:p w14:paraId="5B5FAEAB"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00BCCE03"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6637EE2D"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0AB9312F"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Campañas de concientización para el cambio de </w:t>
            </w:r>
            <w:r w:rsidRPr="005D4729">
              <w:rPr>
                <w:rFonts w:ascii="Times New Roman" w:eastAsia="Times New Roman" w:hAnsi="Times New Roman" w:cs="Times New Roman"/>
              </w:rPr>
              <w:lastRenderedPageBreak/>
              <w:t>la red interna de agua potable.</w:t>
            </w:r>
          </w:p>
          <w:p w14:paraId="7DA0882D" w14:textId="77777777" w:rsidR="005D4729" w:rsidRPr="005D4729" w:rsidRDefault="005D4729" w:rsidP="005D4729">
            <w:pPr>
              <w:pStyle w:val="Prrafodelista"/>
              <w:ind w:left="360"/>
              <w:jc w:val="both"/>
              <w:rPr>
                <w:rFonts w:ascii="Times New Roman" w:eastAsia="Times New Roman" w:hAnsi="Times New Roman" w:cs="Times New Roman"/>
                <w:b/>
                <w:bCs/>
              </w:rPr>
            </w:pPr>
          </w:p>
        </w:tc>
        <w:tc>
          <w:tcPr>
            <w:tcW w:w="1313" w:type="pct"/>
          </w:tcPr>
          <w:p w14:paraId="129517B8" w14:textId="77777777"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lastRenderedPageBreak/>
              <w:t>A1.1:</w:t>
            </w:r>
            <w:r w:rsidRPr="005D4729">
              <w:rPr>
                <w:rFonts w:ascii="Times New Roman" w:hAnsi="Times New Roman" w:cs="Times New Roman"/>
              </w:rPr>
              <w:t xml:space="preserve"> $ 8.000,00</w:t>
            </w:r>
          </w:p>
          <w:p w14:paraId="7CBB9A93" w14:textId="77777777" w:rsidR="005D4729" w:rsidRPr="005D4729" w:rsidRDefault="005D4729" w:rsidP="005D4729">
            <w:pPr>
              <w:jc w:val="both"/>
              <w:rPr>
                <w:rFonts w:ascii="Times New Roman" w:hAnsi="Times New Roman" w:cs="Times New Roman"/>
              </w:rPr>
            </w:pPr>
          </w:p>
          <w:p w14:paraId="4425E41A" w14:textId="77777777"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$ 120.000,00</w:t>
            </w:r>
          </w:p>
          <w:p w14:paraId="7CAC8618" w14:textId="77777777" w:rsidR="005D4729" w:rsidRPr="005D4729" w:rsidRDefault="005D4729" w:rsidP="005D4729">
            <w:pPr>
              <w:jc w:val="both"/>
              <w:rPr>
                <w:rFonts w:ascii="Times New Roman" w:hAnsi="Times New Roman" w:cs="Times New Roman"/>
              </w:rPr>
            </w:pPr>
          </w:p>
          <w:p w14:paraId="01A13FF5" w14:textId="77777777"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A1.3:</w:t>
            </w:r>
            <w:r w:rsidRPr="005D4729">
              <w:rPr>
                <w:rFonts w:ascii="Times New Roman" w:hAnsi="Times New Roman" w:cs="Times New Roman"/>
              </w:rPr>
              <w:t xml:space="preserve"> $ 35.000,00</w:t>
            </w:r>
          </w:p>
          <w:p w14:paraId="221F4996" w14:textId="77777777" w:rsidR="005D4729" w:rsidRPr="005D4729" w:rsidRDefault="005D4729" w:rsidP="005D4729">
            <w:pPr>
              <w:jc w:val="both"/>
              <w:rPr>
                <w:rFonts w:ascii="Times New Roman" w:hAnsi="Times New Roman" w:cs="Times New Roman"/>
              </w:rPr>
            </w:pPr>
          </w:p>
          <w:p w14:paraId="2556C015"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$ 5.000,00</w:t>
            </w:r>
          </w:p>
        </w:tc>
        <w:tc>
          <w:tcPr>
            <w:tcW w:w="1355" w:type="pct"/>
          </w:tcPr>
          <w:p w14:paraId="0C13BAA3"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Informe técnico del diseño hidráulico aprobado por UMAPAL.</w:t>
            </w:r>
          </w:p>
          <w:p w14:paraId="6BEBC89B"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4F7BCC25"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B5383FA"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c>
          <w:tcPr>
            <w:tcW w:w="1098" w:type="pct"/>
          </w:tcPr>
          <w:p w14:paraId="2DFAF42C"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A1.1: </w:t>
            </w:r>
            <w:r w:rsidRPr="005D4729">
              <w:rPr>
                <w:rFonts w:ascii="Times New Roman" w:hAnsi="Times New Roman" w:cs="Times New Roman"/>
              </w:rPr>
              <w:t>Se dispone de información técnica actualizada y acceso a la infraestructura existente para realizar los estudios y diseños.</w:t>
            </w:r>
          </w:p>
          <w:p w14:paraId="0F761A79"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A1.2: </w:t>
            </w:r>
            <w:r w:rsidRPr="005D4729">
              <w:rPr>
                <w:rFonts w:ascii="Times New Roman" w:hAnsi="Times New Roman" w:cs="Times New Roman"/>
              </w:rPr>
              <w:t>La disponibilidad de materiales, maquinaria y mano de obra permite ejecutar las obras conforme al cronograma establecido.</w:t>
            </w:r>
          </w:p>
          <w:p w14:paraId="40E2494E"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lastRenderedPageBreak/>
              <w:t xml:space="preserve">A1.3: </w:t>
            </w:r>
            <w:r w:rsidRPr="005D4729">
              <w:rPr>
                <w:rFonts w:ascii="Times New Roman" w:hAnsi="Times New Roman" w:cs="Times New Roman"/>
              </w:rPr>
              <w:t>Las condiciones climáticas y del terreno permiten la construcción de las obras sin retrasos significativos.</w:t>
            </w:r>
          </w:p>
          <w:p w14:paraId="44231BC3"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 xml:space="preserve">A1.4: </w:t>
            </w:r>
            <w:r w:rsidRPr="005D4729">
              <w:rPr>
                <w:rFonts w:ascii="Times New Roman" w:hAnsi="Times New Roman" w:cs="Times New Roman"/>
              </w:rPr>
              <w:t xml:space="preserve">Los habitantes del barrio </w:t>
            </w:r>
            <w:proofErr w:type="spellStart"/>
            <w:r w:rsidRPr="005D4729">
              <w:rPr>
                <w:rFonts w:ascii="Times New Roman" w:hAnsi="Times New Roman" w:cs="Times New Roman"/>
              </w:rPr>
              <w:t>Carigán</w:t>
            </w:r>
            <w:proofErr w:type="spellEnd"/>
            <w:r w:rsidRPr="005D4729">
              <w:rPr>
                <w:rFonts w:ascii="Times New Roman" w:hAnsi="Times New Roman" w:cs="Times New Roman"/>
              </w:rPr>
              <w:t xml:space="preserve"> participan activamente en las actividades de capacitación y concientización.</w:t>
            </w:r>
          </w:p>
        </w:tc>
      </w:tr>
    </w:tbl>
    <w:p w14:paraId="561A5219" w14:textId="7B1D502B" w:rsidR="00C74371" w:rsidRDefault="00C74371" w:rsidP="00700B94">
      <w:pPr>
        <w:pStyle w:val="Prrafodelista"/>
        <w:numPr>
          <w:ilvl w:val="2"/>
          <w:numId w:val="1"/>
        </w:numPr>
        <w:spacing w:before="240" w:after="0"/>
        <w:rPr>
          <w:rFonts w:ascii="Times New Roman" w:hAnsi="Times New Roman" w:cs="Times New Roman"/>
          <w:b/>
          <w:bCs/>
          <w:sz w:val="24"/>
          <w:szCs w:val="24"/>
        </w:rPr>
      </w:pPr>
      <w:bookmarkStart w:id="0" w:name="_Hlk232891161"/>
      <w:proofErr w:type="spellStart"/>
      <w:r w:rsidRPr="00C74371">
        <w:rPr>
          <w:rFonts w:ascii="Times New Roman" w:hAnsi="Times New Roman" w:cs="Times New Roman"/>
          <w:b/>
          <w:bCs/>
          <w:sz w:val="24"/>
          <w:szCs w:val="24"/>
        </w:rPr>
        <w:lastRenderedPageBreak/>
        <w:t>Anualización</w:t>
      </w:r>
      <w:proofErr w:type="spellEnd"/>
      <w:r w:rsidRPr="00C74371">
        <w:rPr>
          <w:rFonts w:ascii="Times New Roman" w:hAnsi="Times New Roman" w:cs="Times New Roman"/>
          <w:b/>
          <w:bCs/>
          <w:sz w:val="24"/>
          <w:szCs w:val="24"/>
        </w:rPr>
        <w:t xml:space="preserve"> de las metas de los indicadores del propósito</w:t>
      </w:r>
    </w:p>
    <w:bookmarkEnd w:id="0"/>
    <w:p w14:paraId="4665525E" w14:textId="53B682CB" w:rsidR="00583D29" w:rsidRPr="00700B94" w:rsidRDefault="006C7579" w:rsidP="00700B9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Las metas del propósito, detalladas en la Tabla 8, se anualizaron tomando en cuenta los componentes, </w:t>
      </w:r>
      <w:r w:rsidR="00583D29">
        <w:rPr>
          <w:rFonts w:ascii="Times New Roman" w:hAnsi="Times New Roman" w:cs="Times New Roman"/>
          <w:sz w:val="24"/>
          <w:szCs w:val="24"/>
        </w:rPr>
        <w:t>y se efectuó la programación de las metas hasta lograr el propósito de acuerdo al tiempo estimado de ejecución del mismo.</w:t>
      </w:r>
    </w:p>
    <w:p w14:paraId="15AF1E20" w14:textId="43704DCC" w:rsidR="006C7579" w:rsidRDefault="006C7579" w:rsidP="00583D29">
      <w:pPr>
        <w:spacing w:after="0"/>
        <w:rPr>
          <w:rFonts w:ascii="Times New Roman" w:hAnsi="Times New Roman" w:cs="Times New Roman"/>
          <w:b/>
          <w:bCs/>
          <w:sz w:val="24"/>
          <w:szCs w:val="24"/>
        </w:rPr>
      </w:pPr>
      <w:r>
        <w:rPr>
          <w:rFonts w:ascii="Times New Roman" w:hAnsi="Times New Roman" w:cs="Times New Roman"/>
          <w:b/>
          <w:bCs/>
          <w:sz w:val="24"/>
          <w:szCs w:val="24"/>
        </w:rPr>
        <w:t>Tabla 8</w:t>
      </w:r>
    </w:p>
    <w:p w14:paraId="625A7691" w14:textId="32975BE9" w:rsidR="006C7579" w:rsidRPr="006C7579" w:rsidRDefault="00583D29" w:rsidP="006C7579">
      <w:pPr>
        <w:rPr>
          <w:rFonts w:ascii="Times New Roman" w:hAnsi="Times New Roman" w:cs="Times New Roman"/>
          <w:i/>
          <w:iCs/>
          <w:sz w:val="24"/>
          <w:szCs w:val="24"/>
        </w:rPr>
      </w:pPr>
      <w:proofErr w:type="spellStart"/>
      <w:r w:rsidRPr="00583D29">
        <w:rPr>
          <w:rFonts w:ascii="Times New Roman" w:hAnsi="Times New Roman" w:cs="Times New Roman"/>
          <w:i/>
          <w:iCs/>
          <w:sz w:val="24"/>
          <w:szCs w:val="24"/>
        </w:rPr>
        <w:t>Anualización</w:t>
      </w:r>
      <w:proofErr w:type="spellEnd"/>
      <w:r w:rsidRPr="00583D29">
        <w:rPr>
          <w:rFonts w:ascii="Times New Roman" w:hAnsi="Times New Roman" w:cs="Times New Roman"/>
          <w:i/>
          <w:iCs/>
          <w:sz w:val="24"/>
          <w:szCs w:val="24"/>
        </w:rPr>
        <w:t xml:space="preserve"> de las metas de los indicadores del propósito</w:t>
      </w:r>
    </w:p>
    <w:tbl>
      <w:tblPr>
        <w:tblW w:w="5000" w:type="pct"/>
        <w:tblCellMar>
          <w:left w:w="70" w:type="dxa"/>
          <w:right w:w="70" w:type="dxa"/>
        </w:tblCellMar>
        <w:tblLook w:val="04A0" w:firstRow="1" w:lastRow="0" w:firstColumn="1" w:lastColumn="0" w:noHBand="0" w:noVBand="1"/>
      </w:tblPr>
      <w:tblGrid>
        <w:gridCol w:w="1524"/>
        <w:gridCol w:w="1040"/>
        <w:gridCol w:w="963"/>
        <w:gridCol w:w="1218"/>
        <w:gridCol w:w="498"/>
        <w:gridCol w:w="851"/>
        <w:gridCol w:w="849"/>
        <w:gridCol w:w="566"/>
        <w:gridCol w:w="566"/>
        <w:gridCol w:w="941"/>
      </w:tblGrid>
      <w:tr w:rsidR="005D4729" w:rsidRPr="005D4729" w14:paraId="54CD38CA" w14:textId="77777777" w:rsidTr="005D4729">
        <w:trPr>
          <w:trHeight w:val="576"/>
        </w:trPr>
        <w:tc>
          <w:tcPr>
            <w:tcW w:w="845" w:type="pct"/>
            <w:tcBorders>
              <w:top w:val="single" w:sz="4" w:space="0" w:color="auto"/>
              <w:left w:val="single" w:sz="4" w:space="0" w:color="auto"/>
              <w:bottom w:val="single" w:sz="4" w:space="0" w:color="auto"/>
              <w:right w:val="single" w:sz="4" w:space="0" w:color="auto"/>
            </w:tcBorders>
            <w:vAlign w:val="center"/>
            <w:hideMark/>
          </w:tcPr>
          <w:p w14:paraId="0F81134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del Propósito</w:t>
            </w:r>
          </w:p>
        </w:tc>
        <w:tc>
          <w:tcPr>
            <w:tcW w:w="577" w:type="pct"/>
            <w:tcBorders>
              <w:top w:val="single" w:sz="4" w:space="0" w:color="auto"/>
              <w:left w:val="nil"/>
              <w:bottom w:val="single" w:sz="4" w:space="0" w:color="auto"/>
              <w:right w:val="single" w:sz="4" w:space="0" w:color="auto"/>
            </w:tcBorders>
            <w:vAlign w:val="center"/>
            <w:hideMark/>
          </w:tcPr>
          <w:p w14:paraId="65CCDC8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Unidad de Medida</w:t>
            </w:r>
          </w:p>
        </w:tc>
        <w:tc>
          <w:tcPr>
            <w:tcW w:w="534" w:type="pct"/>
            <w:tcBorders>
              <w:top w:val="single" w:sz="4" w:space="0" w:color="auto"/>
              <w:left w:val="nil"/>
              <w:bottom w:val="single" w:sz="4" w:space="0" w:color="auto"/>
              <w:right w:val="single" w:sz="4" w:space="0" w:color="auto"/>
            </w:tcBorders>
            <w:vAlign w:val="center"/>
            <w:hideMark/>
          </w:tcPr>
          <w:p w14:paraId="7F36576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del Propósito</w:t>
            </w:r>
          </w:p>
        </w:tc>
        <w:tc>
          <w:tcPr>
            <w:tcW w:w="675" w:type="pct"/>
            <w:tcBorders>
              <w:top w:val="single" w:sz="4" w:space="0" w:color="auto"/>
              <w:left w:val="nil"/>
              <w:bottom w:val="single" w:sz="4" w:space="0" w:color="auto"/>
              <w:right w:val="single" w:sz="4" w:space="0" w:color="auto"/>
            </w:tcBorders>
            <w:vAlign w:val="center"/>
            <w:hideMark/>
          </w:tcPr>
          <w:p w14:paraId="62C300A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Ponderación</w:t>
            </w:r>
          </w:p>
        </w:tc>
        <w:tc>
          <w:tcPr>
            <w:tcW w:w="276" w:type="pct"/>
            <w:tcBorders>
              <w:top w:val="single" w:sz="4" w:space="0" w:color="auto"/>
              <w:left w:val="nil"/>
              <w:bottom w:val="single" w:sz="4" w:space="0" w:color="auto"/>
              <w:right w:val="single" w:sz="4" w:space="0" w:color="auto"/>
            </w:tcBorders>
            <w:vAlign w:val="center"/>
            <w:hideMark/>
          </w:tcPr>
          <w:p w14:paraId="6DFBD29D"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1</w:t>
            </w:r>
          </w:p>
        </w:tc>
        <w:tc>
          <w:tcPr>
            <w:tcW w:w="472" w:type="pct"/>
            <w:tcBorders>
              <w:top w:val="single" w:sz="4" w:space="0" w:color="auto"/>
              <w:left w:val="nil"/>
              <w:bottom w:val="single" w:sz="4" w:space="0" w:color="auto"/>
              <w:right w:val="single" w:sz="4" w:space="0" w:color="auto"/>
            </w:tcBorders>
            <w:vAlign w:val="center"/>
            <w:hideMark/>
          </w:tcPr>
          <w:p w14:paraId="70CBBEBA"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2</w:t>
            </w:r>
          </w:p>
        </w:tc>
        <w:tc>
          <w:tcPr>
            <w:tcW w:w="471" w:type="pct"/>
            <w:tcBorders>
              <w:top w:val="single" w:sz="4" w:space="0" w:color="auto"/>
              <w:left w:val="nil"/>
              <w:bottom w:val="single" w:sz="4" w:space="0" w:color="auto"/>
              <w:right w:val="single" w:sz="4" w:space="0" w:color="auto"/>
            </w:tcBorders>
            <w:vAlign w:val="center"/>
            <w:hideMark/>
          </w:tcPr>
          <w:p w14:paraId="5360E2C6"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3</w:t>
            </w:r>
          </w:p>
        </w:tc>
        <w:tc>
          <w:tcPr>
            <w:tcW w:w="314" w:type="pct"/>
            <w:tcBorders>
              <w:top w:val="single" w:sz="4" w:space="0" w:color="auto"/>
              <w:left w:val="nil"/>
              <w:bottom w:val="single" w:sz="4" w:space="0" w:color="auto"/>
              <w:right w:val="single" w:sz="4" w:space="0" w:color="auto"/>
            </w:tcBorders>
            <w:vAlign w:val="center"/>
            <w:hideMark/>
          </w:tcPr>
          <w:p w14:paraId="46E8B3D9"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4</w:t>
            </w:r>
          </w:p>
        </w:tc>
        <w:tc>
          <w:tcPr>
            <w:tcW w:w="314" w:type="pct"/>
            <w:tcBorders>
              <w:top w:val="single" w:sz="4" w:space="0" w:color="auto"/>
              <w:left w:val="nil"/>
              <w:bottom w:val="single" w:sz="4" w:space="0" w:color="auto"/>
              <w:right w:val="single" w:sz="4" w:space="0" w:color="auto"/>
            </w:tcBorders>
            <w:vAlign w:val="center"/>
            <w:hideMark/>
          </w:tcPr>
          <w:p w14:paraId="6848779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5</w:t>
            </w:r>
          </w:p>
        </w:tc>
        <w:tc>
          <w:tcPr>
            <w:tcW w:w="522" w:type="pct"/>
            <w:tcBorders>
              <w:top w:val="single" w:sz="4" w:space="0" w:color="auto"/>
              <w:left w:val="nil"/>
              <w:bottom w:val="single" w:sz="4" w:space="0" w:color="auto"/>
              <w:right w:val="single" w:sz="4" w:space="0" w:color="auto"/>
            </w:tcBorders>
            <w:vAlign w:val="center"/>
            <w:hideMark/>
          </w:tcPr>
          <w:p w14:paraId="3F204A3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Total</w:t>
            </w:r>
          </w:p>
        </w:tc>
      </w:tr>
      <w:tr w:rsidR="005D4729" w:rsidRPr="005D4729" w14:paraId="7C01891C" w14:textId="77777777" w:rsidTr="005D4729">
        <w:trPr>
          <w:trHeight w:val="2016"/>
        </w:trPr>
        <w:tc>
          <w:tcPr>
            <w:tcW w:w="845" w:type="pct"/>
            <w:vMerge w:val="restart"/>
            <w:tcBorders>
              <w:top w:val="nil"/>
              <w:left w:val="single" w:sz="4" w:space="0" w:color="auto"/>
              <w:bottom w:val="single" w:sz="4" w:space="0" w:color="000000"/>
              <w:right w:val="single" w:sz="4" w:space="0" w:color="auto"/>
            </w:tcBorders>
            <w:vAlign w:val="center"/>
            <w:hideMark/>
          </w:tcPr>
          <w:p w14:paraId="6008786B" w14:textId="1569B0A3" w:rsidR="005D4729" w:rsidRPr="005D4729" w:rsidRDefault="005D4729" w:rsidP="00AF4B40">
            <w:pPr>
              <w:spacing w:after="0" w:line="240" w:lineRule="auto"/>
              <w:jc w:val="both"/>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1:</w:t>
            </w:r>
            <w:r>
              <w:rPr>
                <w:rFonts w:ascii="Times New Roman" w:eastAsia="Times New Roman" w:hAnsi="Times New Roman" w:cs="Times New Roman"/>
                <w:b/>
                <w:bCs/>
                <w:color w:val="000000"/>
                <w:sz w:val="20"/>
                <w:szCs w:val="20"/>
              </w:rPr>
              <w:t xml:space="preserve"> </w:t>
            </w:r>
            <w:r w:rsidRPr="005D4729">
              <w:rPr>
                <w:rFonts w:ascii="Times New Roman" w:eastAsia="Times New Roman" w:hAnsi="Times New Roman" w:cs="Times New Roman"/>
                <w:color w:val="000000"/>
                <w:sz w:val="20"/>
                <w:szCs w:val="20"/>
              </w:rPr>
              <w:t xml:space="preserve">Al término del segundo año, la red de agua potable del barrio </w:t>
            </w:r>
            <w:proofErr w:type="spellStart"/>
            <w:r w:rsidRPr="005D4729">
              <w:rPr>
                <w:rFonts w:ascii="Times New Roman" w:eastAsia="Times New Roman" w:hAnsi="Times New Roman" w:cs="Times New Roman"/>
                <w:color w:val="000000"/>
                <w:sz w:val="20"/>
                <w:szCs w:val="20"/>
              </w:rPr>
              <w:t>Carigán</w:t>
            </w:r>
            <w:proofErr w:type="spellEnd"/>
            <w:r w:rsidRPr="005D4729">
              <w:rPr>
                <w:rFonts w:ascii="Times New Roman" w:eastAsia="Times New Roman" w:hAnsi="Times New Roman" w:cs="Times New Roman"/>
                <w:color w:val="000000"/>
                <w:sz w:val="20"/>
                <w:szCs w:val="20"/>
              </w:rPr>
              <w:t xml:space="preserve"> se encuentra</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renovada y protegida en los tramos críticos identificados (19,2 km de red y 6,4 km de zonas vulnerables y ejecutan al menos 7 inspecciones técnicas preventivas)</w:t>
            </w:r>
          </w:p>
        </w:tc>
        <w:tc>
          <w:tcPr>
            <w:tcW w:w="577" w:type="pct"/>
            <w:tcBorders>
              <w:top w:val="nil"/>
              <w:left w:val="nil"/>
              <w:bottom w:val="single" w:sz="4" w:space="0" w:color="auto"/>
              <w:right w:val="single" w:sz="4" w:space="0" w:color="auto"/>
            </w:tcBorders>
            <w:vAlign w:val="center"/>
            <w:hideMark/>
          </w:tcPr>
          <w:p w14:paraId="4000954F" w14:textId="0FB07A8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Kilómetros</w:t>
            </w:r>
          </w:p>
        </w:tc>
        <w:tc>
          <w:tcPr>
            <w:tcW w:w="534" w:type="pct"/>
            <w:tcBorders>
              <w:top w:val="nil"/>
              <w:left w:val="nil"/>
              <w:bottom w:val="single" w:sz="4" w:space="0" w:color="auto"/>
              <w:right w:val="single" w:sz="4" w:space="0" w:color="auto"/>
            </w:tcBorders>
            <w:vAlign w:val="center"/>
            <w:hideMark/>
          </w:tcPr>
          <w:p w14:paraId="716CDBE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p>
        </w:tc>
        <w:tc>
          <w:tcPr>
            <w:tcW w:w="675" w:type="pct"/>
            <w:tcBorders>
              <w:top w:val="nil"/>
              <w:left w:val="nil"/>
              <w:bottom w:val="single" w:sz="4" w:space="0" w:color="auto"/>
              <w:right w:val="single" w:sz="4" w:space="0" w:color="auto"/>
            </w:tcBorders>
            <w:vAlign w:val="center"/>
            <w:hideMark/>
          </w:tcPr>
          <w:p w14:paraId="783C1AF4" w14:textId="686279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276" w:type="pct"/>
            <w:tcBorders>
              <w:top w:val="nil"/>
              <w:left w:val="nil"/>
              <w:bottom w:val="single" w:sz="4" w:space="0" w:color="auto"/>
              <w:right w:val="single" w:sz="4" w:space="0" w:color="auto"/>
            </w:tcBorders>
            <w:vAlign w:val="center"/>
          </w:tcPr>
          <w:p w14:paraId="34E30923" w14:textId="0059F5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472" w:type="pct"/>
            <w:tcBorders>
              <w:top w:val="nil"/>
              <w:left w:val="nil"/>
              <w:bottom w:val="single" w:sz="4" w:space="0" w:color="auto"/>
              <w:right w:val="single" w:sz="4" w:space="0" w:color="auto"/>
            </w:tcBorders>
            <w:vAlign w:val="center"/>
          </w:tcPr>
          <w:p w14:paraId="04E25F5B" w14:textId="41E853A3"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471" w:type="pct"/>
            <w:tcBorders>
              <w:top w:val="nil"/>
              <w:left w:val="nil"/>
              <w:bottom w:val="single" w:sz="4" w:space="0" w:color="auto"/>
              <w:right w:val="single" w:sz="4" w:space="0" w:color="auto"/>
            </w:tcBorders>
            <w:vAlign w:val="center"/>
          </w:tcPr>
          <w:p w14:paraId="7B70DF27" w14:textId="08DD7B2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314" w:type="pct"/>
            <w:tcBorders>
              <w:top w:val="nil"/>
              <w:left w:val="nil"/>
              <w:bottom w:val="single" w:sz="4" w:space="0" w:color="auto"/>
              <w:right w:val="single" w:sz="4" w:space="0" w:color="auto"/>
            </w:tcBorders>
            <w:vAlign w:val="center"/>
          </w:tcPr>
          <w:p w14:paraId="342DC4BE"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314" w:type="pct"/>
            <w:tcBorders>
              <w:top w:val="nil"/>
              <w:left w:val="nil"/>
              <w:bottom w:val="single" w:sz="4" w:space="0" w:color="auto"/>
              <w:right w:val="single" w:sz="4" w:space="0" w:color="auto"/>
            </w:tcBorders>
            <w:vAlign w:val="center"/>
          </w:tcPr>
          <w:p w14:paraId="5AE1845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522" w:type="pct"/>
            <w:tcBorders>
              <w:top w:val="nil"/>
              <w:left w:val="nil"/>
              <w:bottom w:val="single" w:sz="4" w:space="0" w:color="auto"/>
              <w:right w:val="single" w:sz="4" w:space="0" w:color="auto"/>
            </w:tcBorders>
            <w:vAlign w:val="center"/>
            <w:hideMark/>
          </w:tcPr>
          <w:p w14:paraId="189DE25B" w14:textId="33CAEA20"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r>
      <w:tr w:rsidR="005D4729" w:rsidRPr="005D4729" w14:paraId="5B03F55A" w14:textId="77777777" w:rsidTr="005D4729">
        <w:trPr>
          <w:trHeight w:val="1876"/>
        </w:trPr>
        <w:tc>
          <w:tcPr>
            <w:tcW w:w="845" w:type="pct"/>
            <w:vMerge/>
            <w:tcBorders>
              <w:top w:val="nil"/>
              <w:left w:val="single" w:sz="4" w:space="0" w:color="auto"/>
              <w:bottom w:val="single" w:sz="4" w:space="0" w:color="000000"/>
              <w:right w:val="single" w:sz="4" w:space="0" w:color="auto"/>
            </w:tcBorders>
            <w:vAlign w:val="center"/>
            <w:hideMark/>
          </w:tcPr>
          <w:p w14:paraId="61F5DF05" w14:textId="77777777" w:rsidR="005D4729" w:rsidRPr="005D4729" w:rsidRDefault="005D4729" w:rsidP="00AF4B40">
            <w:pPr>
              <w:spacing w:after="0" w:line="240" w:lineRule="auto"/>
              <w:rPr>
                <w:rFonts w:ascii="Times New Roman" w:eastAsia="Times New Roman" w:hAnsi="Times New Roman" w:cs="Times New Roman"/>
                <w:b/>
                <w:bCs/>
                <w:color w:val="000000"/>
                <w:sz w:val="20"/>
                <w:szCs w:val="20"/>
              </w:rPr>
            </w:pPr>
          </w:p>
        </w:tc>
        <w:tc>
          <w:tcPr>
            <w:tcW w:w="1786" w:type="pct"/>
            <w:gridSpan w:val="3"/>
            <w:tcBorders>
              <w:top w:val="single" w:sz="4" w:space="0" w:color="auto"/>
              <w:left w:val="nil"/>
              <w:bottom w:val="single" w:sz="4" w:space="0" w:color="auto"/>
              <w:right w:val="single" w:sz="4" w:space="0" w:color="000000"/>
            </w:tcBorders>
            <w:vAlign w:val="center"/>
            <w:hideMark/>
          </w:tcPr>
          <w:p w14:paraId="3079B9BB"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anual ponderada</w:t>
            </w:r>
          </w:p>
        </w:tc>
        <w:tc>
          <w:tcPr>
            <w:tcW w:w="276" w:type="pct"/>
            <w:tcBorders>
              <w:top w:val="nil"/>
              <w:left w:val="nil"/>
              <w:bottom w:val="single" w:sz="4" w:space="0" w:color="auto"/>
              <w:right w:val="single" w:sz="4" w:space="0" w:color="auto"/>
            </w:tcBorders>
            <w:vAlign w:val="center"/>
          </w:tcPr>
          <w:p w14:paraId="48D6F886" w14:textId="4B85D5A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2" w:type="pct"/>
            <w:tcBorders>
              <w:top w:val="nil"/>
              <w:left w:val="nil"/>
              <w:bottom w:val="single" w:sz="4" w:space="0" w:color="auto"/>
              <w:right w:val="single" w:sz="4" w:space="0" w:color="auto"/>
            </w:tcBorders>
            <w:vAlign w:val="center"/>
          </w:tcPr>
          <w:p w14:paraId="7A09125B" w14:textId="162AE7AB"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1" w:type="pct"/>
            <w:tcBorders>
              <w:top w:val="nil"/>
              <w:left w:val="nil"/>
              <w:bottom w:val="single" w:sz="4" w:space="0" w:color="auto"/>
              <w:right w:val="single" w:sz="4" w:space="0" w:color="auto"/>
            </w:tcBorders>
            <w:vAlign w:val="center"/>
          </w:tcPr>
          <w:p w14:paraId="4912198E" w14:textId="07065442"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566B3706" w14:textId="2B392D26"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6A2AC43C" w14:textId="70B357B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522" w:type="pct"/>
            <w:tcBorders>
              <w:top w:val="nil"/>
              <w:left w:val="nil"/>
              <w:bottom w:val="single" w:sz="4" w:space="0" w:color="auto"/>
              <w:right w:val="single" w:sz="4" w:space="0" w:color="auto"/>
            </w:tcBorders>
            <w:vAlign w:val="center"/>
            <w:hideMark/>
          </w:tcPr>
          <w:p w14:paraId="05B71096" w14:textId="77777777"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100 %</w:t>
            </w:r>
          </w:p>
        </w:tc>
      </w:tr>
    </w:tbl>
    <w:p w14:paraId="057F6EA2" w14:textId="3830C99A" w:rsidR="00C74371" w:rsidRDefault="00C74371" w:rsidP="00700B94">
      <w:pPr>
        <w:pStyle w:val="Prrafodelista"/>
        <w:numPr>
          <w:ilvl w:val="0"/>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ANÁLISIS INTEGRAL</w:t>
      </w:r>
    </w:p>
    <w:p w14:paraId="0B75C281" w14:textId="5537EE9A" w:rsidR="00C74371" w:rsidRDefault="00C74371" w:rsidP="00700B94">
      <w:pPr>
        <w:pStyle w:val="Prrafodelista"/>
        <w:numPr>
          <w:ilvl w:val="1"/>
          <w:numId w:val="1"/>
        </w:numPr>
        <w:spacing w:before="240"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Viabilidad técnica</w:t>
      </w:r>
    </w:p>
    <w:p w14:paraId="4814234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 xml:space="preserve">La viabilidad técnica del proyecto es favorable, debido a que la intervención se desarrollará sobre la infraestructura existente del sistema de agua potable del barrio </w:t>
      </w:r>
      <w:proofErr w:type="spellStart"/>
      <w:r w:rsidRPr="005D4729">
        <w:rPr>
          <w:rFonts w:ascii="Times New Roman" w:hAnsi="Times New Roman" w:cs="Times New Roman"/>
          <w:sz w:val="24"/>
          <w:szCs w:val="24"/>
        </w:rPr>
        <w:t>Carigán</w:t>
      </w:r>
      <w:proofErr w:type="spellEnd"/>
      <w:r w:rsidRPr="005D4729">
        <w:rPr>
          <w:rFonts w:ascii="Times New Roman" w:hAnsi="Times New Roman" w:cs="Times New Roman"/>
          <w:sz w:val="24"/>
          <w:szCs w:val="24"/>
        </w:rPr>
        <w:t xml:space="preserve">, donde se han identificado problemas relacionados con el deterioro de la red de distribución, las frecuentes </w:t>
      </w:r>
      <w:r w:rsidRPr="005D4729">
        <w:rPr>
          <w:rFonts w:ascii="Times New Roman" w:hAnsi="Times New Roman" w:cs="Times New Roman"/>
          <w:sz w:val="24"/>
          <w:szCs w:val="24"/>
        </w:rPr>
        <w:lastRenderedPageBreak/>
        <w:t>roturas de tuberías, la vulnerabilidad ante eventos climáticos y las deficiencias en la continuidad y calidad del servicio.</w:t>
      </w:r>
    </w:p>
    <w:p w14:paraId="479AA45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proyecto contempla la renovación integral del sistema de abastecimiento de agua potable mediante la sustitución de aproximadamente 19,2 kilómetros de tuberías deterioradas, la implementación de obras de protección en sectores vulnerables, la construcción de infraestructura complementaria, como un tanque de reserva y sistemas de cloración, así como la instalación de válvulas, equipos de control y accesorios hidráulicos que permitan optimizar el funcionamiento de la red.</w:t>
      </w:r>
    </w:p>
    <w:p w14:paraId="129FDBB4"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área de intervención dispone del espacio físico necesario para la ejecución de las obras, sin requerir la reubicación de la población ni modificaciones significativas en el uso del suelo. Asimismo, la intervención se desarrollará utilizando materiales y equipos que cumplen las especificaciones técnicas establecidas por la Unidad Municipal de Agua Potable y Alcantarillado de Loja (UMAPAL) y la normativa nacional aplicable a los sistemas de abastecimiento de agua potable.</w:t>
      </w:r>
    </w:p>
    <w:p w14:paraId="5DC96116" w14:textId="19BC350D"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 xml:space="preserve">En cuanto al aspecto financiero e institucional, el proyecto puede ser financiado mediante recursos de inversión pública gestionados por el Gobierno Autónomo Descentralizado Municipal de Loja y otras fuentes de financiamiento del Estado. Además, el GAD Municipal de Loja, a través de UMAPAL, posee las competencias legales, técnicas y administrativas para planificar, ejecutar, operar y mantener el sistema de agua potable, garantizando la sostenibilidad de la intervención y el adecuado funcionamiento del servicio para aproximadamente 2032 hogares del barrio </w:t>
      </w:r>
      <w:proofErr w:type="spellStart"/>
      <w:r w:rsidRPr="005D4729">
        <w:rPr>
          <w:rFonts w:ascii="Times New Roman" w:hAnsi="Times New Roman" w:cs="Times New Roman"/>
          <w:sz w:val="24"/>
          <w:szCs w:val="24"/>
        </w:rPr>
        <w:t>Carigán</w:t>
      </w:r>
      <w:proofErr w:type="spellEnd"/>
      <w:r w:rsidRPr="005D4729">
        <w:rPr>
          <w:rFonts w:ascii="Times New Roman" w:hAnsi="Times New Roman" w:cs="Times New Roman"/>
          <w:sz w:val="24"/>
          <w:szCs w:val="24"/>
        </w:rPr>
        <w:t>.</w:t>
      </w:r>
    </w:p>
    <w:p w14:paraId="06B50BA9" w14:textId="32BBE560"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Descripción de la Ingeniería del Proyecto</w:t>
      </w:r>
    </w:p>
    <w:p w14:paraId="3F9474A5" w14:textId="5C473274" w:rsidR="005D4729" w:rsidRPr="005D4729" w:rsidRDefault="005D4729" w:rsidP="00FD3B9C">
      <w:pPr>
        <w:spacing w:after="0" w:line="360" w:lineRule="auto"/>
        <w:rPr>
          <w:rFonts w:ascii="Times New Roman" w:hAnsi="Times New Roman" w:cs="Times New Roman"/>
          <w:b/>
          <w:bCs/>
          <w:i/>
          <w:iCs/>
          <w:sz w:val="24"/>
          <w:szCs w:val="24"/>
        </w:rPr>
      </w:pPr>
      <w:r w:rsidRPr="005D4729">
        <w:rPr>
          <w:rFonts w:ascii="Times New Roman" w:hAnsi="Times New Roman" w:cs="Times New Roman"/>
          <w:b/>
          <w:bCs/>
          <w:i/>
          <w:iCs/>
          <w:sz w:val="24"/>
          <w:szCs w:val="24"/>
        </w:rPr>
        <w:t>Componente 1</w:t>
      </w:r>
      <w:r>
        <w:rPr>
          <w:rFonts w:ascii="Times New Roman" w:hAnsi="Times New Roman" w:cs="Times New Roman"/>
          <w:b/>
          <w:bCs/>
          <w:i/>
          <w:iCs/>
          <w:sz w:val="24"/>
          <w:szCs w:val="24"/>
        </w:rPr>
        <w:t xml:space="preserve">: </w:t>
      </w:r>
      <w:r w:rsidRPr="005D4729">
        <w:rPr>
          <w:rFonts w:ascii="Times New Roman" w:hAnsi="Times New Roman" w:cs="Times New Roman"/>
          <w:b/>
          <w:bCs/>
          <w:i/>
          <w:iCs/>
          <w:sz w:val="24"/>
          <w:szCs w:val="24"/>
        </w:rPr>
        <w:t>Red de distribución de agua potable renovada y en buen estado.</w:t>
      </w:r>
    </w:p>
    <w:p w14:paraId="3D4BA32D"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1.1. Diseño técnico de la red fluvial y de agua potable.</w:t>
      </w:r>
    </w:p>
    <w:p w14:paraId="19BFC8E5" w14:textId="1424EFAD"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5D4729">
        <w:rPr>
          <w:rFonts w:ascii="Times New Roman" w:hAnsi="Times New Roman" w:cs="Times New Roman"/>
          <w:sz w:val="24"/>
          <w:szCs w:val="24"/>
        </w:rPr>
        <w:t xml:space="preserve">laboración de los estudios y diseños técnicos necesarios para la renovación del sistema de agua potable del barrio </w:t>
      </w:r>
      <w:proofErr w:type="spellStart"/>
      <w:r w:rsidRPr="005D4729">
        <w:rPr>
          <w:rFonts w:ascii="Times New Roman" w:hAnsi="Times New Roman" w:cs="Times New Roman"/>
          <w:sz w:val="24"/>
          <w:szCs w:val="24"/>
        </w:rPr>
        <w:t>Carigán</w:t>
      </w:r>
      <w:proofErr w:type="spellEnd"/>
      <w:r w:rsidRPr="005D4729">
        <w:rPr>
          <w:rFonts w:ascii="Times New Roman" w:hAnsi="Times New Roman" w:cs="Times New Roman"/>
          <w:sz w:val="24"/>
          <w:szCs w:val="24"/>
        </w:rPr>
        <w:t>. Comprende el levantamiento de información de campo, inspecciones técnicas, identificación de tramos críticos y elaboración de planos hidráulicos, memorias de cálculo, presupuestos y especificaciones técnicas que servirán de base para la ejecución del proyecto.</w:t>
      </w:r>
    </w:p>
    <w:p w14:paraId="6D8AC0F8"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1.2. Cambio total del sistema de tuberías en todo el sector.</w:t>
      </w:r>
    </w:p>
    <w:p w14:paraId="7F19EABE" w14:textId="237C460C"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5D4729">
        <w:rPr>
          <w:rFonts w:ascii="Times New Roman" w:hAnsi="Times New Roman" w:cs="Times New Roman"/>
          <w:sz w:val="24"/>
          <w:szCs w:val="24"/>
        </w:rPr>
        <w:t xml:space="preserve">ustitución integral de aproximadamente 19,2 kilómetros de tuberías deterioradas, incluyendo las actividades de excavación, retiro de tuberías existentes, colocación de cama de arena, instalación de nuevas tuberías PVC presión, válvulas y accesorios hidráulicos, relleno y compactación de zanjas, así como la reposición de las superficies intervenidas. La ejecución </w:t>
      </w:r>
      <w:r w:rsidRPr="005D4729">
        <w:rPr>
          <w:rFonts w:ascii="Times New Roman" w:hAnsi="Times New Roman" w:cs="Times New Roman"/>
          <w:sz w:val="24"/>
          <w:szCs w:val="24"/>
        </w:rPr>
        <w:lastRenderedPageBreak/>
        <w:t>de estas obras permitirá reducir significativamente las roturas de la red y mejorar la continuidad del servicio de agua potable.</w:t>
      </w:r>
    </w:p>
    <w:p w14:paraId="204F7695"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1.3. Construcción de drenaje adecuado para la reducción de vulnerabilidad del sistema frente a lluvias y deslizamientos.</w:t>
      </w:r>
    </w:p>
    <w:p w14:paraId="2384F9D6" w14:textId="60B4040A"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Pr="005D4729">
        <w:rPr>
          <w:rFonts w:ascii="Times New Roman" w:hAnsi="Times New Roman" w:cs="Times New Roman"/>
          <w:sz w:val="24"/>
          <w:szCs w:val="24"/>
        </w:rPr>
        <w:t>onstrucción de obras de drenaje y protección en aproximadamente 6,4 kilómetros de zonas vulnerables, mediante la implementación de sistemas de evacuación de aguas lluvias y obras de estabilización del terreno. Estas intervenciones tienen como finalidad reducir los riesgos de afectación a la infraestructura hidráulica ocasionados por fenómenos climáticos y garantizar la seguridad y funcionamiento continuo del sistema de agua potable.</w:t>
      </w:r>
    </w:p>
    <w:p w14:paraId="3F715A10"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1.4. Campañas de concientización para el cambio de la red interna de agua potable.</w:t>
      </w:r>
    </w:p>
    <w:p w14:paraId="6D5B7548" w14:textId="5692BDD5" w:rsidR="005D4729" w:rsidRPr="005D4729" w:rsidRDefault="005D47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Pr="005D4729">
        <w:rPr>
          <w:rFonts w:ascii="Times New Roman" w:hAnsi="Times New Roman" w:cs="Times New Roman"/>
          <w:sz w:val="24"/>
          <w:szCs w:val="24"/>
        </w:rPr>
        <w:t xml:space="preserve">esarrollo de jornadas de capacitación y socialización dirigidas a los habitantes del barrio </w:t>
      </w:r>
      <w:proofErr w:type="spellStart"/>
      <w:r w:rsidRPr="005D4729">
        <w:rPr>
          <w:rFonts w:ascii="Times New Roman" w:hAnsi="Times New Roman" w:cs="Times New Roman"/>
          <w:sz w:val="24"/>
          <w:szCs w:val="24"/>
        </w:rPr>
        <w:t>Carigán</w:t>
      </w:r>
      <w:proofErr w:type="spellEnd"/>
      <w:r w:rsidRPr="005D4729">
        <w:rPr>
          <w:rFonts w:ascii="Times New Roman" w:hAnsi="Times New Roman" w:cs="Times New Roman"/>
          <w:sz w:val="24"/>
          <w:szCs w:val="24"/>
        </w:rPr>
        <w:t>, orientadas a promover el uso responsable del agua potable, la protección de la infraestructura instalada y la importancia de la renovación de las conexiones internas. Asimismo, se fomentará la participación comunitaria en el cuidado y monitoreo del sistema, contribuyendo a la sostenibilidad de la inversión pública realizada.</w:t>
      </w:r>
    </w:p>
    <w:p w14:paraId="00B62409" w14:textId="17B8ED6A"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Especi</w:t>
      </w:r>
      <w:r w:rsidR="005D4729">
        <w:rPr>
          <w:rFonts w:ascii="Times New Roman" w:hAnsi="Times New Roman" w:cs="Times New Roman"/>
          <w:b/>
          <w:bCs/>
          <w:sz w:val="24"/>
          <w:szCs w:val="24"/>
        </w:rPr>
        <w:t>fic</w:t>
      </w:r>
      <w:r>
        <w:rPr>
          <w:rFonts w:ascii="Times New Roman" w:hAnsi="Times New Roman" w:cs="Times New Roman"/>
          <w:b/>
          <w:bCs/>
          <w:sz w:val="24"/>
          <w:szCs w:val="24"/>
        </w:rPr>
        <w:t>aciones técnicas</w:t>
      </w:r>
    </w:p>
    <w:p w14:paraId="449D75E6" w14:textId="554D74D1"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9</w:t>
      </w:r>
    </w:p>
    <w:p w14:paraId="4D1BBE9C" w14:textId="77777777" w:rsidR="005D4729" w:rsidRDefault="005D4729" w:rsidP="005D4729">
      <w:pPr>
        <w:spacing w:after="0" w:line="360" w:lineRule="auto"/>
        <w:jc w:val="both"/>
        <w:rPr>
          <w:rFonts w:ascii="Times New Roman" w:eastAsia="Times New Roman" w:hAnsi="Times New Roman" w:cs="Times New Roman"/>
          <w:i/>
          <w:iCs/>
          <w:sz w:val="24"/>
          <w:szCs w:val="24"/>
        </w:rPr>
      </w:pPr>
      <w:r w:rsidRPr="008D6F11">
        <w:rPr>
          <w:rFonts w:ascii="Times New Roman" w:eastAsia="Times New Roman" w:hAnsi="Times New Roman" w:cs="Times New Roman"/>
          <w:i/>
          <w:iCs/>
          <w:sz w:val="24"/>
          <w:szCs w:val="24"/>
        </w:rPr>
        <w:t>Requerimientos técnicos para la ejecución del proyecto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692"/>
        <w:gridCol w:w="4349"/>
      </w:tblGrid>
      <w:tr w:rsidR="005D4729" w:rsidRPr="005D4729" w14:paraId="35A4F4EF" w14:textId="77777777" w:rsidTr="005D4729">
        <w:tc>
          <w:tcPr>
            <w:tcW w:w="1100" w:type="pct"/>
            <w:tcBorders>
              <w:top w:val="single" w:sz="4" w:space="0" w:color="auto"/>
              <w:bottom w:val="single" w:sz="4" w:space="0" w:color="auto"/>
            </w:tcBorders>
            <w:vAlign w:val="center"/>
            <w:hideMark/>
          </w:tcPr>
          <w:p w14:paraId="35479DF3"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Actividad</w:t>
            </w:r>
          </w:p>
        </w:tc>
        <w:tc>
          <w:tcPr>
            <w:tcW w:w="1491" w:type="pct"/>
            <w:tcBorders>
              <w:top w:val="single" w:sz="4" w:space="0" w:color="auto"/>
              <w:bottom w:val="single" w:sz="4" w:space="0" w:color="auto"/>
            </w:tcBorders>
            <w:vAlign w:val="center"/>
            <w:hideMark/>
          </w:tcPr>
          <w:p w14:paraId="17835450"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Maquinaria / Equipo</w:t>
            </w:r>
          </w:p>
        </w:tc>
        <w:tc>
          <w:tcPr>
            <w:tcW w:w="2409" w:type="pct"/>
            <w:tcBorders>
              <w:top w:val="single" w:sz="4" w:space="0" w:color="auto"/>
              <w:bottom w:val="single" w:sz="4" w:space="0" w:color="auto"/>
            </w:tcBorders>
            <w:vAlign w:val="center"/>
            <w:hideMark/>
          </w:tcPr>
          <w:p w14:paraId="24463D28"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 técnica</w:t>
            </w:r>
          </w:p>
        </w:tc>
      </w:tr>
      <w:tr w:rsidR="005D4729" w:rsidRPr="005D4729" w14:paraId="46ABFF01" w14:textId="77777777" w:rsidTr="00AF64F6">
        <w:tc>
          <w:tcPr>
            <w:tcW w:w="1100" w:type="pct"/>
            <w:vMerge w:val="restart"/>
            <w:tcBorders>
              <w:top w:val="single" w:sz="4" w:space="0" w:color="auto"/>
            </w:tcBorders>
            <w:vAlign w:val="center"/>
            <w:hideMark/>
          </w:tcPr>
          <w:p w14:paraId="145540A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1.1. Diseño técnico de la red fluvial del agua potable</w:t>
            </w:r>
          </w:p>
        </w:tc>
        <w:tc>
          <w:tcPr>
            <w:tcW w:w="1491" w:type="pct"/>
            <w:tcBorders>
              <w:top w:val="single" w:sz="4" w:space="0" w:color="auto"/>
              <w:bottom w:val="nil"/>
            </w:tcBorders>
            <w:vAlign w:val="center"/>
            <w:hideMark/>
          </w:tcPr>
          <w:p w14:paraId="259E199E"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topográficos y GPS</w:t>
            </w:r>
          </w:p>
        </w:tc>
        <w:tc>
          <w:tcPr>
            <w:tcW w:w="2409" w:type="pct"/>
            <w:tcBorders>
              <w:top w:val="single" w:sz="4" w:space="0" w:color="auto"/>
              <w:bottom w:val="nil"/>
            </w:tcBorders>
            <w:vAlign w:val="center"/>
            <w:hideMark/>
          </w:tcPr>
          <w:p w14:paraId="3D4978C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de precisión para levantamiento de información, georreferenciación y elaboración de planos hidráulicos.</w:t>
            </w:r>
          </w:p>
        </w:tc>
      </w:tr>
      <w:tr w:rsidR="005D4729" w:rsidRPr="005D4729" w14:paraId="12C2C6BC" w14:textId="77777777" w:rsidTr="00AF64F6">
        <w:tc>
          <w:tcPr>
            <w:tcW w:w="1100" w:type="pct"/>
            <w:vMerge/>
            <w:tcBorders>
              <w:bottom w:val="single" w:sz="4" w:space="0" w:color="auto"/>
            </w:tcBorders>
            <w:vAlign w:val="center"/>
            <w:hideMark/>
          </w:tcPr>
          <w:p w14:paraId="4F629B7C"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14F3C0E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informáticos y software especializado</w:t>
            </w:r>
          </w:p>
        </w:tc>
        <w:tc>
          <w:tcPr>
            <w:tcW w:w="2409" w:type="pct"/>
            <w:tcBorders>
              <w:top w:val="nil"/>
              <w:bottom w:val="single" w:sz="4" w:space="0" w:color="auto"/>
            </w:tcBorders>
            <w:vAlign w:val="center"/>
            <w:hideMark/>
          </w:tcPr>
          <w:p w14:paraId="663B79F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Computadoras y programas de diseño hidráulico y elaboración de planos y presupuestos técnicos.</w:t>
            </w:r>
          </w:p>
        </w:tc>
      </w:tr>
      <w:tr w:rsidR="005D4729" w:rsidRPr="005D4729" w14:paraId="08160998" w14:textId="77777777" w:rsidTr="005D4729">
        <w:tc>
          <w:tcPr>
            <w:tcW w:w="1100" w:type="pct"/>
            <w:vMerge w:val="restart"/>
            <w:tcBorders>
              <w:top w:val="single" w:sz="4" w:space="0" w:color="auto"/>
            </w:tcBorders>
            <w:vAlign w:val="center"/>
            <w:hideMark/>
          </w:tcPr>
          <w:p w14:paraId="554ED12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1.2. Cambio total del sistema de tuberías en todo el sector</w:t>
            </w:r>
          </w:p>
        </w:tc>
        <w:tc>
          <w:tcPr>
            <w:tcW w:w="1491" w:type="pct"/>
            <w:tcBorders>
              <w:top w:val="single" w:sz="4" w:space="0" w:color="auto"/>
            </w:tcBorders>
            <w:vAlign w:val="center"/>
            <w:hideMark/>
          </w:tcPr>
          <w:p w14:paraId="4BBA50C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45B9E86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de balde entre 0,8 y 1,2 m³ para excavación de zanjas.</w:t>
            </w:r>
          </w:p>
        </w:tc>
      </w:tr>
      <w:tr w:rsidR="005D4729" w:rsidRPr="005D4729" w14:paraId="75A88E2F" w14:textId="77777777" w:rsidTr="005D4729">
        <w:tc>
          <w:tcPr>
            <w:tcW w:w="1100" w:type="pct"/>
            <w:vMerge/>
            <w:vAlign w:val="center"/>
            <w:hideMark/>
          </w:tcPr>
          <w:p w14:paraId="507AD2F3"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12FBA01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Retroexcavadora</w:t>
            </w:r>
          </w:p>
        </w:tc>
        <w:tc>
          <w:tcPr>
            <w:tcW w:w="2409" w:type="pct"/>
            <w:vAlign w:val="center"/>
            <w:hideMark/>
          </w:tcPr>
          <w:p w14:paraId="5A39C78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Adecuación de zanjas y manejo de materiales.</w:t>
            </w:r>
          </w:p>
        </w:tc>
      </w:tr>
      <w:tr w:rsidR="005D4729" w:rsidRPr="005D4729" w14:paraId="0AE66E40" w14:textId="77777777" w:rsidTr="005D4729">
        <w:tc>
          <w:tcPr>
            <w:tcW w:w="1100" w:type="pct"/>
            <w:vMerge/>
            <w:vAlign w:val="center"/>
            <w:hideMark/>
          </w:tcPr>
          <w:p w14:paraId="5E63A2D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2F6B4FC0"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Volqueta</w:t>
            </w:r>
          </w:p>
        </w:tc>
        <w:tc>
          <w:tcPr>
            <w:tcW w:w="2409" w:type="pct"/>
            <w:vAlign w:val="center"/>
            <w:hideMark/>
          </w:tcPr>
          <w:p w14:paraId="42DF485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mínima de carga de 8 a 12 m³ para transporte de materiales y escombros.</w:t>
            </w:r>
          </w:p>
        </w:tc>
      </w:tr>
      <w:tr w:rsidR="005D4729" w:rsidRPr="005D4729" w14:paraId="01AA80C5" w14:textId="77777777" w:rsidTr="005D4729">
        <w:tc>
          <w:tcPr>
            <w:tcW w:w="1100" w:type="pct"/>
            <w:vMerge/>
            <w:vAlign w:val="center"/>
            <w:hideMark/>
          </w:tcPr>
          <w:p w14:paraId="4520356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7FADE4C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vAlign w:val="center"/>
            <w:hideMark/>
          </w:tcPr>
          <w:p w14:paraId="4D2E3B6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rellenos y superficies intervenidas.</w:t>
            </w:r>
          </w:p>
        </w:tc>
      </w:tr>
      <w:tr w:rsidR="005D4729" w:rsidRPr="005D4729" w14:paraId="6B03AE5F" w14:textId="77777777" w:rsidTr="005D4729">
        <w:tc>
          <w:tcPr>
            <w:tcW w:w="1100" w:type="pct"/>
            <w:tcBorders>
              <w:bottom w:val="nil"/>
            </w:tcBorders>
            <w:vAlign w:val="center"/>
            <w:hideMark/>
          </w:tcPr>
          <w:p w14:paraId="051AB394"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6C67D61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Tubería PVC presión</w:t>
            </w:r>
          </w:p>
        </w:tc>
        <w:tc>
          <w:tcPr>
            <w:tcW w:w="2409" w:type="pct"/>
            <w:tcBorders>
              <w:bottom w:val="nil"/>
            </w:tcBorders>
            <w:vAlign w:val="center"/>
            <w:hideMark/>
          </w:tcPr>
          <w:p w14:paraId="668DDA7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Diámetros establecidos en el diseño hidráulico, cumpliendo las normas INEN y especificaciones de UMAPAL.</w:t>
            </w:r>
          </w:p>
        </w:tc>
      </w:tr>
      <w:tr w:rsidR="005D4729" w:rsidRPr="005D4729" w14:paraId="4F8A3F39" w14:textId="77777777" w:rsidTr="005D4729">
        <w:tc>
          <w:tcPr>
            <w:tcW w:w="1100" w:type="pct"/>
            <w:tcBorders>
              <w:top w:val="nil"/>
              <w:bottom w:val="single" w:sz="4" w:space="0" w:color="auto"/>
            </w:tcBorders>
            <w:vAlign w:val="center"/>
            <w:hideMark/>
          </w:tcPr>
          <w:p w14:paraId="07455EDD"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0B54EA9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Válvulas y accesorios hidráulicos</w:t>
            </w:r>
          </w:p>
        </w:tc>
        <w:tc>
          <w:tcPr>
            <w:tcW w:w="2409" w:type="pct"/>
            <w:tcBorders>
              <w:top w:val="nil"/>
              <w:bottom w:val="single" w:sz="4" w:space="0" w:color="auto"/>
            </w:tcBorders>
            <w:vAlign w:val="center"/>
            <w:hideMark/>
          </w:tcPr>
          <w:p w14:paraId="53B7DC4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Elementos de control y regulación del sistema de distribución de agua potable.</w:t>
            </w:r>
          </w:p>
        </w:tc>
      </w:tr>
      <w:tr w:rsidR="005D4729" w:rsidRPr="005D4729" w14:paraId="4E788F1B" w14:textId="77777777" w:rsidTr="005D4729">
        <w:tc>
          <w:tcPr>
            <w:tcW w:w="1100" w:type="pct"/>
            <w:vMerge w:val="restart"/>
            <w:tcBorders>
              <w:top w:val="single" w:sz="4" w:space="0" w:color="auto"/>
            </w:tcBorders>
            <w:vAlign w:val="center"/>
            <w:hideMark/>
          </w:tcPr>
          <w:p w14:paraId="05A846B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1.3. Construcción de drenaje y obras de protección</w:t>
            </w:r>
          </w:p>
        </w:tc>
        <w:tc>
          <w:tcPr>
            <w:tcW w:w="1491" w:type="pct"/>
            <w:tcBorders>
              <w:top w:val="single" w:sz="4" w:space="0" w:color="auto"/>
            </w:tcBorders>
            <w:vAlign w:val="center"/>
            <w:hideMark/>
          </w:tcPr>
          <w:p w14:paraId="23ADF8F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643488FF"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Construcción de zanjas y obras de drenaje en zonas vulnerables.</w:t>
            </w:r>
          </w:p>
        </w:tc>
      </w:tr>
      <w:tr w:rsidR="005D4729" w:rsidRPr="005D4729" w14:paraId="3725E8BD" w14:textId="77777777" w:rsidTr="00EA3864">
        <w:tc>
          <w:tcPr>
            <w:tcW w:w="1100" w:type="pct"/>
            <w:vMerge/>
            <w:vAlign w:val="center"/>
            <w:hideMark/>
          </w:tcPr>
          <w:p w14:paraId="0216CAF1"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3F7421A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tcBorders>
              <w:bottom w:val="nil"/>
            </w:tcBorders>
            <w:vAlign w:val="center"/>
            <w:hideMark/>
          </w:tcPr>
          <w:p w14:paraId="653B833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suelos y estabilización de terrenos intervenidos.</w:t>
            </w:r>
          </w:p>
        </w:tc>
      </w:tr>
      <w:tr w:rsidR="005D4729" w:rsidRPr="005D4729" w14:paraId="4658D674" w14:textId="77777777" w:rsidTr="00EA3864">
        <w:tc>
          <w:tcPr>
            <w:tcW w:w="1100" w:type="pct"/>
            <w:vMerge/>
            <w:tcBorders>
              <w:bottom w:val="single" w:sz="4" w:space="0" w:color="auto"/>
            </w:tcBorders>
            <w:vAlign w:val="center"/>
            <w:hideMark/>
          </w:tcPr>
          <w:p w14:paraId="445E7BFE"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77C7973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pétreo y hormigón</w:t>
            </w:r>
          </w:p>
        </w:tc>
        <w:tc>
          <w:tcPr>
            <w:tcW w:w="2409" w:type="pct"/>
            <w:tcBorders>
              <w:top w:val="nil"/>
              <w:bottom w:val="single" w:sz="4" w:space="0" w:color="auto"/>
            </w:tcBorders>
            <w:vAlign w:val="center"/>
            <w:hideMark/>
          </w:tcPr>
          <w:p w14:paraId="3F01E271"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Materiales para la construcción de drenajes y obras de protección.</w:t>
            </w:r>
          </w:p>
        </w:tc>
      </w:tr>
      <w:tr w:rsidR="005D4729" w:rsidRPr="005D4729" w14:paraId="34639FBC" w14:textId="77777777" w:rsidTr="005D4729">
        <w:tc>
          <w:tcPr>
            <w:tcW w:w="1100" w:type="pct"/>
            <w:vMerge w:val="restart"/>
            <w:tcBorders>
              <w:top w:val="single" w:sz="4" w:space="0" w:color="auto"/>
            </w:tcBorders>
            <w:vAlign w:val="center"/>
            <w:hideMark/>
          </w:tcPr>
          <w:p w14:paraId="5927EBF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1.4. Campañas de concientización para el cambio de la red interna de agua potable</w:t>
            </w:r>
          </w:p>
        </w:tc>
        <w:tc>
          <w:tcPr>
            <w:tcW w:w="1491" w:type="pct"/>
            <w:tcBorders>
              <w:top w:val="single" w:sz="4" w:space="0" w:color="auto"/>
            </w:tcBorders>
            <w:vAlign w:val="center"/>
            <w:hideMark/>
          </w:tcPr>
          <w:p w14:paraId="6B945C09"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audiovisuales</w:t>
            </w:r>
          </w:p>
        </w:tc>
        <w:tc>
          <w:tcPr>
            <w:tcW w:w="2409" w:type="pct"/>
            <w:tcBorders>
              <w:top w:val="single" w:sz="4" w:space="0" w:color="auto"/>
            </w:tcBorders>
            <w:vAlign w:val="center"/>
            <w:hideMark/>
          </w:tcPr>
          <w:p w14:paraId="359BC86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Proyector, computador y material informativo para actividades de capacitación comunitaria.</w:t>
            </w:r>
          </w:p>
        </w:tc>
      </w:tr>
      <w:tr w:rsidR="005D4729" w:rsidRPr="005D4729" w14:paraId="69AD61FB" w14:textId="77777777" w:rsidTr="005D4729">
        <w:tc>
          <w:tcPr>
            <w:tcW w:w="1100" w:type="pct"/>
            <w:vMerge/>
            <w:vAlign w:val="center"/>
            <w:hideMark/>
          </w:tcPr>
          <w:p w14:paraId="6CF3CF5A" w14:textId="77777777" w:rsidR="005D4729" w:rsidRPr="005D4729" w:rsidRDefault="005D4729" w:rsidP="005D4729">
            <w:pPr>
              <w:rPr>
                <w:rFonts w:ascii="Times New Roman" w:eastAsia="Times New Roman" w:hAnsi="Times New Roman" w:cs="Times New Roman"/>
                <w:lang w:val="es-MX" w:eastAsia="es-MX"/>
              </w:rPr>
            </w:pPr>
          </w:p>
        </w:tc>
        <w:tc>
          <w:tcPr>
            <w:tcW w:w="1491" w:type="pct"/>
            <w:vAlign w:val="center"/>
            <w:hideMark/>
          </w:tcPr>
          <w:p w14:paraId="6066AAA7"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didáctico</w:t>
            </w:r>
          </w:p>
        </w:tc>
        <w:tc>
          <w:tcPr>
            <w:tcW w:w="2409" w:type="pct"/>
            <w:vAlign w:val="center"/>
            <w:hideMark/>
          </w:tcPr>
          <w:p w14:paraId="5DADA55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Folletos, cartillas y material de difusión sobre el uso responsable del agua potable y conservación de la infraestructura.</w:t>
            </w:r>
          </w:p>
        </w:tc>
      </w:tr>
    </w:tbl>
    <w:p w14:paraId="1E86F631" w14:textId="7F642D28" w:rsidR="00C74371" w:rsidRDefault="00C74371" w:rsidP="00700B94">
      <w:pPr>
        <w:pStyle w:val="Prrafodelista"/>
        <w:numPr>
          <w:ilvl w:val="1"/>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Viabilidad financiera fiscal</w:t>
      </w:r>
    </w:p>
    <w:p w14:paraId="4125666B" w14:textId="48104C4D"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sidRPr="00C74371">
        <w:rPr>
          <w:rFonts w:ascii="Times New Roman" w:hAnsi="Times New Roman" w:cs="Times New Roman"/>
          <w:b/>
          <w:bCs/>
          <w:sz w:val="24"/>
          <w:szCs w:val="24"/>
        </w:rPr>
        <w:t>Metodología utilizada para el cálculo de la inversión total, costos de operación y mantenimiento, ingresos y beneficios.</w:t>
      </w:r>
    </w:p>
    <w:p w14:paraId="607F93F0" w14:textId="5594E96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Inversión total</w:t>
      </w:r>
    </w:p>
    <w:p w14:paraId="195B56AD"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Estudios y diseños técnicos: El costo de los estudios y diseños técnicos se determinará considerando el levantamiento de información de campo, el diagnóstico de la infraestructura existente y la elaboración de planos hidráulicos, especificaciones técnicas, presupuestos y cronogramas necesarios para la ejecución del proyecto. Este valor se estima de acuerdo con los honorarios profesionales y los precios de mercado vigentes.</w:t>
      </w:r>
    </w:p>
    <w:p w14:paraId="6018E152"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Renovación de la red de distribución de agua potable: El costo de la renovación de la red se calculará considerando la intervención de aproximadamente 19,2 kilómetros de tuberías, multiplicados por los costos unitarios correspondientes a las actividades de limpieza, excavación, colocación de cama de arena, instalación de tubería PVC, instalación de válvulas, relleno y reposición de las áreas intervenidas.</w:t>
      </w:r>
    </w:p>
    <w:p w14:paraId="3588E2A7"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Obras de protección y drenaje: El costo de las obras de protección se determinará considerando la ejecución de obras complementarias destinadas a disminuir la vulnerabilidad del sistema ante lluvias y deslizamientos, incluyendo la construcción de drenajes, estabilización de sectores críticos y obras de protección de la infraestructura hidráulica.</w:t>
      </w:r>
    </w:p>
    <w:p w14:paraId="5F6BEEAB"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Infraestructura complementaria: El costo de la infraestructura complementaria comprende la construcción de obras de captación y protección, la implementación de un tanque de reserva, la construcción de la caseta de cloración y la adquisición de equipos de cloración y macro medición necesarios para garantizar la continuidad y calidad del servicio de agua potable.</w:t>
      </w:r>
    </w:p>
    <w:p w14:paraId="4AAFF355"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Maquinaria, equipos y gastos generales: Este costo se determinará considerando la utilización de maquinaria pesada, combustibles, herramientas menores, equipos de control, señalización y seguridad industrial, así como las actividades de limpieza y ordenamiento final de las áreas intervenidas.</w:t>
      </w:r>
    </w:p>
    <w:p w14:paraId="5B16DC38" w14:textId="52A42AF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lastRenderedPageBreak/>
        <w:t>Costos de operación y mantenimiento</w:t>
      </w:r>
    </w:p>
    <w:p w14:paraId="170B301B"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Operación del sistema de agua potable: El costo de operación se determinará considerando la contratación del personal encargado de la administración, operación y monitoreo del sistema de agua potable, incluyendo operador del sistema, técnico de mantenimiento y apoyo administrativo.</w:t>
      </w:r>
    </w:p>
    <w:p w14:paraId="23413488"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Energía eléctrica e insumos de desinfección: El costo se calculará considerando el consumo anual de energía eléctrica requerido para el funcionamiento de la infraestructura hidráulica, así como la adquisición de cloro, reactivos e insumos necesarios para garantizar la calidad sanitaria del agua.</w:t>
      </w:r>
    </w:p>
    <w:p w14:paraId="17890C24"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Mantenimiento preventivo de la infraestructura: El costo de mantenimiento preventivo se determinará considerando las actividades periódicas de inspección, reparación y mantenimiento de redes, válvulas, hidrantes, tanques y demás componentes del sistema de distribución de agua potable.</w:t>
      </w:r>
    </w:p>
    <w:p w14:paraId="7FA38688" w14:textId="78F65C99" w:rsid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Herramientas, materiales y movilización: Este costo comprenderá la adquisición y mantenimiento de herramientas menores, materiales de apoyo y gastos de transporte y movilización necesarios para ejecutar las actividades de operación y mantenimiento del sistema.</w:t>
      </w:r>
    </w:p>
    <w:p w14:paraId="1E4B5CEF" w14:textId="4C6ED6CA" w:rsidR="00FA5A7B" w:rsidRPr="00FA5A7B" w:rsidRDefault="00FA5A7B" w:rsidP="00FA5A7B">
      <w:pPr>
        <w:spacing w:after="0" w:line="360" w:lineRule="auto"/>
        <w:jc w:val="both"/>
        <w:rPr>
          <w:rFonts w:ascii="Times New Roman" w:hAnsi="Times New Roman" w:cs="Times New Roman"/>
          <w:sz w:val="24"/>
          <w:szCs w:val="24"/>
        </w:rPr>
      </w:pPr>
      <w:r w:rsidRPr="00FA5A7B">
        <w:rPr>
          <w:rFonts w:ascii="Times New Roman" w:hAnsi="Times New Roman" w:cs="Times New Roman"/>
          <w:sz w:val="24"/>
          <w:szCs w:val="24"/>
        </w:rPr>
        <w:t>Debido a que el presente proyecto es un estudio de</w:t>
      </w:r>
      <w:r>
        <w:rPr>
          <w:rFonts w:ascii="Times New Roman" w:hAnsi="Times New Roman" w:cs="Times New Roman"/>
          <w:sz w:val="24"/>
          <w:szCs w:val="24"/>
        </w:rPr>
        <w:t xml:space="preserve"> </w:t>
      </w:r>
      <w:r w:rsidRPr="00FA5A7B">
        <w:rPr>
          <w:rFonts w:ascii="Times New Roman" w:hAnsi="Times New Roman" w:cs="Times New Roman"/>
          <w:sz w:val="24"/>
          <w:szCs w:val="24"/>
        </w:rPr>
        <w:t>factibilidad, los costos se presentan de forma general, según el nivel de detalle propio de esta etapa. Por ello, no se desglosan insumos menores como clavos, tornillos u otros materiales de baja cuantía, ya que estos se incluyen dentro de rubros globales como herramientas y equipos menores.</w:t>
      </w:r>
    </w:p>
    <w:p w14:paraId="3F6D1E38" w14:textId="4CEB99F5"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Ingresos</w:t>
      </w:r>
    </w:p>
    <w:p w14:paraId="582D2C46"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Al tratarse de un proyecto de inversión pública de carácter social, el proyecto no genera ingresos económicos directos provenientes de actividades comerciales. Sin embargo, produce beneficios económicos y sociales indirectos para la población beneficiaria, entre los que destacan la reducción del gasto en la compra de agua para consumo humano, la disminución de enfermedades asociadas al consumo de agua de baja calidad y la reducción de costos de atención médica.</w:t>
      </w:r>
    </w:p>
    <w:p w14:paraId="580862C7" w14:textId="3CC84FDE" w:rsid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Considerando una población aproximada de 6.500 habitantes, equivalente a 2.031 hogares, se estima un beneficio económico indirecto anual de $57.890,63, generado a partir del primer año de operación del proyecto.</w:t>
      </w:r>
    </w:p>
    <w:p w14:paraId="5F8335DE" w14:textId="3619AE59" w:rsidR="00583D29" w:rsidRPr="00583D29" w:rsidRDefault="00583D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la Tabla 10 se detallan las características físicas y técnicas de los materiales, suministros y servicios que conforman los componentes del proyecto para su ejecución.</w:t>
      </w:r>
    </w:p>
    <w:p w14:paraId="5C802F91" w14:textId="762E0F19" w:rsidR="00BE2B9B" w:rsidRDefault="00BE2B9B" w:rsidP="00BE2B9B">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Tabla </w:t>
      </w:r>
      <w:r w:rsidR="00583D29">
        <w:rPr>
          <w:rFonts w:ascii="Times New Roman" w:hAnsi="Times New Roman" w:cs="Times New Roman"/>
          <w:b/>
          <w:bCs/>
          <w:sz w:val="24"/>
          <w:szCs w:val="24"/>
        </w:rPr>
        <w:t>10</w:t>
      </w:r>
    </w:p>
    <w:p w14:paraId="3CADAB69" w14:textId="3925111B" w:rsidR="00BE2B9B" w:rsidRDefault="00583D29" w:rsidP="00BE2B9B">
      <w:pPr>
        <w:spacing w:after="0"/>
        <w:jc w:val="both"/>
        <w:rPr>
          <w:rFonts w:ascii="Times New Roman" w:hAnsi="Times New Roman" w:cs="Times New Roman"/>
          <w:i/>
          <w:iCs/>
          <w:sz w:val="24"/>
          <w:szCs w:val="24"/>
        </w:rPr>
      </w:pPr>
      <w:r>
        <w:rPr>
          <w:rFonts w:ascii="Times New Roman" w:hAnsi="Times New Roman" w:cs="Times New Roman"/>
          <w:i/>
          <w:iCs/>
          <w:sz w:val="24"/>
          <w:szCs w:val="24"/>
        </w:rPr>
        <w:t>Características de los materiales, suministros y servicios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7307"/>
      </w:tblGrid>
      <w:tr w:rsidR="00BE2B9B" w:rsidRPr="005D4729" w14:paraId="1DBCEBCD" w14:textId="77777777" w:rsidTr="00AF4B40">
        <w:tc>
          <w:tcPr>
            <w:tcW w:w="1719" w:type="dxa"/>
            <w:tcBorders>
              <w:top w:val="single" w:sz="4" w:space="0" w:color="auto"/>
              <w:bottom w:val="single" w:sz="4" w:space="0" w:color="auto"/>
            </w:tcBorders>
            <w:vAlign w:val="center"/>
            <w:hideMark/>
          </w:tcPr>
          <w:p w14:paraId="6D95BDE6"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Caracterización</w:t>
            </w:r>
          </w:p>
        </w:tc>
        <w:tc>
          <w:tcPr>
            <w:tcW w:w="7307" w:type="dxa"/>
            <w:tcBorders>
              <w:top w:val="single" w:sz="4" w:space="0" w:color="auto"/>
              <w:bottom w:val="single" w:sz="4" w:space="0" w:color="auto"/>
            </w:tcBorders>
            <w:vAlign w:val="center"/>
            <w:hideMark/>
          </w:tcPr>
          <w:p w14:paraId="24A309D5"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w:t>
            </w:r>
          </w:p>
        </w:tc>
      </w:tr>
      <w:tr w:rsidR="00BE2B9B" w:rsidRPr="005D4729" w14:paraId="6BFAFC71" w14:textId="77777777" w:rsidTr="00AF4B40">
        <w:tc>
          <w:tcPr>
            <w:tcW w:w="1719" w:type="dxa"/>
            <w:tcBorders>
              <w:top w:val="single" w:sz="4" w:space="0" w:color="auto"/>
              <w:bottom w:val="single" w:sz="4" w:space="0" w:color="auto"/>
            </w:tcBorders>
            <w:vAlign w:val="center"/>
            <w:hideMark/>
          </w:tcPr>
          <w:p w14:paraId="73AECC85"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Inversión Total</w:t>
            </w:r>
          </w:p>
        </w:tc>
        <w:tc>
          <w:tcPr>
            <w:tcW w:w="7307" w:type="dxa"/>
            <w:tcBorders>
              <w:top w:val="single" w:sz="4" w:space="0" w:color="auto"/>
              <w:bottom w:val="single" w:sz="4" w:space="0" w:color="auto"/>
            </w:tcBorders>
            <w:vAlign w:val="center"/>
            <w:hideMark/>
          </w:tcPr>
          <w:p w14:paraId="13E8FB3D"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 xml:space="preserve">La inversión total del proyecto comprende todos los recursos necesarios para el mejoramiento integral del sistema de agua potable del barrio </w:t>
            </w:r>
            <w:proofErr w:type="spellStart"/>
            <w:r w:rsidRPr="005D4729">
              <w:rPr>
                <w:rFonts w:ascii="Times New Roman" w:eastAsia="Times New Roman" w:hAnsi="Times New Roman" w:cs="Times New Roman"/>
                <w:lang w:val="es-MX" w:eastAsia="es-MX"/>
              </w:rPr>
              <w:t>Carigán</w:t>
            </w:r>
            <w:proofErr w:type="spellEnd"/>
            <w:r w:rsidRPr="005D4729">
              <w:rPr>
                <w:rFonts w:ascii="Times New Roman" w:eastAsia="Times New Roman" w:hAnsi="Times New Roman" w:cs="Times New Roman"/>
                <w:lang w:val="es-MX" w:eastAsia="es-MX"/>
              </w:rPr>
              <w:t>. Incluye actividades de limpieza y replanteo, excavación e instalación de aproximadamente 19,2 km de tuberías PVC presión, colocación de válvulas y accesorios hidráulicos, reposición de las áreas intervenidas, implementación de obras de captación y protección, construcción de un tanque de reserva, instalación de equipos de cloración y macro medición, adquisición de maquinaria, combustibles, herramientas y equipos menores. La estimación se realiza considerando precios referenciales de mercado y las especificaciones técnicas establecidas por UMAPAL y el GAD Municipal de Loja.</w:t>
            </w:r>
          </w:p>
        </w:tc>
      </w:tr>
      <w:tr w:rsidR="00BE2B9B" w:rsidRPr="005D4729" w14:paraId="6B17D8F2" w14:textId="77777777" w:rsidTr="00AF4B40">
        <w:tc>
          <w:tcPr>
            <w:tcW w:w="1719" w:type="dxa"/>
            <w:tcBorders>
              <w:top w:val="single" w:sz="4" w:space="0" w:color="auto"/>
              <w:bottom w:val="single" w:sz="4" w:space="0" w:color="auto"/>
            </w:tcBorders>
            <w:vAlign w:val="center"/>
            <w:hideMark/>
          </w:tcPr>
          <w:p w14:paraId="16B37E7A"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Costos de operación y mantenimiento</w:t>
            </w:r>
          </w:p>
        </w:tc>
        <w:tc>
          <w:tcPr>
            <w:tcW w:w="7307" w:type="dxa"/>
            <w:tcBorders>
              <w:top w:val="single" w:sz="4" w:space="0" w:color="auto"/>
              <w:bottom w:val="single" w:sz="4" w:space="0" w:color="auto"/>
            </w:tcBorders>
            <w:vAlign w:val="center"/>
            <w:hideMark/>
          </w:tcPr>
          <w:p w14:paraId="7F07D8DF"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Los costos de operación y mantenimiento corresponden a los gastos periódicos necesarios para garantizar el adecuado funcionamiento del sistema de agua potable una vez concluida la inversión. Incluyen la contratación de personal operativo y administrativo, consumo de energía eléctrica, adquisición de cloro y reactivos para la desinfección del agua, mantenimiento preventivo y correctivo de redes, válvulas, hidrantes y tanques, así como la adquisición de herramientas, materiales menores y gastos de movilización. Estas actividades permiten preservar la infraestructura, reducir el riesgo de fallas y asegurar la continuidad y calidad del servicio para la población beneficiaria.</w:t>
            </w:r>
          </w:p>
        </w:tc>
      </w:tr>
      <w:tr w:rsidR="00BE2B9B" w:rsidRPr="005D4729" w14:paraId="0A356B8D" w14:textId="77777777" w:rsidTr="00AF4B40">
        <w:tc>
          <w:tcPr>
            <w:tcW w:w="1719" w:type="dxa"/>
            <w:tcBorders>
              <w:top w:val="single" w:sz="4" w:space="0" w:color="auto"/>
              <w:bottom w:val="single" w:sz="4" w:space="0" w:color="auto"/>
            </w:tcBorders>
            <w:vAlign w:val="center"/>
            <w:hideMark/>
          </w:tcPr>
          <w:p w14:paraId="0CEAB886"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Ingresos</w:t>
            </w:r>
          </w:p>
        </w:tc>
        <w:tc>
          <w:tcPr>
            <w:tcW w:w="7307" w:type="dxa"/>
            <w:tcBorders>
              <w:top w:val="single" w:sz="4" w:space="0" w:color="auto"/>
              <w:bottom w:val="single" w:sz="4" w:space="0" w:color="auto"/>
            </w:tcBorders>
            <w:vAlign w:val="center"/>
            <w:hideMark/>
          </w:tcPr>
          <w:p w14:paraId="23B5A2DB"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 xml:space="preserve">El proyecto no genera ingresos económicos directos, ya que constituye una inversión pública de carácter social orientada a garantizar el acceso continuo y seguro al agua potable. Sin embargo, produce beneficios económicos indirectos derivados de la disminución del gasto de los hogares en la compra de agua para consumo humano, la reducción de enfermedades de origen hídrico y la disminución de gastos en atención médica, beneficiando aproximadamente a 6.500 habitantes (2.031 hogares) del barrio </w:t>
            </w:r>
            <w:proofErr w:type="spellStart"/>
            <w:r w:rsidRPr="005D4729">
              <w:rPr>
                <w:rFonts w:ascii="Times New Roman" w:eastAsia="Times New Roman" w:hAnsi="Times New Roman" w:cs="Times New Roman"/>
                <w:lang w:val="es-MX" w:eastAsia="es-MX"/>
              </w:rPr>
              <w:t>Carigán</w:t>
            </w:r>
            <w:proofErr w:type="spellEnd"/>
            <w:r w:rsidRPr="005D4729">
              <w:rPr>
                <w:rFonts w:ascii="Times New Roman" w:eastAsia="Times New Roman" w:hAnsi="Times New Roman" w:cs="Times New Roman"/>
                <w:lang w:val="es-MX" w:eastAsia="es-MX"/>
              </w:rPr>
              <w:t>.</w:t>
            </w:r>
          </w:p>
        </w:tc>
      </w:tr>
      <w:tr w:rsidR="00BE2B9B" w:rsidRPr="005D4729" w14:paraId="22AA70A4" w14:textId="77777777" w:rsidTr="00AF4B40">
        <w:tc>
          <w:tcPr>
            <w:tcW w:w="1719" w:type="dxa"/>
            <w:tcBorders>
              <w:top w:val="single" w:sz="4" w:space="0" w:color="auto"/>
              <w:bottom w:val="single" w:sz="4" w:space="0" w:color="auto"/>
            </w:tcBorders>
            <w:vAlign w:val="center"/>
            <w:hideMark/>
          </w:tcPr>
          <w:p w14:paraId="3E6BB858"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Vida útil</w:t>
            </w:r>
          </w:p>
        </w:tc>
        <w:tc>
          <w:tcPr>
            <w:tcW w:w="7307" w:type="dxa"/>
            <w:tcBorders>
              <w:top w:val="single" w:sz="4" w:space="0" w:color="auto"/>
              <w:bottom w:val="single" w:sz="4" w:space="0" w:color="auto"/>
            </w:tcBorders>
            <w:vAlign w:val="center"/>
            <w:hideMark/>
          </w:tcPr>
          <w:p w14:paraId="458BE3AE"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 xml:space="preserve">La vida útil del proyecto se estima en 30 años, considerando la utilización de tuberías PVC presión, válvulas, equipos de cloración, tanque de reserva y demás componentes hidráulicos que cumplen las especificaciones técnicas de UMAPAL y las normas aplicables a los sistemas de agua potable. Durante este período se ejecutarán actividades permanentes de operación y mantenimiento preventivo para garantizar la sostenibilidad y eficiencia del sistema de abastecimiento de agua potable del barrio </w:t>
            </w:r>
            <w:proofErr w:type="spellStart"/>
            <w:r w:rsidRPr="005D4729">
              <w:rPr>
                <w:rFonts w:ascii="Times New Roman" w:eastAsia="Times New Roman" w:hAnsi="Times New Roman" w:cs="Times New Roman"/>
                <w:lang w:val="es-MX" w:eastAsia="es-MX"/>
              </w:rPr>
              <w:t>Carigán</w:t>
            </w:r>
            <w:proofErr w:type="spellEnd"/>
            <w:r w:rsidRPr="005D4729">
              <w:rPr>
                <w:rFonts w:ascii="Times New Roman" w:eastAsia="Times New Roman" w:hAnsi="Times New Roman" w:cs="Times New Roman"/>
                <w:lang w:val="es-MX" w:eastAsia="es-MX"/>
              </w:rPr>
              <w:t>.</w:t>
            </w:r>
          </w:p>
        </w:tc>
      </w:tr>
    </w:tbl>
    <w:p w14:paraId="54C254F8" w14:textId="37CF326A" w:rsidR="005D4729" w:rsidRPr="005D4729" w:rsidRDefault="005D4729" w:rsidP="00FD3B9C">
      <w:pPr>
        <w:spacing w:before="240"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Vida útil</w:t>
      </w:r>
    </w:p>
    <w:p w14:paraId="564E2BF4" w14:textId="02D22615" w:rsidR="001650B8" w:rsidRPr="00C82448" w:rsidRDefault="00BE2B9B" w:rsidP="00C82448">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vida útil del proyecto se estima en aproximadamente </w:t>
      </w:r>
      <w:r w:rsidR="001650B8">
        <w:rPr>
          <w:rFonts w:ascii="Times New Roman" w:hAnsi="Times New Roman" w:cs="Times New Roman"/>
          <w:sz w:val="24"/>
          <w:szCs w:val="24"/>
        </w:rPr>
        <w:t>30</w:t>
      </w:r>
      <w:r w:rsidRPr="00BE2B9B">
        <w:rPr>
          <w:rFonts w:ascii="Times New Roman" w:hAnsi="Times New Roman" w:cs="Times New Roman"/>
          <w:sz w:val="24"/>
          <w:szCs w:val="24"/>
        </w:rPr>
        <w:t xml:space="preserve"> años, considerando la durabilidad técnica de los componentes del sistema de agua potable</w:t>
      </w:r>
      <w:r w:rsidR="001650B8">
        <w:rPr>
          <w:rFonts w:ascii="Times New Roman" w:hAnsi="Times New Roman" w:cs="Times New Roman"/>
          <w:sz w:val="24"/>
          <w:szCs w:val="24"/>
        </w:rPr>
        <w:t>.</w:t>
      </w:r>
    </w:p>
    <w:p w14:paraId="465F1515" w14:textId="01414FA4"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total, costos de </w:t>
      </w:r>
      <w:r w:rsidRPr="00C74371">
        <w:rPr>
          <w:rFonts w:ascii="Times New Roman" w:hAnsi="Times New Roman" w:cs="Times New Roman"/>
          <w:b/>
          <w:bCs/>
          <w:sz w:val="24"/>
          <w:szCs w:val="24"/>
        </w:rPr>
        <w:t>operación y mantenimiento</w:t>
      </w:r>
      <w:r>
        <w:rPr>
          <w:rFonts w:ascii="Times New Roman" w:hAnsi="Times New Roman" w:cs="Times New Roman"/>
          <w:b/>
          <w:bCs/>
          <w:sz w:val="24"/>
          <w:szCs w:val="24"/>
        </w:rPr>
        <w:t xml:space="preserve"> e</w:t>
      </w:r>
      <w:r w:rsidRPr="00C74371">
        <w:rPr>
          <w:rFonts w:ascii="Times New Roman" w:hAnsi="Times New Roman" w:cs="Times New Roman"/>
          <w:b/>
          <w:bCs/>
          <w:sz w:val="24"/>
          <w:szCs w:val="24"/>
        </w:rPr>
        <w:t xml:space="preserve"> ingreso</w:t>
      </w:r>
      <w:r>
        <w:rPr>
          <w:rFonts w:ascii="Times New Roman" w:hAnsi="Times New Roman" w:cs="Times New Roman"/>
          <w:b/>
          <w:bCs/>
          <w:sz w:val="24"/>
          <w:szCs w:val="24"/>
        </w:rPr>
        <w:t>s</w:t>
      </w:r>
    </w:p>
    <w:p w14:paraId="5FD9F8DB" w14:textId="61328751" w:rsidR="00583D29" w:rsidRPr="00FA5A7B" w:rsidRDefault="00486D7A" w:rsidP="00FA5A7B">
      <w:pPr>
        <w:spacing w:after="0" w:line="360" w:lineRule="auto"/>
        <w:jc w:val="both"/>
        <w:rPr>
          <w:rFonts w:ascii="Times New Roman" w:hAnsi="Times New Roman" w:cs="Times New Roman"/>
          <w:sz w:val="24"/>
          <w:szCs w:val="24"/>
        </w:rPr>
      </w:pPr>
      <w:r w:rsidRPr="00486D7A">
        <w:rPr>
          <w:rFonts w:ascii="Times New Roman" w:hAnsi="Times New Roman" w:cs="Times New Roman"/>
          <w:sz w:val="24"/>
          <w:szCs w:val="24"/>
        </w:rPr>
        <w:t>Los valores utilizados en el presente estudio han sido tomados como referencia de proyectos de agua potable y alcantarillado del Gobierno Autónomo Descentralizado del cantón Mira, disponibles en su portal institucional, los cuales corresponden a estudios técnicos previamente elaborados para intervenciones similares en el territorio.</w:t>
      </w:r>
      <w:r>
        <w:rPr>
          <w:rFonts w:ascii="Times New Roman" w:hAnsi="Times New Roman" w:cs="Times New Roman"/>
          <w:sz w:val="24"/>
          <w:szCs w:val="24"/>
        </w:rPr>
        <w:t xml:space="preserve"> </w:t>
      </w:r>
      <w:r w:rsidRPr="00486D7A">
        <w:rPr>
          <w:rFonts w:ascii="Times New Roman" w:hAnsi="Times New Roman" w:cs="Times New Roman"/>
          <w:sz w:val="24"/>
          <w:szCs w:val="24"/>
        </w:rPr>
        <w:t xml:space="preserve">La valoración contempla la intervención de aproximadamente 19,2 km de red de distribución, obras complementarias de </w:t>
      </w:r>
      <w:r w:rsidRPr="00486D7A">
        <w:rPr>
          <w:rFonts w:ascii="Times New Roman" w:hAnsi="Times New Roman" w:cs="Times New Roman"/>
          <w:sz w:val="24"/>
          <w:szCs w:val="24"/>
        </w:rPr>
        <w:lastRenderedPageBreak/>
        <w:t>protección, equipamiento hidráulico y demás actividades necesarias para garantizar el adecuado funcionamiento del sistema.</w:t>
      </w:r>
      <w:r>
        <w:rPr>
          <w:rFonts w:ascii="Times New Roman" w:hAnsi="Times New Roman" w:cs="Times New Roman"/>
          <w:sz w:val="24"/>
          <w:szCs w:val="24"/>
        </w:rPr>
        <w:t xml:space="preserve"> En la Tabla </w:t>
      </w:r>
      <w:r w:rsidR="00583D29">
        <w:rPr>
          <w:rFonts w:ascii="Times New Roman" w:hAnsi="Times New Roman" w:cs="Times New Roman"/>
          <w:sz w:val="24"/>
          <w:szCs w:val="24"/>
        </w:rPr>
        <w:t>12</w:t>
      </w:r>
      <w:r>
        <w:rPr>
          <w:rFonts w:ascii="Times New Roman" w:hAnsi="Times New Roman" w:cs="Times New Roman"/>
          <w:sz w:val="24"/>
          <w:szCs w:val="24"/>
        </w:rPr>
        <w:t xml:space="preserve"> se presenta la inversión total detallada.</w:t>
      </w:r>
    </w:p>
    <w:p w14:paraId="08CDA688" w14:textId="7E142B23" w:rsidR="00486D7A"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1</w:t>
      </w:r>
    </w:p>
    <w:p w14:paraId="6F842A78" w14:textId="3F0284DC"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i/>
          <w:iCs/>
          <w:sz w:val="24"/>
          <w:szCs w:val="24"/>
        </w:rPr>
        <w:t>Inversión total</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022"/>
        <w:gridCol w:w="2238"/>
        <w:gridCol w:w="1702"/>
        <w:gridCol w:w="2125"/>
        <w:gridCol w:w="1939"/>
      </w:tblGrid>
      <w:tr w:rsidR="00486D7A" w:rsidRPr="00486D7A" w14:paraId="7C545176" w14:textId="77777777" w:rsidTr="00486D7A">
        <w:trPr>
          <w:trHeight w:val="113"/>
        </w:trPr>
        <w:tc>
          <w:tcPr>
            <w:tcW w:w="566" w:type="pct"/>
            <w:tcBorders>
              <w:bottom w:val="single" w:sz="4" w:space="0" w:color="auto"/>
            </w:tcBorders>
            <w:shd w:val="clear" w:color="auto" w:fill="auto"/>
            <w:vAlign w:val="center"/>
            <w:hideMark/>
          </w:tcPr>
          <w:p w14:paraId="030AB793"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240" w:type="pct"/>
            <w:tcBorders>
              <w:bottom w:val="single" w:sz="4" w:space="0" w:color="auto"/>
            </w:tcBorders>
            <w:shd w:val="clear" w:color="auto" w:fill="auto"/>
            <w:vAlign w:val="center"/>
            <w:hideMark/>
          </w:tcPr>
          <w:p w14:paraId="4D313A4C"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943" w:type="pct"/>
            <w:tcBorders>
              <w:bottom w:val="single" w:sz="4" w:space="0" w:color="auto"/>
            </w:tcBorders>
            <w:shd w:val="clear" w:color="auto" w:fill="auto"/>
            <w:vAlign w:val="center"/>
            <w:hideMark/>
          </w:tcPr>
          <w:p w14:paraId="749662C8"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177" w:type="pct"/>
            <w:tcBorders>
              <w:bottom w:val="single" w:sz="4" w:space="0" w:color="auto"/>
            </w:tcBorders>
            <w:shd w:val="clear" w:color="auto" w:fill="auto"/>
            <w:vAlign w:val="center"/>
            <w:hideMark/>
          </w:tcPr>
          <w:p w14:paraId="48587616"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074" w:type="pct"/>
            <w:tcBorders>
              <w:bottom w:val="single" w:sz="4" w:space="0" w:color="auto"/>
            </w:tcBorders>
            <w:shd w:val="clear" w:color="auto" w:fill="auto"/>
            <w:vAlign w:val="center"/>
            <w:hideMark/>
          </w:tcPr>
          <w:p w14:paraId="04B7055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w:t>
            </w:r>
          </w:p>
        </w:tc>
      </w:tr>
      <w:tr w:rsidR="00486D7A" w:rsidRPr="00486D7A" w14:paraId="227F7295" w14:textId="77777777" w:rsidTr="00486D7A">
        <w:trPr>
          <w:trHeight w:val="113"/>
        </w:trPr>
        <w:tc>
          <w:tcPr>
            <w:tcW w:w="566" w:type="pct"/>
            <w:tcBorders>
              <w:top w:val="single" w:sz="4" w:space="0" w:color="auto"/>
              <w:bottom w:val="nil"/>
            </w:tcBorders>
            <w:shd w:val="clear" w:color="auto" w:fill="auto"/>
            <w:vAlign w:val="center"/>
            <w:hideMark/>
          </w:tcPr>
          <w:p w14:paraId="49C615E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single" w:sz="4" w:space="0" w:color="auto"/>
              <w:bottom w:val="nil"/>
            </w:tcBorders>
            <w:shd w:val="clear" w:color="auto" w:fill="auto"/>
            <w:vAlign w:val="center"/>
            <w:hideMark/>
          </w:tcPr>
          <w:p w14:paraId="4F43FA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desbroce</w:t>
            </w:r>
          </w:p>
        </w:tc>
        <w:tc>
          <w:tcPr>
            <w:tcW w:w="943" w:type="pct"/>
            <w:tcBorders>
              <w:top w:val="single" w:sz="4" w:space="0" w:color="auto"/>
              <w:bottom w:val="nil"/>
            </w:tcBorders>
            <w:shd w:val="clear" w:color="auto" w:fill="auto"/>
            <w:vAlign w:val="center"/>
            <w:hideMark/>
          </w:tcPr>
          <w:p w14:paraId="7DFCD5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single" w:sz="4" w:space="0" w:color="auto"/>
              <w:bottom w:val="nil"/>
            </w:tcBorders>
            <w:shd w:val="clear" w:color="auto" w:fill="auto"/>
            <w:vAlign w:val="center"/>
            <w:hideMark/>
          </w:tcPr>
          <w:p w14:paraId="67A4913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0,42 </w:t>
            </w:r>
          </w:p>
        </w:tc>
        <w:tc>
          <w:tcPr>
            <w:tcW w:w="1074" w:type="pct"/>
            <w:tcBorders>
              <w:top w:val="single" w:sz="4" w:space="0" w:color="auto"/>
              <w:bottom w:val="nil"/>
            </w:tcBorders>
            <w:shd w:val="clear" w:color="auto" w:fill="auto"/>
            <w:vAlign w:val="center"/>
            <w:hideMark/>
          </w:tcPr>
          <w:p w14:paraId="2F63CB6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8.064,00 </w:t>
            </w:r>
          </w:p>
        </w:tc>
      </w:tr>
      <w:tr w:rsidR="00486D7A" w:rsidRPr="00486D7A" w14:paraId="5F4551AE" w14:textId="77777777" w:rsidTr="00486D7A">
        <w:trPr>
          <w:trHeight w:val="113"/>
        </w:trPr>
        <w:tc>
          <w:tcPr>
            <w:tcW w:w="566" w:type="pct"/>
            <w:tcBorders>
              <w:top w:val="nil"/>
            </w:tcBorders>
            <w:shd w:val="clear" w:color="auto" w:fill="auto"/>
            <w:vAlign w:val="center"/>
            <w:hideMark/>
          </w:tcPr>
          <w:p w14:paraId="0E5B862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nil"/>
            </w:tcBorders>
            <w:shd w:val="clear" w:color="auto" w:fill="auto"/>
            <w:vAlign w:val="center"/>
            <w:hideMark/>
          </w:tcPr>
          <w:p w14:paraId="6835B58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Nivelación y replanteo</w:t>
            </w:r>
          </w:p>
        </w:tc>
        <w:tc>
          <w:tcPr>
            <w:tcW w:w="943" w:type="pct"/>
            <w:tcBorders>
              <w:top w:val="nil"/>
            </w:tcBorders>
            <w:shd w:val="clear" w:color="auto" w:fill="auto"/>
            <w:vAlign w:val="center"/>
            <w:hideMark/>
          </w:tcPr>
          <w:p w14:paraId="6F82849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nil"/>
            </w:tcBorders>
            <w:shd w:val="clear" w:color="auto" w:fill="auto"/>
            <w:vAlign w:val="center"/>
            <w:hideMark/>
          </w:tcPr>
          <w:p w14:paraId="7D26632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0,31 </w:t>
            </w:r>
          </w:p>
        </w:tc>
        <w:tc>
          <w:tcPr>
            <w:tcW w:w="1074" w:type="pct"/>
            <w:tcBorders>
              <w:top w:val="nil"/>
            </w:tcBorders>
            <w:shd w:val="clear" w:color="auto" w:fill="auto"/>
            <w:vAlign w:val="center"/>
            <w:hideMark/>
          </w:tcPr>
          <w:p w14:paraId="44B7EE7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5.952,00 </w:t>
            </w:r>
          </w:p>
        </w:tc>
      </w:tr>
      <w:tr w:rsidR="00486D7A" w:rsidRPr="00486D7A" w14:paraId="7A5F30E6" w14:textId="77777777" w:rsidTr="00486D7A">
        <w:trPr>
          <w:trHeight w:val="113"/>
        </w:trPr>
        <w:tc>
          <w:tcPr>
            <w:tcW w:w="566" w:type="pct"/>
            <w:shd w:val="clear" w:color="auto" w:fill="auto"/>
            <w:vAlign w:val="center"/>
            <w:hideMark/>
          </w:tcPr>
          <w:p w14:paraId="015B6E5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2BA5735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Levantamiento de capas de rodadura y veredas</w:t>
            </w:r>
          </w:p>
        </w:tc>
        <w:tc>
          <w:tcPr>
            <w:tcW w:w="943" w:type="pct"/>
            <w:shd w:val="clear" w:color="auto" w:fill="auto"/>
            <w:vAlign w:val="center"/>
            <w:hideMark/>
          </w:tcPr>
          <w:p w14:paraId="0546F27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0DD0184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 </w:t>
            </w:r>
          </w:p>
        </w:tc>
        <w:tc>
          <w:tcPr>
            <w:tcW w:w="1074" w:type="pct"/>
            <w:shd w:val="clear" w:color="auto" w:fill="auto"/>
            <w:vAlign w:val="center"/>
            <w:hideMark/>
          </w:tcPr>
          <w:p w14:paraId="0341477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75DE0661" w14:textId="77777777" w:rsidTr="00486D7A">
        <w:trPr>
          <w:trHeight w:val="113"/>
        </w:trPr>
        <w:tc>
          <w:tcPr>
            <w:tcW w:w="566" w:type="pct"/>
            <w:shd w:val="clear" w:color="auto" w:fill="auto"/>
            <w:vAlign w:val="center"/>
            <w:hideMark/>
          </w:tcPr>
          <w:p w14:paraId="30E3E48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31C1DB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de materiales</w:t>
            </w:r>
          </w:p>
        </w:tc>
        <w:tc>
          <w:tcPr>
            <w:tcW w:w="943" w:type="pct"/>
            <w:shd w:val="clear" w:color="auto" w:fill="auto"/>
            <w:vAlign w:val="center"/>
            <w:hideMark/>
          </w:tcPr>
          <w:p w14:paraId="751D880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08F94C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c>
          <w:tcPr>
            <w:tcW w:w="1074" w:type="pct"/>
            <w:shd w:val="clear" w:color="auto" w:fill="auto"/>
            <w:vAlign w:val="center"/>
            <w:hideMark/>
          </w:tcPr>
          <w:p w14:paraId="5F05A02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r>
      <w:tr w:rsidR="00486D7A" w:rsidRPr="00486D7A" w14:paraId="3471ADC7" w14:textId="77777777" w:rsidTr="00486D7A">
        <w:trPr>
          <w:trHeight w:val="113"/>
        </w:trPr>
        <w:tc>
          <w:tcPr>
            <w:tcW w:w="566" w:type="pct"/>
            <w:shd w:val="clear" w:color="auto" w:fill="auto"/>
            <w:vAlign w:val="center"/>
            <w:hideMark/>
          </w:tcPr>
          <w:p w14:paraId="61A7ADF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400</w:t>
            </w:r>
          </w:p>
        </w:tc>
        <w:tc>
          <w:tcPr>
            <w:tcW w:w="1240" w:type="pct"/>
            <w:shd w:val="clear" w:color="auto" w:fill="auto"/>
            <w:vAlign w:val="center"/>
            <w:hideMark/>
          </w:tcPr>
          <w:p w14:paraId="78CB0C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Desalojo, transporte y disposición de escombros</w:t>
            </w:r>
          </w:p>
        </w:tc>
        <w:tc>
          <w:tcPr>
            <w:tcW w:w="943" w:type="pct"/>
            <w:shd w:val="clear" w:color="auto" w:fill="auto"/>
            <w:vAlign w:val="center"/>
            <w:hideMark/>
          </w:tcPr>
          <w:p w14:paraId="209BC33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m³</w:t>
            </w:r>
          </w:p>
        </w:tc>
        <w:tc>
          <w:tcPr>
            <w:tcW w:w="1177" w:type="pct"/>
            <w:shd w:val="clear" w:color="auto" w:fill="auto"/>
            <w:vAlign w:val="center"/>
            <w:hideMark/>
          </w:tcPr>
          <w:p w14:paraId="129E092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 </w:t>
            </w:r>
          </w:p>
        </w:tc>
        <w:tc>
          <w:tcPr>
            <w:tcW w:w="1074" w:type="pct"/>
            <w:shd w:val="clear" w:color="auto" w:fill="auto"/>
            <w:vAlign w:val="center"/>
            <w:hideMark/>
          </w:tcPr>
          <w:p w14:paraId="53D1D8A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7523507E" w14:textId="77777777" w:rsidTr="00486D7A">
        <w:trPr>
          <w:trHeight w:val="113"/>
        </w:trPr>
        <w:tc>
          <w:tcPr>
            <w:tcW w:w="566" w:type="pct"/>
            <w:shd w:val="clear" w:color="auto" w:fill="auto"/>
            <w:vAlign w:val="center"/>
            <w:hideMark/>
          </w:tcPr>
          <w:p w14:paraId="082471B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792BBC8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Excavación en zanja</w:t>
            </w:r>
          </w:p>
        </w:tc>
        <w:tc>
          <w:tcPr>
            <w:tcW w:w="943" w:type="pct"/>
            <w:shd w:val="clear" w:color="auto" w:fill="auto"/>
            <w:vAlign w:val="center"/>
            <w:hideMark/>
          </w:tcPr>
          <w:p w14:paraId="1DEC0CE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03B740E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9,38 </w:t>
            </w:r>
          </w:p>
        </w:tc>
        <w:tc>
          <w:tcPr>
            <w:tcW w:w="1074" w:type="pct"/>
            <w:shd w:val="clear" w:color="auto" w:fill="auto"/>
            <w:vAlign w:val="center"/>
            <w:hideMark/>
          </w:tcPr>
          <w:p w14:paraId="284188A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180.096,00 </w:t>
            </w:r>
          </w:p>
        </w:tc>
      </w:tr>
      <w:tr w:rsidR="00486D7A" w:rsidRPr="00486D7A" w14:paraId="74853DAF" w14:textId="77777777" w:rsidTr="00486D7A">
        <w:trPr>
          <w:trHeight w:val="113"/>
        </w:trPr>
        <w:tc>
          <w:tcPr>
            <w:tcW w:w="566" w:type="pct"/>
            <w:shd w:val="clear" w:color="auto" w:fill="auto"/>
            <w:vAlign w:val="center"/>
            <w:hideMark/>
          </w:tcPr>
          <w:p w14:paraId="66D3E0F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696A52D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Colocación de cama de arena para tubería</w:t>
            </w:r>
          </w:p>
        </w:tc>
        <w:tc>
          <w:tcPr>
            <w:tcW w:w="943" w:type="pct"/>
            <w:shd w:val="clear" w:color="auto" w:fill="auto"/>
            <w:vAlign w:val="center"/>
            <w:hideMark/>
          </w:tcPr>
          <w:p w14:paraId="2EF936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29BF27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 </w:t>
            </w:r>
          </w:p>
        </w:tc>
        <w:tc>
          <w:tcPr>
            <w:tcW w:w="1074" w:type="pct"/>
            <w:shd w:val="clear" w:color="auto" w:fill="auto"/>
            <w:vAlign w:val="center"/>
            <w:hideMark/>
          </w:tcPr>
          <w:p w14:paraId="2559790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23.040,00 </w:t>
            </w:r>
          </w:p>
        </w:tc>
      </w:tr>
      <w:tr w:rsidR="00486D7A" w:rsidRPr="00486D7A" w14:paraId="68908E33" w14:textId="77777777" w:rsidTr="00486D7A">
        <w:trPr>
          <w:trHeight w:val="113"/>
        </w:trPr>
        <w:tc>
          <w:tcPr>
            <w:tcW w:w="566" w:type="pct"/>
            <w:shd w:val="clear" w:color="auto" w:fill="auto"/>
            <w:vAlign w:val="center"/>
            <w:hideMark/>
          </w:tcPr>
          <w:p w14:paraId="369C669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2918D7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tubería PVC presión</w:t>
            </w:r>
          </w:p>
        </w:tc>
        <w:tc>
          <w:tcPr>
            <w:tcW w:w="943" w:type="pct"/>
            <w:shd w:val="clear" w:color="auto" w:fill="auto"/>
            <w:vAlign w:val="center"/>
            <w:hideMark/>
          </w:tcPr>
          <w:p w14:paraId="3910DE4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572C6F9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27,08 </w:t>
            </w:r>
          </w:p>
        </w:tc>
        <w:tc>
          <w:tcPr>
            <w:tcW w:w="1074" w:type="pct"/>
            <w:shd w:val="clear" w:color="auto" w:fill="auto"/>
            <w:vAlign w:val="center"/>
            <w:hideMark/>
          </w:tcPr>
          <w:p w14:paraId="5EC28C6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519.936,00 </w:t>
            </w:r>
          </w:p>
        </w:tc>
      </w:tr>
      <w:tr w:rsidR="00486D7A" w:rsidRPr="00486D7A" w14:paraId="0026144F" w14:textId="77777777" w:rsidTr="00486D7A">
        <w:trPr>
          <w:trHeight w:val="113"/>
        </w:trPr>
        <w:tc>
          <w:tcPr>
            <w:tcW w:w="566" w:type="pct"/>
            <w:shd w:val="clear" w:color="auto" w:fill="auto"/>
            <w:vAlign w:val="center"/>
            <w:hideMark/>
          </w:tcPr>
          <w:p w14:paraId="0CAC2B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shd w:val="clear" w:color="auto" w:fill="auto"/>
            <w:vAlign w:val="center"/>
            <w:hideMark/>
          </w:tcPr>
          <w:p w14:paraId="4408A41E"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válvulas y anclajes</w:t>
            </w:r>
          </w:p>
        </w:tc>
        <w:tc>
          <w:tcPr>
            <w:tcW w:w="943" w:type="pct"/>
            <w:shd w:val="clear" w:color="auto" w:fill="auto"/>
            <w:vAlign w:val="center"/>
            <w:hideMark/>
          </w:tcPr>
          <w:p w14:paraId="1A8CED1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shd w:val="clear" w:color="auto" w:fill="auto"/>
            <w:vAlign w:val="center"/>
            <w:hideMark/>
          </w:tcPr>
          <w:p w14:paraId="2B713FB0"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2.250,00 </w:t>
            </w:r>
          </w:p>
        </w:tc>
        <w:tc>
          <w:tcPr>
            <w:tcW w:w="1074" w:type="pct"/>
            <w:shd w:val="clear" w:color="auto" w:fill="auto"/>
            <w:vAlign w:val="center"/>
            <w:hideMark/>
          </w:tcPr>
          <w:p w14:paraId="32A507B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45.000,00 </w:t>
            </w:r>
          </w:p>
        </w:tc>
      </w:tr>
      <w:tr w:rsidR="00486D7A" w:rsidRPr="00486D7A" w14:paraId="4CE44A45" w14:textId="77777777" w:rsidTr="00486D7A">
        <w:trPr>
          <w:trHeight w:val="113"/>
        </w:trPr>
        <w:tc>
          <w:tcPr>
            <w:tcW w:w="566" w:type="pct"/>
            <w:shd w:val="clear" w:color="auto" w:fill="auto"/>
            <w:vAlign w:val="center"/>
            <w:hideMark/>
          </w:tcPr>
          <w:p w14:paraId="4FE5D4D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shd w:val="clear" w:color="auto" w:fill="auto"/>
            <w:vAlign w:val="center"/>
            <w:hideMark/>
          </w:tcPr>
          <w:p w14:paraId="3F233A8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Cajas de válvulas</w:t>
            </w:r>
          </w:p>
        </w:tc>
        <w:tc>
          <w:tcPr>
            <w:tcW w:w="943" w:type="pct"/>
            <w:shd w:val="clear" w:color="auto" w:fill="auto"/>
            <w:vAlign w:val="center"/>
            <w:hideMark/>
          </w:tcPr>
          <w:p w14:paraId="458885D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shd w:val="clear" w:color="auto" w:fill="auto"/>
            <w:vAlign w:val="center"/>
            <w:hideMark/>
          </w:tcPr>
          <w:p w14:paraId="218433B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 </w:t>
            </w:r>
          </w:p>
        </w:tc>
        <w:tc>
          <w:tcPr>
            <w:tcW w:w="1074" w:type="pct"/>
            <w:shd w:val="clear" w:color="auto" w:fill="auto"/>
            <w:vAlign w:val="center"/>
            <w:hideMark/>
          </w:tcPr>
          <w:p w14:paraId="67C00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20.000,00 </w:t>
            </w:r>
          </w:p>
        </w:tc>
      </w:tr>
      <w:tr w:rsidR="00486D7A" w:rsidRPr="00486D7A" w14:paraId="3B08AFBE" w14:textId="77777777" w:rsidTr="00486D7A">
        <w:trPr>
          <w:trHeight w:val="113"/>
        </w:trPr>
        <w:tc>
          <w:tcPr>
            <w:tcW w:w="566" w:type="pct"/>
            <w:shd w:val="clear" w:color="auto" w:fill="auto"/>
            <w:vAlign w:val="center"/>
            <w:hideMark/>
          </w:tcPr>
          <w:p w14:paraId="6D020F3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030F464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Accesorios hidráulicos y piezas especiales</w:t>
            </w:r>
          </w:p>
        </w:tc>
        <w:tc>
          <w:tcPr>
            <w:tcW w:w="943" w:type="pct"/>
            <w:shd w:val="clear" w:color="auto" w:fill="auto"/>
            <w:vAlign w:val="center"/>
            <w:hideMark/>
          </w:tcPr>
          <w:p w14:paraId="7C08687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699C601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c>
          <w:tcPr>
            <w:tcW w:w="1074" w:type="pct"/>
            <w:shd w:val="clear" w:color="auto" w:fill="auto"/>
            <w:vAlign w:val="center"/>
            <w:hideMark/>
          </w:tcPr>
          <w:p w14:paraId="2F1E5DF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r>
      <w:tr w:rsidR="00486D7A" w:rsidRPr="00486D7A" w14:paraId="76E5B904" w14:textId="77777777" w:rsidTr="00486D7A">
        <w:trPr>
          <w:trHeight w:val="113"/>
        </w:trPr>
        <w:tc>
          <w:tcPr>
            <w:tcW w:w="566" w:type="pct"/>
            <w:shd w:val="clear" w:color="auto" w:fill="auto"/>
            <w:vAlign w:val="center"/>
            <w:hideMark/>
          </w:tcPr>
          <w:p w14:paraId="574AD7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6D27FA9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Corte y relleno compactado</w:t>
            </w:r>
          </w:p>
        </w:tc>
        <w:tc>
          <w:tcPr>
            <w:tcW w:w="943" w:type="pct"/>
            <w:shd w:val="clear" w:color="auto" w:fill="auto"/>
            <w:vAlign w:val="center"/>
            <w:hideMark/>
          </w:tcPr>
          <w:p w14:paraId="31C44A0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525958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7,81 </w:t>
            </w:r>
          </w:p>
        </w:tc>
        <w:tc>
          <w:tcPr>
            <w:tcW w:w="1074" w:type="pct"/>
            <w:shd w:val="clear" w:color="auto" w:fill="auto"/>
            <w:vAlign w:val="center"/>
            <w:hideMark/>
          </w:tcPr>
          <w:p w14:paraId="48B22FE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149.952,00 </w:t>
            </w:r>
          </w:p>
        </w:tc>
      </w:tr>
      <w:tr w:rsidR="00486D7A" w:rsidRPr="00486D7A" w14:paraId="0134F80F" w14:textId="77777777" w:rsidTr="00486D7A">
        <w:trPr>
          <w:trHeight w:val="113"/>
        </w:trPr>
        <w:tc>
          <w:tcPr>
            <w:tcW w:w="566" w:type="pct"/>
            <w:shd w:val="clear" w:color="auto" w:fill="auto"/>
            <w:vAlign w:val="center"/>
            <w:hideMark/>
          </w:tcPr>
          <w:p w14:paraId="65F7BC7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6C0554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subbase y compactación</w:t>
            </w:r>
          </w:p>
        </w:tc>
        <w:tc>
          <w:tcPr>
            <w:tcW w:w="943" w:type="pct"/>
            <w:shd w:val="clear" w:color="auto" w:fill="auto"/>
            <w:vAlign w:val="center"/>
            <w:hideMark/>
          </w:tcPr>
          <w:p w14:paraId="2379535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007F63C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 </w:t>
            </w:r>
          </w:p>
        </w:tc>
        <w:tc>
          <w:tcPr>
            <w:tcW w:w="1074" w:type="pct"/>
            <w:shd w:val="clear" w:color="auto" w:fill="auto"/>
            <w:vAlign w:val="center"/>
            <w:hideMark/>
          </w:tcPr>
          <w:p w14:paraId="3222EEE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7283BA64" w14:textId="77777777" w:rsidTr="00486D7A">
        <w:trPr>
          <w:trHeight w:val="113"/>
        </w:trPr>
        <w:tc>
          <w:tcPr>
            <w:tcW w:w="566" w:type="pct"/>
            <w:shd w:val="clear" w:color="auto" w:fill="auto"/>
            <w:vAlign w:val="center"/>
            <w:hideMark/>
          </w:tcPr>
          <w:p w14:paraId="681CFD0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3B23BFC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veredas y bordillos</w:t>
            </w:r>
          </w:p>
        </w:tc>
        <w:tc>
          <w:tcPr>
            <w:tcW w:w="943" w:type="pct"/>
            <w:shd w:val="clear" w:color="auto" w:fill="auto"/>
            <w:vAlign w:val="center"/>
            <w:hideMark/>
          </w:tcPr>
          <w:p w14:paraId="65806AB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0A8BB8C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 </w:t>
            </w:r>
          </w:p>
        </w:tc>
        <w:tc>
          <w:tcPr>
            <w:tcW w:w="1074" w:type="pct"/>
            <w:shd w:val="clear" w:color="auto" w:fill="auto"/>
            <w:vAlign w:val="center"/>
            <w:hideMark/>
          </w:tcPr>
          <w:p w14:paraId="2D3C04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 </w:t>
            </w:r>
          </w:p>
        </w:tc>
      </w:tr>
      <w:tr w:rsidR="00486D7A" w:rsidRPr="00486D7A" w14:paraId="25F75499" w14:textId="77777777" w:rsidTr="00486D7A">
        <w:trPr>
          <w:trHeight w:val="113"/>
        </w:trPr>
        <w:tc>
          <w:tcPr>
            <w:tcW w:w="566" w:type="pct"/>
            <w:shd w:val="clear" w:color="auto" w:fill="auto"/>
            <w:vAlign w:val="center"/>
            <w:hideMark/>
          </w:tcPr>
          <w:p w14:paraId="42928FE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0BA686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capa de rodadura</w:t>
            </w:r>
          </w:p>
        </w:tc>
        <w:tc>
          <w:tcPr>
            <w:tcW w:w="943" w:type="pct"/>
            <w:shd w:val="clear" w:color="auto" w:fill="auto"/>
            <w:vAlign w:val="center"/>
            <w:hideMark/>
          </w:tcPr>
          <w:p w14:paraId="0E8F2F9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26205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 </w:t>
            </w:r>
          </w:p>
        </w:tc>
        <w:tc>
          <w:tcPr>
            <w:tcW w:w="1074" w:type="pct"/>
            <w:shd w:val="clear" w:color="auto" w:fill="auto"/>
            <w:vAlign w:val="center"/>
            <w:hideMark/>
          </w:tcPr>
          <w:p w14:paraId="40EED89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4FAF7598" w14:textId="77777777" w:rsidTr="00486D7A">
        <w:trPr>
          <w:trHeight w:val="113"/>
        </w:trPr>
        <w:tc>
          <w:tcPr>
            <w:tcW w:w="566" w:type="pct"/>
            <w:shd w:val="clear" w:color="auto" w:fill="auto"/>
            <w:vAlign w:val="center"/>
            <w:hideMark/>
          </w:tcPr>
          <w:p w14:paraId="1C75393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5820BF5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Operación de maquinaria</w:t>
            </w:r>
          </w:p>
        </w:tc>
        <w:tc>
          <w:tcPr>
            <w:tcW w:w="943" w:type="pct"/>
            <w:shd w:val="clear" w:color="auto" w:fill="auto"/>
            <w:vAlign w:val="center"/>
            <w:hideMark/>
          </w:tcPr>
          <w:p w14:paraId="7B58FD3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1FF7F37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c>
          <w:tcPr>
            <w:tcW w:w="1074" w:type="pct"/>
            <w:shd w:val="clear" w:color="auto" w:fill="auto"/>
            <w:vAlign w:val="center"/>
            <w:hideMark/>
          </w:tcPr>
          <w:p w14:paraId="0642E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r>
      <w:tr w:rsidR="00486D7A" w:rsidRPr="00486D7A" w14:paraId="1A27BACA" w14:textId="77777777" w:rsidTr="00486D7A">
        <w:trPr>
          <w:trHeight w:val="113"/>
        </w:trPr>
        <w:tc>
          <w:tcPr>
            <w:tcW w:w="566" w:type="pct"/>
            <w:shd w:val="clear" w:color="auto" w:fill="auto"/>
            <w:vAlign w:val="center"/>
            <w:hideMark/>
          </w:tcPr>
          <w:p w14:paraId="193F2A2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2740DD2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Combustibles, aditivos y lubricantes</w:t>
            </w:r>
          </w:p>
        </w:tc>
        <w:tc>
          <w:tcPr>
            <w:tcW w:w="943" w:type="pct"/>
            <w:shd w:val="clear" w:color="auto" w:fill="auto"/>
            <w:vAlign w:val="center"/>
            <w:hideMark/>
          </w:tcPr>
          <w:p w14:paraId="7E7109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519373CB"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c>
          <w:tcPr>
            <w:tcW w:w="1074" w:type="pct"/>
            <w:shd w:val="clear" w:color="auto" w:fill="auto"/>
            <w:vAlign w:val="center"/>
            <w:hideMark/>
          </w:tcPr>
          <w:p w14:paraId="20CE0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r>
      <w:tr w:rsidR="00486D7A" w:rsidRPr="00486D7A" w14:paraId="54AE9CC0" w14:textId="77777777" w:rsidTr="00486D7A">
        <w:trPr>
          <w:trHeight w:val="113"/>
        </w:trPr>
        <w:tc>
          <w:tcPr>
            <w:tcW w:w="566" w:type="pct"/>
            <w:shd w:val="clear" w:color="auto" w:fill="auto"/>
            <w:vAlign w:val="center"/>
            <w:hideMark/>
          </w:tcPr>
          <w:p w14:paraId="01359C6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00BD8D5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Captación y obras de protección</w:t>
            </w:r>
          </w:p>
        </w:tc>
        <w:tc>
          <w:tcPr>
            <w:tcW w:w="943" w:type="pct"/>
            <w:shd w:val="clear" w:color="auto" w:fill="auto"/>
            <w:vAlign w:val="center"/>
            <w:hideMark/>
          </w:tcPr>
          <w:p w14:paraId="02E3CA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7CA2CD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c>
          <w:tcPr>
            <w:tcW w:w="1074" w:type="pct"/>
            <w:shd w:val="clear" w:color="auto" w:fill="auto"/>
            <w:vAlign w:val="center"/>
            <w:hideMark/>
          </w:tcPr>
          <w:p w14:paraId="222731C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r>
      <w:tr w:rsidR="00486D7A" w:rsidRPr="00486D7A" w14:paraId="2152D5B7" w14:textId="77777777" w:rsidTr="00486D7A">
        <w:trPr>
          <w:trHeight w:val="113"/>
        </w:trPr>
        <w:tc>
          <w:tcPr>
            <w:tcW w:w="566" w:type="pct"/>
            <w:shd w:val="clear" w:color="auto" w:fill="auto"/>
            <w:vAlign w:val="center"/>
            <w:hideMark/>
          </w:tcPr>
          <w:p w14:paraId="49C067B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7556A10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Tanque de reserva</w:t>
            </w:r>
          </w:p>
        </w:tc>
        <w:tc>
          <w:tcPr>
            <w:tcW w:w="943" w:type="pct"/>
            <w:shd w:val="clear" w:color="auto" w:fill="auto"/>
            <w:vAlign w:val="center"/>
            <w:hideMark/>
          </w:tcPr>
          <w:p w14:paraId="176C7E6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383B299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c>
          <w:tcPr>
            <w:tcW w:w="1074" w:type="pct"/>
            <w:shd w:val="clear" w:color="auto" w:fill="auto"/>
            <w:vAlign w:val="center"/>
            <w:hideMark/>
          </w:tcPr>
          <w:p w14:paraId="50B7415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r>
      <w:tr w:rsidR="00486D7A" w:rsidRPr="00486D7A" w14:paraId="69275FA8" w14:textId="77777777" w:rsidTr="00486D7A">
        <w:trPr>
          <w:trHeight w:val="113"/>
        </w:trPr>
        <w:tc>
          <w:tcPr>
            <w:tcW w:w="566" w:type="pct"/>
            <w:shd w:val="clear" w:color="auto" w:fill="auto"/>
            <w:vAlign w:val="center"/>
            <w:hideMark/>
          </w:tcPr>
          <w:p w14:paraId="01DD93E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2C8047F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Caseta de cloración</w:t>
            </w:r>
          </w:p>
        </w:tc>
        <w:tc>
          <w:tcPr>
            <w:tcW w:w="943" w:type="pct"/>
            <w:shd w:val="clear" w:color="auto" w:fill="auto"/>
            <w:vAlign w:val="center"/>
            <w:hideMark/>
          </w:tcPr>
          <w:p w14:paraId="5055549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49A82A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c>
          <w:tcPr>
            <w:tcW w:w="1074" w:type="pct"/>
            <w:shd w:val="clear" w:color="auto" w:fill="auto"/>
            <w:vAlign w:val="center"/>
            <w:hideMark/>
          </w:tcPr>
          <w:p w14:paraId="66947A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1ED04745" w14:textId="77777777" w:rsidTr="00486D7A">
        <w:trPr>
          <w:trHeight w:val="113"/>
        </w:trPr>
        <w:tc>
          <w:tcPr>
            <w:tcW w:w="566" w:type="pct"/>
            <w:shd w:val="clear" w:color="auto" w:fill="auto"/>
            <w:vAlign w:val="center"/>
            <w:hideMark/>
          </w:tcPr>
          <w:p w14:paraId="268DA5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230DF23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Equipo de cloración</w:t>
            </w:r>
          </w:p>
        </w:tc>
        <w:tc>
          <w:tcPr>
            <w:tcW w:w="943" w:type="pct"/>
            <w:shd w:val="clear" w:color="auto" w:fill="auto"/>
            <w:vAlign w:val="center"/>
            <w:hideMark/>
          </w:tcPr>
          <w:p w14:paraId="69123DD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BDB1F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c>
          <w:tcPr>
            <w:tcW w:w="1074" w:type="pct"/>
            <w:shd w:val="clear" w:color="auto" w:fill="auto"/>
            <w:vAlign w:val="center"/>
            <w:hideMark/>
          </w:tcPr>
          <w:p w14:paraId="204F572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r>
      <w:tr w:rsidR="00486D7A" w:rsidRPr="00486D7A" w14:paraId="096B1147" w14:textId="77777777" w:rsidTr="00486D7A">
        <w:trPr>
          <w:trHeight w:val="113"/>
        </w:trPr>
        <w:tc>
          <w:tcPr>
            <w:tcW w:w="566" w:type="pct"/>
            <w:shd w:val="clear" w:color="auto" w:fill="auto"/>
            <w:vAlign w:val="center"/>
            <w:hideMark/>
          </w:tcPr>
          <w:p w14:paraId="374AE7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4F9E084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proofErr w:type="spellStart"/>
            <w:r w:rsidRPr="00486D7A">
              <w:rPr>
                <w:rFonts w:ascii="Times New Roman" w:eastAsia="Times New Roman" w:hAnsi="Times New Roman" w:cs="Times New Roman"/>
                <w:color w:val="000000"/>
                <w:sz w:val="20"/>
                <w:szCs w:val="20"/>
                <w:lang w:eastAsia="es-EC"/>
              </w:rPr>
              <w:t>Macromedidores</w:t>
            </w:r>
            <w:proofErr w:type="spellEnd"/>
            <w:r w:rsidRPr="00486D7A">
              <w:rPr>
                <w:rFonts w:ascii="Times New Roman" w:eastAsia="Times New Roman" w:hAnsi="Times New Roman" w:cs="Times New Roman"/>
                <w:color w:val="000000"/>
                <w:sz w:val="20"/>
                <w:szCs w:val="20"/>
                <w:lang w:eastAsia="es-EC"/>
              </w:rPr>
              <w:t xml:space="preserve"> y equipos de control</w:t>
            </w:r>
          </w:p>
        </w:tc>
        <w:tc>
          <w:tcPr>
            <w:tcW w:w="943" w:type="pct"/>
            <w:shd w:val="clear" w:color="auto" w:fill="auto"/>
            <w:vAlign w:val="center"/>
            <w:hideMark/>
          </w:tcPr>
          <w:p w14:paraId="7CAFB1E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B47DFC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c>
          <w:tcPr>
            <w:tcW w:w="1074" w:type="pct"/>
            <w:shd w:val="clear" w:color="auto" w:fill="auto"/>
            <w:vAlign w:val="center"/>
            <w:hideMark/>
          </w:tcPr>
          <w:p w14:paraId="0F60A37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r>
      <w:tr w:rsidR="00486D7A" w:rsidRPr="00486D7A" w14:paraId="36BDB98D" w14:textId="77777777" w:rsidTr="00486D7A">
        <w:trPr>
          <w:trHeight w:val="113"/>
        </w:trPr>
        <w:tc>
          <w:tcPr>
            <w:tcW w:w="566" w:type="pct"/>
            <w:shd w:val="clear" w:color="auto" w:fill="auto"/>
            <w:vAlign w:val="center"/>
            <w:hideMark/>
          </w:tcPr>
          <w:p w14:paraId="6B82817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08AEC18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equipos menores</w:t>
            </w:r>
          </w:p>
        </w:tc>
        <w:tc>
          <w:tcPr>
            <w:tcW w:w="943" w:type="pct"/>
            <w:shd w:val="clear" w:color="auto" w:fill="auto"/>
            <w:vAlign w:val="center"/>
            <w:hideMark/>
          </w:tcPr>
          <w:p w14:paraId="33430A2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2DEA015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c>
          <w:tcPr>
            <w:tcW w:w="1074" w:type="pct"/>
            <w:shd w:val="clear" w:color="auto" w:fill="auto"/>
            <w:vAlign w:val="center"/>
            <w:hideMark/>
          </w:tcPr>
          <w:p w14:paraId="0541574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3EBA4BCD" w14:textId="77777777" w:rsidTr="00486D7A">
        <w:trPr>
          <w:trHeight w:val="113"/>
        </w:trPr>
        <w:tc>
          <w:tcPr>
            <w:tcW w:w="566" w:type="pct"/>
            <w:shd w:val="clear" w:color="auto" w:fill="auto"/>
            <w:vAlign w:val="center"/>
            <w:hideMark/>
          </w:tcPr>
          <w:p w14:paraId="278414A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111896D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Señalización y seguridad industrial</w:t>
            </w:r>
          </w:p>
        </w:tc>
        <w:tc>
          <w:tcPr>
            <w:tcW w:w="943" w:type="pct"/>
            <w:shd w:val="clear" w:color="auto" w:fill="auto"/>
            <w:vAlign w:val="center"/>
            <w:hideMark/>
          </w:tcPr>
          <w:p w14:paraId="775EB5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076401B4"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c>
          <w:tcPr>
            <w:tcW w:w="1074" w:type="pct"/>
            <w:shd w:val="clear" w:color="auto" w:fill="auto"/>
            <w:vAlign w:val="center"/>
            <w:hideMark/>
          </w:tcPr>
          <w:p w14:paraId="22A212D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r>
      <w:tr w:rsidR="00486D7A" w:rsidRPr="00486D7A" w14:paraId="5E9F8D76" w14:textId="77777777" w:rsidTr="00486D7A">
        <w:trPr>
          <w:trHeight w:val="113"/>
        </w:trPr>
        <w:tc>
          <w:tcPr>
            <w:tcW w:w="566" w:type="pct"/>
            <w:tcBorders>
              <w:bottom w:val="single" w:sz="4" w:space="0" w:color="auto"/>
            </w:tcBorders>
            <w:shd w:val="clear" w:color="auto" w:fill="auto"/>
            <w:vAlign w:val="center"/>
            <w:hideMark/>
          </w:tcPr>
          <w:p w14:paraId="0BFAD51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tcBorders>
              <w:bottom w:val="single" w:sz="4" w:space="0" w:color="auto"/>
            </w:tcBorders>
            <w:shd w:val="clear" w:color="auto" w:fill="auto"/>
            <w:vAlign w:val="center"/>
            <w:hideMark/>
          </w:tcPr>
          <w:p w14:paraId="30CC754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ordenamiento del área intervenida</w:t>
            </w:r>
          </w:p>
        </w:tc>
        <w:tc>
          <w:tcPr>
            <w:tcW w:w="943" w:type="pct"/>
            <w:tcBorders>
              <w:bottom w:val="single" w:sz="4" w:space="0" w:color="auto"/>
            </w:tcBorders>
            <w:shd w:val="clear" w:color="auto" w:fill="auto"/>
            <w:vAlign w:val="center"/>
            <w:hideMark/>
          </w:tcPr>
          <w:p w14:paraId="2EBBA33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tcBorders>
              <w:bottom w:val="single" w:sz="4" w:space="0" w:color="auto"/>
            </w:tcBorders>
            <w:shd w:val="clear" w:color="auto" w:fill="auto"/>
            <w:vAlign w:val="center"/>
            <w:hideMark/>
          </w:tcPr>
          <w:p w14:paraId="6F717C4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c>
          <w:tcPr>
            <w:tcW w:w="1074" w:type="pct"/>
            <w:tcBorders>
              <w:bottom w:val="single" w:sz="4" w:space="0" w:color="auto"/>
            </w:tcBorders>
            <w:shd w:val="clear" w:color="auto" w:fill="auto"/>
            <w:vAlign w:val="center"/>
            <w:hideMark/>
          </w:tcPr>
          <w:p w14:paraId="6FBA71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3FEB83B9" w14:textId="77777777" w:rsidTr="00486D7A">
        <w:trPr>
          <w:trHeight w:val="113"/>
        </w:trPr>
        <w:tc>
          <w:tcPr>
            <w:tcW w:w="3926" w:type="pct"/>
            <w:gridSpan w:val="4"/>
            <w:tcBorders>
              <w:top w:val="single" w:sz="4" w:space="0" w:color="auto"/>
              <w:bottom w:val="single" w:sz="4" w:space="0" w:color="auto"/>
            </w:tcBorders>
            <w:shd w:val="clear" w:color="auto" w:fill="auto"/>
            <w:vAlign w:val="center"/>
            <w:hideMark/>
          </w:tcPr>
          <w:p w14:paraId="2A02E0BA"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proofErr w:type="gramStart"/>
            <w:r w:rsidRPr="00486D7A">
              <w:rPr>
                <w:rFonts w:ascii="Times New Roman" w:eastAsia="Times New Roman" w:hAnsi="Times New Roman" w:cs="Times New Roman"/>
                <w:b/>
                <w:bCs/>
                <w:color w:val="000000"/>
                <w:sz w:val="20"/>
                <w:szCs w:val="20"/>
                <w:lang w:eastAsia="es-EC"/>
              </w:rPr>
              <w:t>TOTAL</w:t>
            </w:r>
            <w:proofErr w:type="gramEnd"/>
            <w:r w:rsidRPr="00486D7A">
              <w:rPr>
                <w:rFonts w:ascii="Times New Roman" w:eastAsia="Times New Roman" w:hAnsi="Times New Roman" w:cs="Times New Roman"/>
                <w:b/>
                <w:bCs/>
                <w:color w:val="000000"/>
                <w:sz w:val="20"/>
                <w:szCs w:val="20"/>
                <w:lang w:eastAsia="es-EC"/>
              </w:rPr>
              <w:t xml:space="preserve"> INVERSIÓN ESTIMADA</w:t>
            </w:r>
          </w:p>
        </w:tc>
        <w:tc>
          <w:tcPr>
            <w:tcW w:w="1074" w:type="pct"/>
            <w:tcBorders>
              <w:top w:val="single" w:sz="4" w:space="0" w:color="auto"/>
              <w:bottom w:val="single" w:sz="4" w:space="0" w:color="auto"/>
            </w:tcBorders>
            <w:shd w:val="clear" w:color="auto" w:fill="auto"/>
            <w:vAlign w:val="center"/>
            <w:hideMark/>
          </w:tcPr>
          <w:p w14:paraId="4B7418E2"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1.327.578,28 </w:t>
            </w:r>
          </w:p>
        </w:tc>
      </w:tr>
    </w:tbl>
    <w:p w14:paraId="2417597D" w14:textId="20896950" w:rsidR="00486D7A" w:rsidRDefault="00486D7A" w:rsidP="00486D7A">
      <w:pPr>
        <w:spacing w:after="0"/>
        <w:jc w:val="both"/>
        <w:rPr>
          <w:rFonts w:ascii="Times New Roman" w:hAnsi="Times New Roman" w:cs="Times New Roman"/>
          <w:sz w:val="18"/>
          <w:szCs w:val="18"/>
        </w:rPr>
      </w:pPr>
      <w:r w:rsidRPr="00486D7A">
        <w:rPr>
          <w:rFonts w:ascii="Times New Roman" w:hAnsi="Times New Roman" w:cs="Times New Roman"/>
          <w:i/>
          <w:iCs/>
          <w:sz w:val="18"/>
          <w:szCs w:val="18"/>
        </w:rPr>
        <w:t xml:space="preserve">Nota. </w:t>
      </w:r>
      <w:r w:rsidRPr="00486D7A">
        <w:rPr>
          <w:rFonts w:ascii="Times New Roman" w:hAnsi="Times New Roman" w:cs="Times New Roman"/>
          <w:sz w:val="18"/>
          <w:szCs w:val="18"/>
        </w:rPr>
        <w:t>Global significa sistemas completos o actividades que no pueden medirse de forma directa en unidades físicas específicas. La unidad “u” hace referencia a piezas individuales o unidades discretas de un bien o componente. El m³ corresponde a la unidad de volumen utilizada para cuantificar trabajos como excavaciones, rellenos y disposición de escombros.</w:t>
      </w:r>
    </w:p>
    <w:p w14:paraId="74372E91" w14:textId="03F28047" w:rsidR="00486D7A" w:rsidRDefault="00486D7A" w:rsidP="00FD3B9C">
      <w:pPr>
        <w:spacing w:after="0" w:line="360" w:lineRule="auto"/>
        <w:jc w:val="both"/>
        <w:rPr>
          <w:rFonts w:ascii="Times New Roman" w:hAnsi="Times New Roman" w:cs="Times New Roman"/>
          <w:sz w:val="24"/>
          <w:szCs w:val="24"/>
        </w:rPr>
      </w:pPr>
      <w:r w:rsidRPr="00486D7A">
        <w:rPr>
          <w:rFonts w:ascii="Times New Roman" w:hAnsi="Times New Roman" w:cs="Times New Roman"/>
          <w:sz w:val="24"/>
          <w:szCs w:val="24"/>
        </w:rPr>
        <w:t xml:space="preserve">Asimismo, los costos de operación y mantenimiento fueron determinados con base en los requerimientos de personal, insumos químicos, energía eléctrica, mantenimiento preventivo y materiales menores necesarios para la operación continua del sistema. Por su parte, los ingresos </w:t>
      </w:r>
      <w:r w:rsidRPr="00486D7A">
        <w:rPr>
          <w:rFonts w:ascii="Times New Roman" w:hAnsi="Times New Roman" w:cs="Times New Roman"/>
          <w:sz w:val="24"/>
          <w:szCs w:val="24"/>
        </w:rPr>
        <w:lastRenderedPageBreak/>
        <w:t>corresponden a los beneficios económicos indirectos generados por el proyecto, estimados a partir de la reducción del gasto de los hogares en la compra de agua y de los costos asociados a la atención de enfermedades relacionadas con la deficiente prestación del servicio.</w:t>
      </w:r>
      <w:r>
        <w:rPr>
          <w:rFonts w:ascii="Times New Roman" w:hAnsi="Times New Roman" w:cs="Times New Roman"/>
          <w:sz w:val="24"/>
          <w:szCs w:val="24"/>
        </w:rPr>
        <w:t xml:space="preserve"> Los detalles constan en la Tabla </w:t>
      </w:r>
      <w:r w:rsidR="00583D29">
        <w:rPr>
          <w:rFonts w:ascii="Times New Roman" w:hAnsi="Times New Roman" w:cs="Times New Roman"/>
          <w:sz w:val="24"/>
          <w:szCs w:val="24"/>
        </w:rPr>
        <w:t>13</w:t>
      </w:r>
      <w:r>
        <w:rPr>
          <w:rFonts w:ascii="Times New Roman" w:hAnsi="Times New Roman" w:cs="Times New Roman"/>
          <w:sz w:val="24"/>
          <w:szCs w:val="24"/>
        </w:rPr>
        <w:t>.</w:t>
      </w:r>
    </w:p>
    <w:p w14:paraId="5299E01A" w14:textId="1EC41916" w:rsidR="00486D7A"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2</w:t>
      </w:r>
    </w:p>
    <w:p w14:paraId="6615F236" w14:textId="75871A54"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i/>
          <w:iCs/>
          <w:sz w:val="24"/>
          <w:szCs w:val="24"/>
        </w:rPr>
        <w:t>Costos de operación y mantenimiento</w:t>
      </w:r>
    </w:p>
    <w:tbl>
      <w:tblPr>
        <w:tblW w:w="5000" w:type="pct"/>
        <w:tblLayout w:type="fixed"/>
        <w:tblCellMar>
          <w:left w:w="70" w:type="dxa"/>
          <w:right w:w="70" w:type="dxa"/>
        </w:tblCellMar>
        <w:tblLook w:val="04A0" w:firstRow="1" w:lastRow="0" w:firstColumn="1" w:lastColumn="0" w:noHBand="0" w:noVBand="1"/>
      </w:tblPr>
      <w:tblGrid>
        <w:gridCol w:w="993"/>
        <w:gridCol w:w="2406"/>
        <w:gridCol w:w="1278"/>
        <w:gridCol w:w="1843"/>
        <w:gridCol w:w="2506"/>
      </w:tblGrid>
      <w:tr w:rsidR="00486D7A" w:rsidRPr="00486D7A" w14:paraId="29993E4F" w14:textId="77777777" w:rsidTr="00486D7A">
        <w:trPr>
          <w:trHeight w:val="20"/>
        </w:trPr>
        <w:tc>
          <w:tcPr>
            <w:tcW w:w="550" w:type="pct"/>
            <w:tcBorders>
              <w:top w:val="single" w:sz="4" w:space="0" w:color="auto"/>
              <w:left w:val="nil"/>
              <w:bottom w:val="single" w:sz="4" w:space="0" w:color="auto"/>
              <w:right w:val="nil"/>
            </w:tcBorders>
            <w:shd w:val="clear" w:color="auto" w:fill="auto"/>
            <w:vAlign w:val="center"/>
            <w:hideMark/>
          </w:tcPr>
          <w:p w14:paraId="792FE000"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333" w:type="pct"/>
            <w:tcBorders>
              <w:top w:val="single" w:sz="4" w:space="0" w:color="auto"/>
              <w:left w:val="nil"/>
              <w:bottom w:val="single" w:sz="4" w:space="0" w:color="auto"/>
              <w:right w:val="nil"/>
            </w:tcBorders>
            <w:shd w:val="clear" w:color="auto" w:fill="auto"/>
            <w:vAlign w:val="center"/>
            <w:hideMark/>
          </w:tcPr>
          <w:p w14:paraId="3CB164D9"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708" w:type="pct"/>
            <w:tcBorders>
              <w:top w:val="single" w:sz="4" w:space="0" w:color="auto"/>
              <w:left w:val="nil"/>
              <w:bottom w:val="single" w:sz="4" w:space="0" w:color="auto"/>
              <w:right w:val="nil"/>
            </w:tcBorders>
            <w:shd w:val="clear" w:color="auto" w:fill="auto"/>
            <w:vAlign w:val="center"/>
            <w:hideMark/>
          </w:tcPr>
          <w:p w14:paraId="7C76B49E"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021" w:type="pct"/>
            <w:tcBorders>
              <w:top w:val="single" w:sz="4" w:space="0" w:color="auto"/>
              <w:left w:val="nil"/>
              <w:bottom w:val="single" w:sz="4" w:space="0" w:color="auto"/>
              <w:right w:val="nil"/>
            </w:tcBorders>
            <w:shd w:val="clear" w:color="auto" w:fill="auto"/>
            <w:vAlign w:val="center"/>
            <w:hideMark/>
          </w:tcPr>
          <w:p w14:paraId="70FBFECB"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388" w:type="pct"/>
            <w:tcBorders>
              <w:top w:val="single" w:sz="4" w:space="0" w:color="auto"/>
              <w:left w:val="nil"/>
              <w:bottom w:val="single" w:sz="4" w:space="0" w:color="auto"/>
              <w:right w:val="nil"/>
            </w:tcBorders>
            <w:shd w:val="clear" w:color="auto" w:fill="auto"/>
            <w:vAlign w:val="center"/>
            <w:hideMark/>
          </w:tcPr>
          <w:p w14:paraId="0E6A931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(USD/año)</w:t>
            </w:r>
          </w:p>
        </w:tc>
      </w:tr>
      <w:tr w:rsidR="00486D7A" w:rsidRPr="00486D7A" w14:paraId="0B418762" w14:textId="77777777" w:rsidTr="00486D7A">
        <w:trPr>
          <w:trHeight w:val="20"/>
        </w:trPr>
        <w:tc>
          <w:tcPr>
            <w:tcW w:w="550" w:type="pct"/>
            <w:tcBorders>
              <w:top w:val="single" w:sz="4" w:space="0" w:color="auto"/>
              <w:left w:val="nil"/>
              <w:bottom w:val="nil"/>
              <w:right w:val="nil"/>
            </w:tcBorders>
            <w:shd w:val="clear" w:color="auto" w:fill="auto"/>
            <w:vAlign w:val="center"/>
            <w:hideMark/>
          </w:tcPr>
          <w:p w14:paraId="76F8209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single" w:sz="4" w:space="0" w:color="auto"/>
              <w:left w:val="nil"/>
              <w:bottom w:val="nil"/>
              <w:right w:val="nil"/>
            </w:tcBorders>
            <w:shd w:val="clear" w:color="auto" w:fill="auto"/>
            <w:vAlign w:val="center"/>
            <w:hideMark/>
          </w:tcPr>
          <w:p w14:paraId="2806E3B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Operador del sistema de agua potable</w:t>
            </w:r>
          </w:p>
        </w:tc>
        <w:tc>
          <w:tcPr>
            <w:tcW w:w="708" w:type="pct"/>
            <w:tcBorders>
              <w:top w:val="single" w:sz="4" w:space="0" w:color="auto"/>
              <w:left w:val="nil"/>
              <w:bottom w:val="nil"/>
              <w:right w:val="nil"/>
            </w:tcBorders>
            <w:shd w:val="clear" w:color="auto" w:fill="auto"/>
            <w:vAlign w:val="center"/>
            <w:hideMark/>
          </w:tcPr>
          <w:p w14:paraId="2B5A0F5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single" w:sz="4" w:space="0" w:color="auto"/>
              <w:left w:val="nil"/>
              <w:bottom w:val="nil"/>
              <w:right w:val="nil"/>
            </w:tcBorders>
            <w:shd w:val="clear" w:color="auto" w:fill="auto"/>
            <w:vAlign w:val="center"/>
            <w:hideMark/>
          </w:tcPr>
          <w:p w14:paraId="390B30C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470,00 </w:t>
            </w:r>
          </w:p>
        </w:tc>
        <w:tc>
          <w:tcPr>
            <w:tcW w:w="1388" w:type="pct"/>
            <w:tcBorders>
              <w:top w:val="single" w:sz="4" w:space="0" w:color="auto"/>
              <w:left w:val="nil"/>
              <w:bottom w:val="nil"/>
              <w:right w:val="nil"/>
            </w:tcBorders>
            <w:shd w:val="clear" w:color="auto" w:fill="auto"/>
            <w:vAlign w:val="center"/>
            <w:hideMark/>
          </w:tcPr>
          <w:p w14:paraId="7D5A46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5.640,00 </w:t>
            </w:r>
          </w:p>
        </w:tc>
      </w:tr>
      <w:tr w:rsidR="00486D7A" w:rsidRPr="00486D7A" w14:paraId="61E25DEB" w14:textId="77777777" w:rsidTr="00486D7A">
        <w:trPr>
          <w:trHeight w:val="20"/>
        </w:trPr>
        <w:tc>
          <w:tcPr>
            <w:tcW w:w="550" w:type="pct"/>
            <w:tcBorders>
              <w:top w:val="nil"/>
              <w:left w:val="nil"/>
              <w:bottom w:val="nil"/>
              <w:right w:val="nil"/>
            </w:tcBorders>
            <w:shd w:val="clear" w:color="auto" w:fill="auto"/>
            <w:vAlign w:val="center"/>
            <w:hideMark/>
          </w:tcPr>
          <w:p w14:paraId="6BF365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shd w:val="clear" w:color="auto" w:fill="auto"/>
            <w:vAlign w:val="center"/>
            <w:hideMark/>
          </w:tcPr>
          <w:p w14:paraId="739C54E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Técnico de mantenimiento (medio tiempo)</w:t>
            </w:r>
          </w:p>
        </w:tc>
        <w:tc>
          <w:tcPr>
            <w:tcW w:w="708" w:type="pct"/>
            <w:tcBorders>
              <w:top w:val="nil"/>
              <w:left w:val="nil"/>
              <w:bottom w:val="nil"/>
              <w:right w:val="nil"/>
            </w:tcBorders>
            <w:shd w:val="clear" w:color="auto" w:fill="auto"/>
            <w:vAlign w:val="center"/>
            <w:hideMark/>
          </w:tcPr>
          <w:p w14:paraId="4F72128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shd w:val="clear" w:color="auto" w:fill="auto"/>
            <w:vAlign w:val="center"/>
            <w:hideMark/>
          </w:tcPr>
          <w:p w14:paraId="663DEBE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235,00 </w:t>
            </w:r>
          </w:p>
        </w:tc>
        <w:tc>
          <w:tcPr>
            <w:tcW w:w="1388" w:type="pct"/>
            <w:tcBorders>
              <w:top w:val="nil"/>
              <w:left w:val="nil"/>
              <w:bottom w:val="nil"/>
              <w:right w:val="nil"/>
            </w:tcBorders>
            <w:shd w:val="clear" w:color="auto" w:fill="auto"/>
            <w:vAlign w:val="center"/>
            <w:hideMark/>
          </w:tcPr>
          <w:p w14:paraId="709010D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2.820,00 </w:t>
            </w:r>
          </w:p>
        </w:tc>
      </w:tr>
      <w:tr w:rsidR="00486D7A" w:rsidRPr="00486D7A" w14:paraId="5F23D585" w14:textId="77777777" w:rsidTr="00486D7A">
        <w:trPr>
          <w:trHeight w:val="20"/>
        </w:trPr>
        <w:tc>
          <w:tcPr>
            <w:tcW w:w="550" w:type="pct"/>
            <w:tcBorders>
              <w:top w:val="nil"/>
              <w:left w:val="nil"/>
              <w:bottom w:val="nil"/>
              <w:right w:val="nil"/>
            </w:tcBorders>
            <w:shd w:val="clear" w:color="auto" w:fill="auto"/>
            <w:vAlign w:val="center"/>
            <w:hideMark/>
          </w:tcPr>
          <w:p w14:paraId="4439F68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shd w:val="clear" w:color="auto" w:fill="auto"/>
            <w:vAlign w:val="center"/>
            <w:hideMark/>
          </w:tcPr>
          <w:p w14:paraId="7EB3AA6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Apoyo administrativo</w:t>
            </w:r>
          </w:p>
        </w:tc>
        <w:tc>
          <w:tcPr>
            <w:tcW w:w="708" w:type="pct"/>
            <w:tcBorders>
              <w:top w:val="nil"/>
              <w:left w:val="nil"/>
              <w:bottom w:val="nil"/>
              <w:right w:val="nil"/>
            </w:tcBorders>
            <w:shd w:val="clear" w:color="auto" w:fill="auto"/>
            <w:vAlign w:val="center"/>
            <w:hideMark/>
          </w:tcPr>
          <w:p w14:paraId="4D9D19F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shd w:val="clear" w:color="auto" w:fill="auto"/>
            <w:vAlign w:val="center"/>
            <w:hideMark/>
          </w:tcPr>
          <w:p w14:paraId="1EF91B61"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141,00 </w:t>
            </w:r>
          </w:p>
        </w:tc>
        <w:tc>
          <w:tcPr>
            <w:tcW w:w="1388" w:type="pct"/>
            <w:tcBorders>
              <w:top w:val="nil"/>
              <w:left w:val="nil"/>
              <w:bottom w:val="nil"/>
              <w:right w:val="nil"/>
            </w:tcBorders>
            <w:shd w:val="clear" w:color="auto" w:fill="auto"/>
            <w:vAlign w:val="center"/>
            <w:hideMark/>
          </w:tcPr>
          <w:p w14:paraId="559C10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1.692,00 </w:t>
            </w:r>
          </w:p>
        </w:tc>
      </w:tr>
      <w:tr w:rsidR="00486D7A" w:rsidRPr="00486D7A" w14:paraId="01C3C716" w14:textId="77777777" w:rsidTr="00486D7A">
        <w:trPr>
          <w:trHeight w:val="20"/>
        </w:trPr>
        <w:tc>
          <w:tcPr>
            <w:tcW w:w="550" w:type="pct"/>
            <w:tcBorders>
              <w:top w:val="nil"/>
              <w:left w:val="nil"/>
              <w:bottom w:val="nil"/>
              <w:right w:val="nil"/>
            </w:tcBorders>
            <w:shd w:val="clear" w:color="auto" w:fill="auto"/>
            <w:vAlign w:val="center"/>
            <w:hideMark/>
          </w:tcPr>
          <w:p w14:paraId="7CC3421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69CBEA2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Energía eléctrica del sistema</w:t>
            </w:r>
          </w:p>
        </w:tc>
        <w:tc>
          <w:tcPr>
            <w:tcW w:w="708" w:type="pct"/>
            <w:tcBorders>
              <w:top w:val="nil"/>
              <w:left w:val="nil"/>
              <w:bottom w:val="nil"/>
              <w:right w:val="nil"/>
            </w:tcBorders>
            <w:shd w:val="clear" w:color="auto" w:fill="auto"/>
            <w:vAlign w:val="center"/>
            <w:hideMark/>
          </w:tcPr>
          <w:p w14:paraId="4EE222F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54637CC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c>
          <w:tcPr>
            <w:tcW w:w="1388" w:type="pct"/>
            <w:tcBorders>
              <w:top w:val="nil"/>
              <w:left w:val="nil"/>
              <w:bottom w:val="nil"/>
              <w:right w:val="nil"/>
            </w:tcBorders>
            <w:shd w:val="clear" w:color="auto" w:fill="auto"/>
            <w:vAlign w:val="center"/>
            <w:hideMark/>
          </w:tcPr>
          <w:p w14:paraId="07B690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r>
      <w:tr w:rsidR="00486D7A" w:rsidRPr="00486D7A" w14:paraId="43913FA8" w14:textId="77777777" w:rsidTr="00486D7A">
        <w:trPr>
          <w:trHeight w:val="20"/>
        </w:trPr>
        <w:tc>
          <w:tcPr>
            <w:tcW w:w="550" w:type="pct"/>
            <w:tcBorders>
              <w:top w:val="nil"/>
              <w:left w:val="nil"/>
              <w:bottom w:val="nil"/>
              <w:right w:val="nil"/>
            </w:tcBorders>
            <w:shd w:val="clear" w:color="auto" w:fill="auto"/>
            <w:vAlign w:val="center"/>
            <w:hideMark/>
          </w:tcPr>
          <w:p w14:paraId="4EB957F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377017FD"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Cloro, reactivos y desinfección</w:t>
            </w:r>
          </w:p>
        </w:tc>
        <w:tc>
          <w:tcPr>
            <w:tcW w:w="708" w:type="pct"/>
            <w:tcBorders>
              <w:top w:val="nil"/>
              <w:left w:val="nil"/>
              <w:bottom w:val="nil"/>
              <w:right w:val="nil"/>
            </w:tcBorders>
            <w:shd w:val="clear" w:color="auto" w:fill="auto"/>
            <w:vAlign w:val="center"/>
            <w:hideMark/>
          </w:tcPr>
          <w:p w14:paraId="6255286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77FC4CBC"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c>
          <w:tcPr>
            <w:tcW w:w="1388" w:type="pct"/>
            <w:tcBorders>
              <w:top w:val="nil"/>
              <w:left w:val="nil"/>
              <w:bottom w:val="nil"/>
              <w:right w:val="nil"/>
            </w:tcBorders>
            <w:shd w:val="clear" w:color="auto" w:fill="auto"/>
            <w:vAlign w:val="center"/>
            <w:hideMark/>
          </w:tcPr>
          <w:p w14:paraId="2518CD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r>
      <w:tr w:rsidR="00486D7A" w:rsidRPr="00486D7A" w14:paraId="661EC1EE" w14:textId="77777777" w:rsidTr="00486D7A">
        <w:trPr>
          <w:trHeight w:val="20"/>
        </w:trPr>
        <w:tc>
          <w:tcPr>
            <w:tcW w:w="550" w:type="pct"/>
            <w:tcBorders>
              <w:top w:val="nil"/>
              <w:left w:val="nil"/>
              <w:bottom w:val="nil"/>
              <w:right w:val="nil"/>
            </w:tcBorders>
            <w:shd w:val="clear" w:color="auto" w:fill="auto"/>
            <w:vAlign w:val="center"/>
            <w:hideMark/>
          </w:tcPr>
          <w:p w14:paraId="3643EFC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6752F77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Mantenimiento de redes, válvulas, hidrantes y tanques</w:t>
            </w:r>
          </w:p>
        </w:tc>
        <w:tc>
          <w:tcPr>
            <w:tcW w:w="708" w:type="pct"/>
            <w:tcBorders>
              <w:top w:val="nil"/>
              <w:left w:val="nil"/>
              <w:bottom w:val="nil"/>
              <w:right w:val="nil"/>
            </w:tcBorders>
            <w:shd w:val="clear" w:color="auto" w:fill="auto"/>
            <w:vAlign w:val="center"/>
            <w:hideMark/>
          </w:tcPr>
          <w:p w14:paraId="74EC7D5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2F90C4F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c>
          <w:tcPr>
            <w:tcW w:w="1388" w:type="pct"/>
            <w:tcBorders>
              <w:top w:val="nil"/>
              <w:left w:val="nil"/>
              <w:bottom w:val="nil"/>
              <w:right w:val="nil"/>
            </w:tcBorders>
            <w:shd w:val="clear" w:color="auto" w:fill="auto"/>
            <w:vAlign w:val="center"/>
            <w:hideMark/>
          </w:tcPr>
          <w:p w14:paraId="5FE16CF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0D86C2A6" w14:textId="77777777" w:rsidTr="00486D7A">
        <w:trPr>
          <w:trHeight w:val="20"/>
        </w:trPr>
        <w:tc>
          <w:tcPr>
            <w:tcW w:w="550" w:type="pct"/>
            <w:tcBorders>
              <w:top w:val="nil"/>
              <w:left w:val="nil"/>
              <w:bottom w:val="nil"/>
              <w:right w:val="nil"/>
            </w:tcBorders>
            <w:shd w:val="clear" w:color="auto" w:fill="auto"/>
            <w:vAlign w:val="center"/>
            <w:hideMark/>
          </w:tcPr>
          <w:p w14:paraId="4502C51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1650DA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materiales menores</w:t>
            </w:r>
          </w:p>
        </w:tc>
        <w:tc>
          <w:tcPr>
            <w:tcW w:w="708" w:type="pct"/>
            <w:tcBorders>
              <w:top w:val="nil"/>
              <w:left w:val="nil"/>
              <w:bottom w:val="nil"/>
              <w:right w:val="nil"/>
            </w:tcBorders>
            <w:shd w:val="clear" w:color="auto" w:fill="auto"/>
            <w:vAlign w:val="center"/>
            <w:hideMark/>
          </w:tcPr>
          <w:p w14:paraId="36E7C31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74334B0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c>
          <w:tcPr>
            <w:tcW w:w="1388" w:type="pct"/>
            <w:tcBorders>
              <w:top w:val="nil"/>
              <w:left w:val="nil"/>
              <w:bottom w:val="nil"/>
              <w:right w:val="nil"/>
            </w:tcBorders>
            <w:shd w:val="clear" w:color="auto" w:fill="auto"/>
            <w:vAlign w:val="center"/>
            <w:hideMark/>
          </w:tcPr>
          <w:p w14:paraId="6ED21BF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r>
      <w:tr w:rsidR="00486D7A" w:rsidRPr="00486D7A" w14:paraId="7F7A6344" w14:textId="77777777" w:rsidTr="00486D7A">
        <w:trPr>
          <w:trHeight w:val="20"/>
        </w:trPr>
        <w:tc>
          <w:tcPr>
            <w:tcW w:w="550" w:type="pct"/>
            <w:tcBorders>
              <w:top w:val="nil"/>
              <w:left w:val="nil"/>
              <w:bottom w:val="single" w:sz="4" w:space="0" w:color="auto"/>
              <w:right w:val="nil"/>
            </w:tcBorders>
            <w:shd w:val="clear" w:color="auto" w:fill="auto"/>
            <w:vAlign w:val="center"/>
            <w:hideMark/>
          </w:tcPr>
          <w:p w14:paraId="05E6028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single" w:sz="4" w:space="0" w:color="auto"/>
              <w:right w:val="nil"/>
            </w:tcBorders>
            <w:shd w:val="clear" w:color="auto" w:fill="auto"/>
            <w:vAlign w:val="center"/>
            <w:hideMark/>
          </w:tcPr>
          <w:p w14:paraId="63FC56B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y movilización</w:t>
            </w:r>
          </w:p>
        </w:tc>
        <w:tc>
          <w:tcPr>
            <w:tcW w:w="708" w:type="pct"/>
            <w:tcBorders>
              <w:top w:val="nil"/>
              <w:left w:val="nil"/>
              <w:bottom w:val="single" w:sz="4" w:space="0" w:color="auto"/>
              <w:right w:val="nil"/>
            </w:tcBorders>
            <w:shd w:val="clear" w:color="auto" w:fill="auto"/>
            <w:vAlign w:val="center"/>
            <w:hideMark/>
          </w:tcPr>
          <w:p w14:paraId="6297FB4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single" w:sz="4" w:space="0" w:color="auto"/>
              <w:right w:val="nil"/>
            </w:tcBorders>
            <w:shd w:val="clear" w:color="auto" w:fill="auto"/>
            <w:vAlign w:val="center"/>
            <w:hideMark/>
          </w:tcPr>
          <w:p w14:paraId="7B90C2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c>
          <w:tcPr>
            <w:tcW w:w="1388" w:type="pct"/>
            <w:tcBorders>
              <w:top w:val="nil"/>
              <w:left w:val="nil"/>
              <w:bottom w:val="single" w:sz="4" w:space="0" w:color="auto"/>
              <w:right w:val="nil"/>
            </w:tcBorders>
            <w:shd w:val="clear" w:color="auto" w:fill="auto"/>
            <w:vAlign w:val="center"/>
            <w:hideMark/>
          </w:tcPr>
          <w:p w14:paraId="7B72D5A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r>
      <w:tr w:rsidR="00486D7A" w:rsidRPr="00486D7A" w14:paraId="6D09237E" w14:textId="77777777" w:rsidTr="00486D7A">
        <w:trPr>
          <w:trHeight w:val="20"/>
        </w:trPr>
        <w:tc>
          <w:tcPr>
            <w:tcW w:w="3612" w:type="pct"/>
            <w:gridSpan w:val="4"/>
            <w:tcBorders>
              <w:top w:val="single" w:sz="4" w:space="0" w:color="auto"/>
              <w:left w:val="nil"/>
              <w:bottom w:val="single" w:sz="4" w:space="0" w:color="auto"/>
              <w:right w:val="nil"/>
            </w:tcBorders>
            <w:shd w:val="clear" w:color="auto" w:fill="auto"/>
            <w:noWrap/>
            <w:vAlign w:val="bottom"/>
            <w:hideMark/>
          </w:tcPr>
          <w:p w14:paraId="153F298F"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proofErr w:type="gramStart"/>
            <w:r w:rsidRPr="00486D7A">
              <w:rPr>
                <w:rFonts w:ascii="Times New Roman" w:eastAsia="Times New Roman" w:hAnsi="Times New Roman" w:cs="Times New Roman"/>
                <w:b/>
                <w:bCs/>
                <w:color w:val="000000"/>
                <w:sz w:val="20"/>
                <w:szCs w:val="20"/>
                <w:lang w:eastAsia="es-EC"/>
              </w:rPr>
              <w:t>Total</w:t>
            </w:r>
            <w:proofErr w:type="gramEnd"/>
            <w:r w:rsidRPr="00486D7A">
              <w:rPr>
                <w:rFonts w:ascii="Times New Roman" w:eastAsia="Times New Roman" w:hAnsi="Times New Roman" w:cs="Times New Roman"/>
                <w:b/>
                <w:bCs/>
                <w:color w:val="000000"/>
                <w:sz w:val="20"/>
                <w:szCs w:val="20"/>
                <w:lang w:eastAsia="es-EC"/>
              </w:rPr>
              <w:t xml:space="preserve"> Operación y Mantenimiento</w:t>
            </w:r>
          </w:p>
        </w:tc>
        <w:tc>
          <w:tcPr>
            <w:tcW w:w="1388" w:type="pct"/>
            <w:tcBorders>
              <w:top w:val="single" w:sz="4" w:space="0" w:color="auto"/>
              <w:left w:val="nil"/>
              <w:bottom w:val="single" w:sz="4" w:space="0" w:color="auto"/>
              <w:right w:val="nil"/>
            </w:tcBorders>
            <w:shd w:val="clear" w:color="auto" w:fill="auto"/>
            <w:noWrap/>
            <w:vAlign w:val="bottom"/>
            <w:hideMark/>
          </w:tcPr>
          <w:p w14:paraId="3329FE2F" w14:textId="77777777" w:rsidR="00486D7A" w:rsidRPr="00486D7A" w:rsidRDefault="00486D7A" w:rsidP="00486D7A">
            <w:pPr>
              <w:spacing w:after="0" w:line="240" w:lineRule="auto"/>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35.452,00 </w:t>
            </w:r>
          </w:p>
        </w:tc>
      </w:tr>
    </w:tbl>
    <w:p w14:paraId="47D5FA8D" w14:textId="3F2D7DDF" w:rsidR="00BE2B9B" w:rsidRDefault="00BE2B9B" w:rsidP="00FD3B9C">
      <w:pPr>
        <w:spacing w:before="240"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Ingresos</w:t>
      </w:r>
    </w:p>
    <w:p w14:paraId="20384740" w14:textId="69D66160" w:rsidR="00BE2B9B" w:rsidRDefault="00BE2B9B" w:rsidP="00FD3B9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7418AA">
        <w:rPr>
          <w:rFonts w:ascii="Times New Roman" w:eastAsia="Times New Roman" w:hAnsi="Times New Roman" w:cs="Times New Roman"/>
          <w:sz w:val="24"/>
          <w:szCs w:val="24"/>
        </w:rPr>
        <w:t>l tratarse de un proyecto de inversión pública de carácter social, el proyecto no genera</w:t>
      </w:r>
      <w:r w:rsidR="001650B8">
        <w:rPr>
          <w:rFonts w:ascii="Times New Roman" w:eastAsia="Times New Roman" w:hAnsi="Times New Roman" w:cs="Times New Roman"/>
          <w:sz w:val="24"/>
          <w:szCs w:val="24"/>
        </w:rPr>
        <w:t xml:space="preserve"> </w:t>
      </w:r>
      <w:r w:rsidRPr="007418AA">
        <w:rPr>
          <w:rFonts w:ascii="Times New Roman" w:eastAsia="Times New Roman" w:hAnsi="Times New Roman" w:cs="Times New Roman"/>
          <w:sz w:val="24"/>
          <w:szCs w:val="24"/>
        </w:rPr>
        <w:t xml:space="preserve">ingresos monetarios directos por la venta de bienes o servicios. </w:t>
      </w:r>
    </w:p>
    <w:p w14:paraId="4F429A85" w14:textId="49CA1EF7" w:rsidR="00BE2B9B" w:rsidRDefault="00BE2B9B" w:rsidP="00FD3B9C">
      <w:pPr>
        <w:spacing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Beneficios</w:t>
      </w:r>
    </w:p>
    <w:p w14:paraId="6A12CC55" w14:textId="4C8256E6" w:rsidR="00BE2B9B" w:rsidRDefault="00BE2B9B"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 proyecto p</w:t>
      </w:r>
      <w:r w:rsidRPr="00BE2B9B">
        <w:rPr>
          <w:rFonts w:ascii="Times New Roman" w:hAnsi="Times New Roman" w:cs="Times New Roman"/>
          <w:sz w:val="24"/>
          <w:szCs w:val="24"/>
        </w:rPr>
        <w:t xml:space="preserve">roduce beneficios económicos indirectos para aproximadamente 2.031 hogares del barrio </w:t>
      </w:r>
      <w:proofErr w:type="spellStart"/>
      <w:r w:rsidRPr="00BE2B9B">
        <w:rPr>
          <w:rFonts w:ascii="Times New Roman" w:hAnsi="Times New Roman" w:cs="Times New Roman"/>
          <w:sz w:val="24"/>
          <w:szCs w:val="24"/>
        </w:rPr>
        <w:t>Carigán</w:t>
      </w:r>
      <w:proofErr w:type="spellEnd"/>
      <w:r w:rsidRPr="00BE2B9B">
        <w:rPr>
          <w:rFonts w:ascii="Times New Roman" w:hAnsi="Times New Roman" w:cs="Times New Roman"/>
          <w:sz w:val="24"/>
          <w:szCs w:val="24"/>
        </w:rPr>
        <w:t>, derivados principalmente de la disminución del gasto en la compra de agua para consumo y de la reducción de gastos médicos asociados a enfermedades ocasionadas por un servicio deficiente de agua potable.</w:t>
      </w:r>
      <w:r>
        <w:rPr>
          <w:rFonts w:ascii="Times New Roman" w:hAnsi="Times New Roman" w:cs="Times New Roman"/>
          <w:sz w:val="24"/>
          <w:szCs w:val="24"/>
        </w:rPr>
        <w:t xml:space="preserve"> Los valores se presentan en la Tabla </w:t>
      </w:r>
      <w:r w:rsidR="00583D29">
        <w:rPr>
          <w:rFonts w:ascii="Times New Roman" w:hAnsi="Times New Roman" w:cs="Times New Roman"/>
          <w:sz w:val="24"/>
          <w:szCs w:val="24"/>
        </w:rPr>
        <w:t>14</w:t>
      </w:r>
      <w:r>
        <w:rPr>
          <w:rFonts w:ascii="Times New Roman" w:hAnsi="Times New Roman" w:cs="Times New Roman"/>
          <w:sz w:val="24"/>
          <w:szCs w:val="24"/>
        </w:rPr>
        <w:t>.</w:t>
      </w:r>
    </w:p>
    <w:p w14:paraId="18228841" w14:textId="66ADA052" w:rsidR="00BE2B9B" w:rsidRDefault="00BE2B9B" w:rsidP="00BE2B9B">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3</w:t>
      </w:r>
    </w:p>
    <w:p w14:paraId="3E79CE5B" w14:textId="3E2F8CA0" w:rsidR="00BE2B9B" w:rsidRDefault="00BE2B9B" w:rsidP="00BE2B9B">
      <w:pPr>
        <w:spacing w:after="0"/>
        <w:jc w:val="both"/>
        <w:rPr>
          <w:rFonts w:ascii="Times New Roman" w:hAnsi="Times New Roman" w:cs="Times New Roman"/>
          <w:i/>
          <w:iCs/>
          <w:sz w:val="24"/>
          <w:szCs w:val="24"/>
        </w:rPr>
      </w:pPr>
      <w:r>
        <w:rPr>
          <w:rFonts w:ascii="Times New Roman" w:hAnsi="Times New Roman" w:cs="Times New Roman"/>
          <w:i/>
          <w:iCs/>
          <w:sz w:val="24"/>
          <w:szCs w:val="24"/>
        </w:rPr>
        <w:t>Beneficios</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849"/>
        <w:gridCol w:w="3260"/>
        <w:gridCol w:w="1276"/>
        <w:gridCol w:w="1740"/>
        <w:gridCol w:w="1901"/>
      </w:tblGrid>
      <w:tr w:rsidR="00BE2B9B" w:rsidRPr="00BE2B9B" w14:paraId="04112EAD" w14:textId="77777777" w:rsidTr="00BE2B9B">
        <w:trPr>
          <w:trHeight w:val="20"/>
        </w:trPr>
        <w:tc>
          <w:tcPr>
            <w:tcW w:w="471" w:type="pct"/>
            <w:tcBorders>
              <w:top w:val="single" w:sz="4" w:space="0" w:color="auto"/>
              <w:bottom w:val="single" w:sz="4" w:space="0" w:color="auto"/>
            </w:tcBorders>
            <w:shd w:val="clear" w:color="auto" w:fill="auto"/>
            <w:vAlign w:val="center"/>
            <w:hideMark/>
          </w:tcPr>
          <w:p w14:paraId="29C251C9"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proofErr w:type="spellStart"/>
            <w:r w:rsidRPr="00BE2B9B">
              <w:rPr>
                <w:rFonts w:ascii="Times New Roman" w:eastAsia="Times New Roman" w:hAnsi="Times New Roman" w:cs="Times New Roman"/>
                <w:b/>
                <w:bCs/>
                <w:color w:val="000000"/>
                <w:sz w:val="20"/>
                <w:szCs w:val="20"/>
                <w:lang w:eastAsia="es-EC"/>
              </w:rPr>
              <w:t>N°</w:t>
            </w:r>
            <w:proofErr w:type="spellEnd"/>
            <w:r w:rsidRPr="00BE2B9B">
              <w:rPr>
                <w:rFonts w:ascii="Times New Roman" w:eastAsia="Times New Roman" w:hAnsi="Times New Roman" w:cs="Times New Roman"/>
                <w:b/>
                <w:bCs/>
                <w:color w:val="000000"/>
                <w:sz w:val="20"/>
                <w:szCs w:val="20"/>
                <w:lang w:eastAsia="es-EC"/>
              </w:rPr>
              <w:t xml:space="preserve"> de hogares</w:t>
            </w:r>
          </w:p>
        </w:tc>
        <w:tc>
          <w:tcPr>
            <w:tcW w:w="1806" w:type="pct"/>
            <w:tcBorders>
              <w:top w:val="single" w:sz="4" w:space="0" w:color="auto"/>
              <w:bottom w:val="single" w:sz="4" w:space="0" w:color="auto"/>
            </w:tcBorders>
            <w:shd w:val="clear" w:color="auto" w:fill="auto"/>
            <w:vAlign w:val="center"/>
            <w:hideMark/>
          </w:tcPr>
          <w:p w14:paraId="1EC849EA"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Detalle</w:t>
            </w:r>
          </w:p>
        </w:tc>
        <w:tc>
          <w:tcPr>
            <w:tcW w:w="707" w:type="pct"/>
            <w:tcBorders>
              <w:top w:val="single" w:sz="4" w:space="0" w:color="auto"/>
              <w:bottom w:val="single" w:sz="4" w:space="0" w:color="auto"/>
            </w:tcBorders>
            <w:shd w:val="clear" w:color="auto" w:fill="auto"/>
            <w:vAlign w:val="center"/>
            <w:hideMark/>
          </w:tcPr>
          <w:p w14:paraId="04C84AD6"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Unidad de medida</w:t>
            </w:r>
          </w:p>
        </w:tc>
        <w:tc>
          <w:tcPr>
            <w:tcW w:w="963" w:type="pct"/>
            <w:tcBorders>
              <w:top w:val="single" w:sz="4" w:space="0" w:color="auto"/>
              <w:bottom w:val="single" w:sz="4" w:space="0" w:color="auto"/>
            </w:tcBorders>
            <w:shd w:val="clear" w:color="auto" w:fill="auto"/>
            <w:vAlign w:val="center"/>
            <w:hideMark/>
          </w:tcPr>
          <w:p w14:paraId="12EBA965"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Valor unitario (USD)</w:t>
            </w:r>
          </w:p>
        </w:tc>
        <w:tc>
          <w:tcPr>
            <w:tcW w:w="1053" w:type="pct"/>
            <w:tcBorders>
              <w:top w:val="single" w:sz="4" w:space="0" w:color="auto"/>
              <w:bottom w:val="single" w:sz="4" w:space="0" w:color="auto"/>
            </w:tcBorders>
            <w:shd w:val="clear" w:color="auto" w:fill="auto"/>
            <w:vAlign w:val="center"/>
            <w:hideMark/>
          </w:tcPr>
          <w:p w14:paraId="75CE3D43"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Valor total (USD)</w:t>
            </w:r>
          </w:p>
        </w:tc>
      </w:tr>
      <w:tr w:rsidR="00BE2B9B" w:rsidRPr="00BE2B9B" w14:paraId="6720BCAA" w14:textId="77777777" w:rsidTr="00BE2B9B">
        <w:trPr>
          <w:trHeight w:val="20"/>
        </w:trPr>
        <w:tc>
          <w:tcPr>
            <w:tcW w:w="471" w:type="pct"/>
            <w:tcBorders>
              <w:top w:val="single" w:sz="4" w:space="0" w:color="auto"/>
              <w:bottom w:val="nil"/>
            </w:tcBorders>
            <w:shd w:val="clear" w:color="auto" w:fill="auto"/>
            <w:noWrap/>
            <w:vAlign w:val="bottom"/>
            <w:hideMark/>
          </w:tcPr>
          <w:p w14:paraId="223855BA" w14:textId="77777777" w:rsidR="00BE2B9B" w:rsidRPr="00BE2B9B" w:rsidRDefault="00BE2B9B" w:rsidP="00BE2B9B">
            <w:pPr>
              <w:spacing w:after="0" w:line="240" w:lineRule="auto"/>
              <w:jc w:val="center"/>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2031</w:t>
            </w:r>
          </w:p>
        </w:tc>
        <w:tc>
          <w:tcPr>
            <w:tcW w:w="1806" w:type="pct"/>
            <w:tcBorders>
              <w:top w:val="single" w:sz="4" w:space="0" w:color="auto"/>
              <w:bottom w:val="nil"/>
            </w:tcBorders>
            <w:shd w:val="clear" w:color="auto" w:fill="auto"/>
            <w:noWrap/>
            <w:vAlign w:val="bottom"/>
            <w:hideMark/>
          </w:tcPr>
          <w:p w14:paraId="663D80DB"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3 bidones de agua por familia (diarios)</w:t>
            </w:r>
          </w:p>
        </w:tc>
        <w:tc>
          <w:tcPr>
            <w:tcW w:w="707" w:type="pct"/>
            <w:tcBorders>
              <w:top w:val="single" w:sz="4" w:space="0" w:color="auto"/>
              <w:bottom w:val="nil"/>
            </w:tcBorders>
            <w:shd w:val="clear" w:color="auto" w:fill="auto"/>
            <w:noWrap/>
            <w:vAlign w:val="bottom"/>
            <w:hideMark/>
          </w:tcPr>
          <w:p w14:paraId="60854BEA" w14:textId="77777777" w:rsidR="00BE2B9B" w:rsidRPr="00BE2B9B" w:rsidRDefault="00BE2B9B" w:rsidP="00BE2B9B">
            <w:pPr>
              <w:spacing w:after="0" w:line="240" w:lineRule="auto"/>
              <w:jc w:val="center"/>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galón</w:t>
            </w:r>
          </w:p>
        </w:tc>
        <w:tc>
          <w:tcPr>
            <w:tcW w:w="963" w:type="pct"/>
            <w:tcBorders>
              <w:top w:val="single" w:sz="4" w:space="0" w:color="auto"/>
              <w:bottom w:val="nil"/>
            </w:tcBorders>
            <w:shd w:val="clear" w:color="auto" w:fill="auto"/>
            <w:noWrap/>
            <w:vAlign w:val="bottom"/>
            <w:hideMark/>
          </w:tcPr>
          <w:p w14:paraId="74BE4199"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1,50 </w:t>
            </w:r>
          </w:p>
        </w:tc>
        <w:tc>
          <w:tcPr>
            <w:tcW w:w="1053" w:type="pct"/>
            <w:tcBorders>
              <w:top w:val="single" w:sz="4" w:space="0" w:color="auto"/>
              <w:bottom w:val="nil"/>
            </w:tcBorders>
            <w:shd w:val="clear" w:color="auto" w:fill="auto"/>
            <w:noWrap/>
            <w:vAlign w:val="bottom"/>
            <w:hideMark/>
          </w:tcPr>
          <w:p w14:paraId="41E77282"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9.140,63 </w:t>
            </w:r>
          </w:p>
        </w:tc>
      </w:tr>
      <w:tr w:rsidR="00BE2B9B" w:rsidRPr="00BE2B9B" w14:paraId="49CCCC2A" w14:textId="77777777" w:rsidTr="00BE2B9B">
        <w:trPr>
          <w:trHeight w:val="20"/>
        </w:trPr>
        <w:tc>
          <w:tcPr>
            <w:tcW w:w="471" w:type="pct"/>
            <w:tcBorders>
              <w:top w:val="nil"/>
              <w:bottom w:val="single" w:sz="4" w:space="0" w:color="auto"/>
            </w:tcBorders>
            <w:shd w:val="clear" w:color="auto" w:fill="auto"/>
            <w:noWrap/>
            <w:vAlign w:val="bottom"/>
            <w:hideMark/>
          </w:tcPr>
          <w:p w14:paraId="6DF2C4FC" w14:textId="77777777" w:rsidR="00BE2B9B" w:rsidRPr="00BE2B9B" w:rsidRDefault="00BE2B9B" w:rsidP="00BE2B9B">
            <w:pPr>
              <w:spacing w:after="0" w:line="240" w:lineRule="auto"/>
              <w:jc w:val="center"/>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2031</w:t>
            </w:r>
          </w:p>
        </w:tc>
        <w:tc>
          <w:tcPr>
            <w:tcW w:w="1806" w:type="pct"/>
            <w:tcBorders>
              <w:top w:val="nil"/>
              <w:bottom w:val="single" w:sz="4" w:space="0" w:color="auto"/>
            </w:tcBorders>
            <w:shd w:val="clear" w:color="auto" w:fill="auto"/>
            <w:noWrap/>
            <w:vAlign w:val="bottom"/>
            <w:hideMark/>
          </w:tcPr>
          <w:p w14:paraId="157BE1B9"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Citas médicas (2 por familia)</w:t>
            </w:r>
          </w:p>
        </w:tc>
        <w:tc>
          <w:tcPr>
            <w:tcW w:w="707" w:type="pct"/>
            <w:tcBorders>
              <w:top w:val="nil"/>
              <w:bottom w:val="single" w:sz="4" w:space="0" w:color="auto"/>
            </w:tcBorders>
            <w:shd w:val="clear" w:color="auto" w:fill="auto"/>
            <w:noWrap/>
            <w:vAlign w:val="bottom"/>
            <w:hideMark/>
          </w:tcPr>
          <w:p w14:paraId="4C8F3885"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p>
        </w:tc>
        <w:tc>
          <w:tcPr>
            <w:tcW w:w="963" w:type="pct"/>
            <w:tcBorders>
              <w:top w:val="nil"/>
              <w:bottom w:val="single" w:sz="4" w:space="0" w:color="auto"/>
            </w:tcBorders>
            <w:shd w:val="clear" w:color="auto" w:fill="auto"/>
            <w:noWrap/>
            <w:vAlign w:val="bottom"/>
            <w:hideMark/>
          </w:tcPr>
          <w:p w14:paraId="2D7816A4"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12,00 </w:t>
            </w:r>
          </w:p>
        </w:tc>
        <w:tc>
          <w:tcPr>
            <w:tcW w:w="1053" w:type="pct"/>
            <w:tcBorders>
              <w:top w:val="nil"/>
              <w:bottom w:val="single" w:sz="4" w:space="0" w:color="auto"/>
            </w:tcBorders>
            <w:shd w:val="clear" w:color="auto" w:fill="auto"/>
            <w:noWrap/>
            <w:vAlign w:val="bottom"/>
            <w:hideMark/>
          </w:tcPr>
          <w:p w14:paraId="730960A0"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48.750,00 </w:t>
            </w:r>
          </w:p>
        </w:tc>
      </w:tr>
      <w:tr w:rsidR="00BE2B9B" w:rsidRPr="00BE2B9B" w14:paraId="2230BCB4" w14:textId="77777777" w:rsidTr="00BE2B9B">
        <w:trPr>
          <w:trHeight w:val="20"/>
        </w:trPr>
        <w:tc>
          <w:tcPr>
            <w:tcW w:w="3947" w:type="pct"/>
            <w:gridSpan w:val="4"/>
            <w:tcBorders>
              <w:top w:val="single" w:sz="4" w:space="0" w:color="auto"/>
            </w:tcBorders>
            <w:shd w:val="clear" w:color="auto" w:fill="auto"/>
            <w:noWrap/>
            <w:vAlign w:val="bottom"/>
            <w:hideMark/>
          </w:tcPr>
          <w:p w14:paraId="50C152C7" w14:textId="77777777" w:rsidR="00BE2B9B" w:rsidRPr="00BE2B9B" w:rsidRDefault="00BE2B9B" w:rsidP="00BE2B9B">
            <w:pPr>
              <w:spacing w:after="0" w:line="240" w:lineRule="auto"/>
              <w:jc w:val="right"/>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TOTAL</w:t>
            </w:r>
          </w:p>
        </w:tc>
        <w:tc>
          <w:tcPr>
            <w:tcW w:w="1053" w:type="pct"/>
            <w:tcBorders>
              <w:top w:val="single" w:sz="4" w:space="0" w:color="auto"/>
            </w:tcBorders>
            <w:shd w:val="clear" w:color="auto" w:fill="auto"/>
            <w:noWrap/>
            <w:vAlign w:val="bottom"/>
            <w:hideMark/>
          </w:tcPr>
          <w:p w14:paraId="23918F3C" w14:textId="77777777" w:rsidR="00BE2B9B" w:rsidRPr="00BE2B9B" w:rsidRDefault="00BE2B9B" w:rsidP="00BE2B9B">
            <w:pPr>
              <w:spacing w:after="0" w:line="240" w:lineRule="auto"/>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 xml:space="preserve"> $             57.890,63 </w:t>
            </w:r>
          </w:p>
        </w:tc>
      </w:tr>
    </w:tbl>
    <w:p w14:paraId="2E4DEF2D" w14:textId="219CAAD2" w:rsidR="00BE2B9B" w:rsidRDefault="00BE2B9B" w:rsidP="00FD3B9C">
      <w:pPr>
        <w:spacing w:before="240"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Vida útil</w:t>
      </w:r>
    </w:p>
    <w:p w14:paraId="125200BA" w14:textId="7740D3C6" w:rsidR="00BE2B9B" w:rsidRPr="00BE2B9B" w:rsidRDefault="00BE2B9B" w:rsidP="00583D29">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vida útil del proyecto se establece en un horizonte de evaluación de diez años, considerando criterios de formulación y evaluación de proyectos de inversión pública. Durante este período se estiman los beneficios económicos indirectos generados por la mejora del servicio de agua potable y los costos de operación y mantenimiento necesarios para garantizar el adecuado </w:t>
      </w:r>
      <w:r w:rsidRPr="00BE2B9B">
        <w:rPr>
          <w:rFonts w:ascii="Times New Roman" w:hAnsi="Times New Roman" w:cs="Times New Roman"/>
          <w:sz w:val="24"/>
          <w:szCs w:val="24"/>
        </w:rPr>
        <w:lastRenderedPageBreak/>
        <w:t xml:space="preserve">funcionamiento de la infraestructura instalada en el barrio </w:t>
      </w:r>
      <w:proofErr w:type="spellStart"/>
      <w:r w:rsidRPr="00BE2B9B">
        <w:rPr>
          <w:rFonts w:ascii="Times New Roman" w:hAnsi="Times New Roman" w:cs="Times New Roman"/>
          <w:sz w:val="24"/>
          <w:szCs w:val="24"/>
        </w:rPr>
        <w:t>Carigán</w:t>
      </w:r>
      <w:proofErr w:type="spellEnd"/>
      <w:r w:rsidRPr="00BE2B9B">
        <w:rPr>
          <w:rFonts w:ascii="Times New Roman" w:hAnsi="Times New Roman" w:cs="Times New Roman"/>
          <w:sz w:val="24"/>
          <w:szCs w:val="24"/>
        </w:rPr>
        <w:t>. Aunque los componentes del sistema poseen una vida física superior, el horizonte de diez años permite realizar una evaluación financiera y económica más práctica y consistente para la toma de decisiones.</w:t>
      </w:r>
    </w:p>
    <w:p w14:paraId="6BFCB1CA" w14:textId="5C21C5C3" w:rsidR="00C74371" w:rsidRDefault="00C74371" w:rsidP="00700B94">
      <w:pPr>
        <w:pStyle w:val="Prrafodelista"/>
        <w:numPr>
          <w:ilvl w:val="2"/>
          <w:numId w:val="1"/>
        </w:numPr>
        <w:jc w:val="both"/>
        <w:rPr>
          <w:rFonts w:ascii="Times New Roman" w:hAnsi="Times New Roman" w:cs="Times New Roman"/>
          <w:b/>
          <w:bCs/>
          <w:sz w:val="24"/>
          <w:szCs w:val="24"/>
        </w:rPr>
      </w:pPr>
      <w:r>
        <w:rPr>
          <w:rFonts w:ascii="Times New Roman" w:hAnsi="Times New Roman" w:cs="Times New Roman"/>
          <w:b/>
          <w:bCs/>
          <w:sz w:val="24"/>
          <w:szCs w:val="24"/>
        </w:rPr>
        <w:t>Flujo financiero fiscal</w:t>
      </w:r>
    </w:p>
    <w:p w14:paraId="16ACB298" w14:textId="252244D8" w:rsidR="00583D29" w:rsidRPr="00583D29" w:rsidRDefault="00583D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la Tabla 1</w:t>
      </w:r>
      <w:r w:rsidR="00C82448">
        <w:rPr>
          <w:rFonts w:ascii="Times New Roman" w:hAnsi="Times New Roman" w:cs="Times New Roman"/>
          <w:sz w:val="24"/>
          <w:szCs w:val="24"/>
        </w:rPr>
        <w:t>4</w:t>
      </w:r>
      <w:r>
        <w:rPr>
          <w:rFonts w:ascii="Times New Roman" w:hAnsi="Times New Roman" w:cs="Times New Roman"/>
          <w:sz w:val="24"/>
          <w:szCs w:val="24"/>
        </w:rPr>
        <w:t xml:space="preserve"> se detalla el flujo financiero fiscal del proyecto.</w:t>
      </w:r>
    </w:p>
    <w:p w14:paraId="7A1CDD08" w14:textId="612F6C81" w:rsidR="00583D29" w:rsidRDefault="00583D29" w:rsidP="00583D29">
      <w:pPr>
        <w:spacing w:after="0"/>
        <w:jc w:val="both"/>
        <w:rPr>
          <w:rFonts w:ascii="Times New Roman" w:hAnsi="Times New Roman" w:cs="Times New Roman"/>
          <w:b/>
          <w:bCs/>
          <w:sz w:val="24"/>
          <w:szCs w:val="24"/>
        </w:rPr>
      </w:pPr>
      <w:r>
        <w:rPr>
          <w:rFonts w:ascii="Times New Roman" w:hAnsi="Times New Roman" w:cs="Times New Roman"/>
          <w:b/>
          <w:bCs/>
          <w:sz w:val="24"/>
          <w:szCs w:val="24"/>
        </w:rPr>
        <w:t>Tabla 1</w:t>
      </w:r>
      <w:r w:rsidR="00C82448">
        <w:rPr>
          <w:rFonts w:ascii="Times New Roman" w:hAnsi="Times New Roman" w:cs="Times New Roman"/>
          <w:b/>
          <w:bCs/>
          <w:sz w:val="24"/>
          <w:szCs w:val="24"/>
        </w:rPr>
        <w:t>4</w:t>
      </w:r>
    </w:p>
    <w:p w14:paraId="3BF70C24" w14:textId="05926462" w:rsidR="00583D29" w:rsidRPr="00583D29" w:rsidRDefault="00583D29" w:rsidP="00583D29">
      <w:pPr>
        <w:spacing w:after="0"/>
        <w:jc w:val="both"/>
        <w:rPr>
          <w:rFonts w:ascii="Times New Roman" w:hAnsi="Times New Roman" w:cs="Times New Roman"/>
          <w:i/>
          <w:iCs/>
          <w:sz w:val="24"/>
          <w:szCs w:val="24"/>
        </w:rPr>
      </w:pPr>
      <w:r>
        <w:rPr>
          <w:rFonts w:ascii="Times New Roman" w:hAnsi="Times New Roman" w:cs="Times New Roman"/>
          <w:i/>
          <w:iCs/>
          <w:sz w:val="24"/>
          <w:szCs w:val="24"/>
        </w:rPr>
        <w:t>Flujo financiero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1625"/>
        <w:gridCol w:w="1296"/>
        <w:gridCol w:w="1296"/>
        <w:gridCol w:w="1296"/>
      </w:tblGrid>
      <w:tr w:rsidR="001650B8" w:rsidRPr="001650B8" w14:paraId="68724FEF" w14:textId="77777777" w:rsidTr="001650B8">
        <w:tc>
          <w:tcPr>
            <w:tcW w:w="1946" w:type="pct"/>
            <w:tcBorders>
              <w:top w:val="single" w:sz="4" w:space="0" w:color="auto"/>
              <w:bottom w:val="single" w:sz="4" w:space="0" w:color="auto"/>
            </w:tcBorders>
            <w:hideMark/>
          </w:tcPr>
          <w:p w14:paraId="1D72DB5A" w14:textId="77777777" w:rsidR="001650B8" w:rsidRPr="001650B8" w:rsidRDefault="001650B8" w:rsidP="00AF4B40">
            <w:pPr>
              <w:jc w:val="center"/>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Detalle</w:t>
            </w:r>
          </w:p>
        </w:tc>
        <w:tc>
          <w:tcPr>
            <w:tcW w:w="900" w:type="pct"/>
            <w:tcBorders>
              <w:top w:val="single" w:sz="4" w:space="0" w:color="auto"/>
              <w:bottom w:val="single" w:sz="4" w:space="0" w:color="auto"/>
            </w:tcBorders>
            <w:hideMark/>
          </w:tcPr>
          <w:p w14:paraId="5A55DA72"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0</w:t>
            </w:r>
          </w:p>
        </w:tc>
        <w:tc>
          <w:tcPr>
            <w:tcW w:w="718" w:type="pct"/>
            <w:tcBorders>
              <w:top w:val="single" w:sz="4" w:space="0" w:color="auto"/>
              <w:bottom w:val="single" w:sz="4" w:space="0" w:color="auto"/>
            </w:tcBorders>
            <w:hideMark/>
          </w:tcPr>
          <w:p w14:paraId="2AAA1D95"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1</w:t>
            </w:r>
          </w:p>
        </w:tc>
        <w:tc>
          <w:tcPr>
            <w:tcW w:w="718" w:type="pct"/>
            <w:tcBorders>
              <w:top w:val="single" w:sz="4" w:space="0" w:color="auto"/>
              <w:bottom w:val="single" w:sz="4" w:space="0" w:color="auto"/>
            </w:tcBorders>
            <w:hideMark/>
          </w:tcPr>
          <w:p w14:paraId="5B3DB29F"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2</w:t>
            </w:r>
          </w:p>
        </w:tc>
        <w:tc>
          <w:tcPr>
            <w:tcW w:w="718" w:type="pct"/>
            <w:tcBorders>
              <w:top w:val="single" w:sz="4" w:space="0" w:color="auto"/>
              <w:bottom w:val="single" w:sz="4" w:space="0" w:color="auto"/>
            </w:tcBorders>
            <w:hideMark/>
          </w:tcPr>
          <w:p w14:paraId="68FA6144"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3</w:t>
            </w:r>
          </w:p>
        </w:tc>
      </w:tr>
      <w:tr w:rsidR="001650B8" w:rsidRPr="001650B8" w14:paraId="01680620" w14:textId="77777777" w:rsidTr="001650B8">
        <w:tc>
          <w:tcPr>
            <w:tcW w:w="1946" w:type="pct"/>
            <w:tcBorders>
              <w:top w:val="single" w:sz="4" w:space="0" w:color="auto"/>
            </w:tcBorders>
            <w:hideMark/>
          </w:tcPr>
          <w:p w14:paraId="047162B0"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INGRESOS</w:t>
            </w:r>
          </w:p>
        </w:tc>
        <w:tc>
          <w:tcPr>
            <w:tcW w:w="900" w:type="pct"/>
            <w:tcBorders>
              <w:top w:val="single" w:sz="4" w:space="0" w:color="auto"/>
            </w:tcBorders>
            <w:hideMark/>
          </w:tcPr>
          <w:p w14:paraId="0CE3ABC5"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top w:val="single" w:sz="4" w:space="0" w:color="auto"/>
            </w:tcBorders>
            <w:hideMark/>
          </w:tcPr>
          <w:p w14:paraId="15415007"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05A7DD82"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13E98A36" w14:textId="77777777" w:rsidR="001650B8" w:rsidRPr="001650B8" w:rsidRDefault="001650B8" w:rsidP="00AF4B40">
            <w:pPr>
              <w:jc w:val="right"/>
              <w:rPr>
                <w:rFonts w:ascii="Times New Roman" w:eastAsia="Times New Roman" w:hAnsi="Times New Roman" w:cs="Times New Roman"/>
                <w:lang w:val="es-MX" w:eastAsia="es-MX"/>
              </w:rPr>
            </w:pPr>
          </w:p>
        </w:tc>
      </w:tr>
      <w:tr w:rsidR="001650B8" w:rsidRPr="001650B8" w14:paraId="2546455C" w14:textId="77777777" w:rsidTr="001650B8">
        <w:tc>
          <w:tcPr>
            <w:tcW w:w="1946" w:type="pct"/>
            <w:tcBorders>
              <w:bottom w:val="nil"/>
            </w:tcBorders>
            <w:hideMark/>
          </w:tcPr>
          <w:p w14:paraId="0EBF9833"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Beneficios económicos indirectos</w:t>
            </w:r>
          </w:p>
        </w:tc>
        <w:tc>
          <w:tcPr>
            <w:tcW w:w="900" w:type="pct"/>
            <w:tcBorders>
              <w:bottom w:val="nil"/>
            </w:tcBorders>
            <w:hideMark/>
          </w:tcPr>
          <w:p w14:paraId="673E943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c>
          <w:tcPr>
            <w:tcW w:w="718" w:type="pct"/>
            <w:tcBorders>
              <w:bottom w:val="nil"/>
            </w:tcBorders>
            <w:hideMark/>
          </w:tcPr>
          <w:p w14:paraId="66C84C4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$57.890,63</w:t>
            </w:r>
          </w:p>
        </w:tc>
        <w:tc>
          <w:tcPr>
            <w:tcW w:w="718" w:type="pct"/>
            <w:tcBorders>
              <w:bottom w:val="nil"/>
            </w:tcBorders>
            <w:hideMark/>
          </w:tcPr>
          <w:p w14:paraId="2D23C0A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$58.643,21</w:t>
            </w:r>
          </w:p>
        </w:tc>
        <w:tc>
          <w:tcPr>
            <w:tcW w:w="718" w:type="pct"/>
            <w:tcBorders>
              <w:bottom w:val="nil"/>
            </w:tcBorders>
            <w:hideMark/>
          </w:tcPr>
          <w:p w14:paraId="4FA26D4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$59.405,57</w:t>
            </w:r>
          </w:p>
        </w:tc>
      </w:tr>
      <w:tr w:rsidR="001650B8" w:rsidRPr="001650B8" w14:paraId="16ED6EAC" w14:textId="77777777" w:rsidTr="001650B8">
        <w:tc>
          <w:tcPr>
            <w:tcW w:w="1946" w:type="pct"/>
            <w:tcBorders>
              <w:top w:val="nil"/>
              <w:bottom w:val="single" w:sz="4" w:space="0" w:color="auto"/>
            </w:tcBorders>
            <w:hideMark/>
          </w:tcPr>
          <w:p w14:paraId="13DF9FBC" w14:textId="77777777" w:rsidR="001650B8" w:rsidRPr="001650B8" w:rsidRDefault="001650B8" w:rsidP="00AF4B40">
            <w:pPr>
              <w:rPr>
                <w:rFonts w:ascii="Times New Roman" w:eastAsia="Times New Roman" w:hAnsi="Times New Roman" w:cs="Times New Roman"/>
                <w:lang w:val="es-MX" w:eastAsia="es-MX"/>
              </w:rPr>
            </w:pPr>
            <w:proofErr w:type="gramStart"/>
            <w:r w:rsidRPr="001650B8">
              <w:rPr>
                <w:rFonts w:ascii="Times New Roman" w:eastAsia="Times New Roman" w:hAnsi="Times New Roman" w:cs="Times New Roman"/>
                <w:b/>
                <w:bCs/>
                <w:lang w:val="es-MX" w:eastAsia="es-MX"/>
              </w:rPr>
              <w:t>Total</w:t>
            </w:r>
            <w:proofErr w:type="gramEnd"/>
            <w:r w:rsidRPr="001650B8">
              <w:rPr>
                <w:rFonts w:ascii="Times New Roman" w:eastAsia="Times New Roman" w:hAnsi="Times New Roman" w:cs="Times New Roman"/>
                <w:b/>
                <w:bCs/>
                <w:lang w:val="es-MX" w:eastAsia="es-MX"/>
              </w:rPr>
              <w:t xml:space="preserve"> Ingresos</w:t>
            </w:r>
          </w:p>
        </w:tc>
        <w:tc>
          <w:tcPr>
            <w:tcW w:w="900" w:type="pct"/>
            <w:tcBorders>
              <w:top w:val="nil"/>
              <w:bottom w:val="single" w:sz="4" w:space="0" w:color="auto"/>
            </w:tcBorders>
            <w:hideMark/>
          </w:tcPr>
          <w:p w14:paraId="04FFA37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$0,00</w:t>
            </w:r>
          </w:p>
        </w:tc>
        <w:tc>
          <w:tcPr>
            <w:tcW w:w="718" w:type="pct"/>
            <w:tcBorders>
              <w:top w:val="nil"/>
              <w:bottom w:val="single" w:sz="4" w:space="0" w:color="auto"/>
            </w:tcBorders>
            <w:hideMark/>
          </w:tcPr>
          <w:p w14:paraId="5E2E367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$57.890,63</w:t>
            </w:r>
          </w:p>
        </w:tc>
        <w:tc>
          <w:tcPr>
            <w:tcW w:w="718" w:type="pct"/>
            <w:tcBorders>
              <w:top w:val="nil"/>
              <w:bottom w:val="single" w:sz="4" w:space="0" w:color="auto"/>
            </w:tcBorders>
            <w:hideMark/>
          </w:tcPr>
          <w:p w14:paraId="2DEB415A"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$58.643,21</w:t>
            </w:r>
          </w:p>
        </w:tc>
        <w:tc>
          <w:tcPr>
            <w:tcW w:w="718" w:type="pct"/>
            <w:tcBorders>
              <w:top w:val="nil"/>
              <w:bottom w:val="single" w:sz="4" w:space="0" w:color="auto"/>
            </w:tcBorders>
            <w:hideMark/>
          </w:tcPr>
          <w:p w14:paraId="3536EB4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$59.405,57</w:t>
            </w:r>
          </w:p>
        </w:tc>
      </w:tr>
      <w:tr w:rsidR="001650B8" w:rsidRPr="001650B8" w14:paraId="215D211B" w14:textId="77777777" w:rsidTr="001650B8">
        <w:tc>
          <w:tcPr>
            <w:tcW w:w="1946" w:type="pct"/>
            <w:tcBorders>
              <w:top w:val="single" w:sz="4" w:space="0" w:color="auto"/>
            </w:tcBorders>
            <w:hideMark/>
          </w:tcPr>
          <w:p w14:paraId="2DBB6878"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COSTOS DE OPERACIÓN Y MANTENIMIENTO</w:t>
            </w:r>
          </w:p>
        </w:tc>
        <w:tc>
          <w:tcPr>
            <w:tcW w:w="900" w:type="pct"/>
            <w:tcBorders>
              <w:top w:val="single" w:sz="4" w:space="0" w:color="auto"/>
            </w:tcBorders>
            <w:hideMark/>
          </w:tcPr>
          <w:p w14:paraId="09A38EFA"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top w:val="single" w:sz="4" w:space="0" w:color="auto"/>
            </w:tcBorders>
            <w:hideMark/>
          </w:tcPr>
          <w:p w14:paraId="62B0B5F4"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30414721"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53528FA2" w14:textId="77777777" w:rsidR="001650B8" w:rsidRPr="001650B8" w:rsidRDefault="001650B8" w:rsidP="00AF4B40">
            <w:pPr>
              <w:jc w:val="right"/>
              <w:rPr>
                <w:rFonts w:ascii="Times New Roman" w:eastAsia="Times New Roman" w:hAnsi="Times New Roman" w:cs="Times New Roman"/>
                <w:lang w:val="es-MX" w:eastAsia="es-MX"/>
              </w:rPr>
            </w:pPr>
          </w:p>
        </w:tc>
      </w:tr>
      <w:tr w:rsidR="001650B8" w:rsidRPr="001650B8" w14:paraId="661A5C5D" w14:textId="77777777" w:rsidTr="001650B8">
        <w:tc>
          <w:tcPr>
            <w:tcW w:w="1946" w:type="pct"/>
            <w:hideMark/>
          </w:tcPr>
          <w:p w14:paraId="0CCBC7D4"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Operador del sistema de agua potable</w:t>
            </w:r>
          </w:p>
        </w:tc>
        <w:tc>
          <w:tcPr>
            <w:tcW w:w="900" w:type="pct"/>
            <w:hideMark/>
          </w:tcPr>
          <w:p w14:paraId="00BDBA48"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099FFA5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$5.640,00</w:t>
            </w:r>
          </w:p>
        </w:tc>
        <w:tc>
          <w:tcPr>
            <w:tcW w:w="718" w:type="pct"/>
            <w:hideMark/>
          </w:tcPr>
          <w:p w14:paraId="5954304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$5.713,32</w:t>
            </w:r>
          </w:p>
        </w:tc>
        <w:tc>
          <w:tcPr>
            <w:tcW w:w="718" w:type="pct"/>
            <w:hideMark/>
          </w:tcPr>
          <w:p w14:paraId="0DCBFFA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$5.787,59</w:t>
            </w:r>
          </w:p>
        </w:tc>
      </w:tr>
      <w:tr w:rsidR="001650B8" w:rsidRPr="001650B8" w14:paraId="199DDF9D" w14:textId="77777777" w:rsidTr="001650B8">
        <w:tc>
          <w:tcPr>
            <w:tcW w:w="1946" w:type="pct"/>
            <w:hideMark/>
          </w:tcPr>
          <w:p w14:paraId="1C564151"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Técnico de mantenimiento (medio tiempo)</w:t>
            </w:r>
          </w:p>
        </w:tc>
        <w:tc>
          <w:tcPr>
            <w:tcW w:w="900" w:type="pct"/>
            <w:hideMark/>
          </w:tcPr>
          <w:p w14:paraId="341478A0"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10644E7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$2.820,00</w:t>
            </w:r>
          </w:p>
        </w:tc>
        <w:tc>
          <w:tcPr>
            <w:tcW w:w="718" w:type="pct"/>
            <w:hideMark/>
          </w:tcPr>
          <w:p w14:paraId="7322275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$2.856,66</w:t>
            </w:r>
          </w:p>
        </w:tc>
        <w:tc>
          <w:tcPr>
            <w:tcW w:w="718" w:type="pct"/>
            <w:hideMark/>
          </w:tcPr>
          <w:p w14:paraId="004CB3E4"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$2.893,80</w:t>
            </w:r>
          </w:p>
        </w:tc>
      </w:tr>
      <w:tr w:rsidR="001650B8" w:rsidRPr="001650B8" w14:paraId="0DB7262F" w14:textId="77777777" w:rsidTr="001650B8">
        <w:tc>
          <w:tcPr>
            <w:tcW w:w="1946" w:type="pct"/>
            <w:hideMark/>
          </w:tcPr>
          <w:p w14:paraId="58983CD6"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Apoyo administrativo</w:t>
            </w:r>
          </w:p>
        </w:tc>
        <w:tc>
          <w:tcPr>
            <w:tcW w:w="900" w:type="pct"/>
            <w:hideMark/>
          </w:tcPr>
          <w:p w14:paraId="6362CBCB"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603105EF"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$1.692,00</w:t>
            </w:r>
          </w:p>
        </w:tc>
        <w:tc>
          <w:tcPr>
            <w:tcW w:w="718" w:type="pct"/>
            <w:hideMark/>
          </w:tcPr>
          <w:p w14:paraId="53BD7DD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$1.713,99</w:t>
            </w:r>
          </w:p>
        </w:tc>
        <w:tc>
          <w:tcPr>
            <w:tcW w:w="718" w:type="pct"/>
            <w:hideMark/>
          </w:tcPr>
          <w:p w14:paraId="279156AE"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$1.736,27</w:t>
            </w:r>
          </w:p>
        </w:tc>
      </w:tr>
      <w:tr w:rsidR="001650B8" w:rsidRPr="001650B8" w14:paraId="4F32C24B" w14:textId="77777777" w:rsidTr="001650B8">
        <w:tc>
          <w:tcPr>
            <w:tcW w:w="1946" w:type="pct"/>
            <w:hideMark/>
          </w:tcPr>
          <w:p w14:paraId="46408BCD"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Energía eléctrica del sistema</w:t>
            </w:r>
          </w:p>
        </w:tc>
        <w:tc>
          <w:tcPr>
            <w:tcW w:w="900" w:type="pct"/>
            <w:hideMark/>
          </w:tcPr>
          <w:p w14:paraId="35401030"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75B9DDAC"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$3.000,00</w:t>
            </w:r>
          </w:p>
        </w:tc>
        <w:tc>
          <w:tcPr>
            <w:tcW w:w="718" w:type="pct"/>
            <w:hideMark/>
          </w:tcPr>
          <w:p w14:paraId="767A005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$3.039,00</w:t>
            </w:r>
          </w:p>
        </w:tc>
        <w:tc>
          <w:tcPr>
            <w:tcW w:w="718" w:type="pct"/>
            <w:hideMark/>
          </w:tcPr>
          <w:p w14:paraId="416B5F45"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$3.078,51</w:t>
            </w:r>
          </w:p>
        </w:tc>
      </w:tr>
      <w:tr w:rsidR="001650B8" w:rsidRPr="001650B8" w14:paraId="410B378F" w14:textId="77777777" w:rsidTr="001650B8">
        <w:tc>
          <w:tcPr>
            <w:tcW w:w="1946" w:type="pct"/>
            <w:hideMark/>
          </w:tcPr>
          <w:p w14:paraId="6954841F"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Cloro, reactivos y desinfección</w:t>
            </w:r>
          </w:p>
        </w:tc>
        <w:tc>
          <w:tcPr>
            <w:tcW w:w="900" w:type="pct"/>
            <w:hideMark/>
          </w:tcPr>
          <w:p w14:paraId="6A5D8109"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202C261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$6.800,00</w:t>
            </w:r>
          </w:p>
        </w:tc>
        <w:tc>
          <w:tcPr>
            <w:tcW w:w="718" w:type="pct"/>
            <w:hideMark/>
          </w:tcPr>
          <w:p w14:paraId="58BD0DF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$6.888,40</w:t>
            </w:r>
          </w:p>
        </w:tc>
        <w:tc>
          <w:tcPr>
            <w:tcW w:w="718" w:type="pct"/>
            <w:hideMark/>
          </w:tcPr>
          <w:p w14:paraId="67CD10D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$6.977,95</w:t>
            </w:r>
          </w:p>
        </w:tc>
      </w:tr>
      <w:tr w:rsidR="001650B8" w:rsidRPr="001650B8" w14:paraId="7684AD6C" w14:textId="77777777" w:rsidTr="001650B8">
        <w:tc>
          <w:tcPr>
            <w:tcW w:w="1946" w:type="pct"/>
            <w:hideMark/>
          </w:tcPr>
          <w:p w14:paraId="665F38AC"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Mantenimiento de redes, válvulas, hidrantes y tanques</w:t>
            </w:r>
          </w:p>
        </w:tc>
        <w:tc>
          <w:tcPr>
            <w:tcW w:w="900" w:type="pct"/>
            <w:hideMark/>
          </w:tcPr>
          <w:p w14:paraId="6E0E0283"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2A83483D"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$12.000,00</w:t>
            </w:r>
          </w:p>
        </w:tc>
        <w:tc>
          <w:tcPr>
            <w:tcW w:w="718" w:type="pct"/>
            <w:hideMark/>
          </w:tcPr>
          <w:p w14:paraId="09770E5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$12.156,00</w:t>
            </w:r>
          </w:p>
        </w:tc>
        <w:tc>
          <w:tcPr>
            <w:tcW w:w="718" w:type="pct"/>
            <w:hideMark/>
          </w:tcPr>
          <w:p w14:paraId="376D488A"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$12.314,03</w:t>
            </w:r>
          </w:p>
        </w:tc>
      </w:tr>
      <w:tr w:rsidR="001650B8" w:rsidRPr="001650B8" w14:paraId="0D5E0250" w14:textId="77777777" w:rsidTr="001650B8">
        <w:tc>
          <w:tcPr>
            <w:tcW w:w="1946" w:type="pct"/>
            <w:hideMark/>
          </w:tcPr>
          <w:p w14:paraId="5AFDF986"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Herramientas y materiales menores</w:t>
            </w:r>
          </w:p>
        </w:tc>
        <w:tc>
          <w:tcPr>
            <w:tcW w:w="900" w:type="pct"/>
            <w:hideMark/>
          </w:tcPr>
          <w:p w14:paraId="5C5A7C18"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16578C9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$1.500,00</w:t>
            </w:r>
          </w:p>
        </w:tc>
        <w:tc>
          <w:tcPr>
            <w:tcW w:w="718" w:type="pct"/>
            <w:hideMark/>
          </w:tcPr>
          <w:p w14:paraId="37B88D7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$1.519,50</w:t>
            </w:r>
          </w:p>
        </w:tc>
        <w:tc>
          <w:tcPr>
            <w:tcW w:w="718" w:type="pct"/>
            <w:hideMark/>
          </w:tcPr>
          <w:p w14:paraId="3E16D7B5"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$1.539,25</w:t>
            </w:r>
          </w:p>
        </w:tc>
      </w:tr>
      <w:tr w:rsidR="001650B8" w:rsidRPr="001650B8" w14:paraId="6DEF6566" w14:textId="77777777" w:rsidTr="001650B8">
        <w:tc>
          <w:tcPr>
            <w:tcW w:w="1946" w:type="pct"/>
            <w:tcBorders>
              <w:bottom w:val="nil"/>
            </w:tcBorders>
            <w:hideMark/>
          </w:tcPr>
          <w:p w14:paraId="6A8B7C72"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Transporte y movilización</w:t>
            </w:r>
          </w:p>
        </w:tc>
        <w:tc>
          <w:tcPr>
            <w:tcW w:w="900" w:type="pct"/>
            <w:tcBorders>
              <w:bottom w:val="nil"/>
            </w:tcBorders>
            <w:hideMark/>
          </w:tcPr>
          <w:p w14:paraId="043202E6"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bottom w:val="nil"/>
            </w:tcBorders>
            <w:hideMark/>
          </w:tcPr>
          <w:p w14:paraId="0DA5F119"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$2.000,00</w:t>
            </w:r>
          </w:p>
        </w:tc>
        <w:tc>
          <w:tcPr>
            <w:tcW w:w="718" w:type="pct"/>
            <w:tcBorders>
              <w:bottom w:val="nil"/>
            </w:tcBorders>
            <w:hideMark/>
          </w:tcPr>
          <w:p w14:paraId="321F00C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$2.026,00</w:t>
            </w:r>
          </w:p>
        </w:tc>
        <w:tc>
          <w:tcPr>
            <w:tcW w:w="718" w:type="pct"/>
            <w:tcBorders>
              <w:bottom w:val="nil"/>
            </w:tcBorders>
            <w:hideMark/>
          </w:tcPr>
          <w:p w14:paraId="6A6CE08D"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$2.052,34</w:t>
            </w:r>
          </w:p>
        </w:tc>
      </w:tr>
      <w:tr w:rsidR="001650B8" w:rsidRPr="001650B8" w14:paraId="4AAF821F" w14:textId="77777777" w:rsidTr="001650B8">
        <w:tc>
          <w:tcPr>
            <w:tcW w:w="1946" w:type="pct"/>
            <w:tcBorders>
              <w:top w:val="nil"/>
              <w:bottom w:val="single" w:sz="4" w:space="0" w:color="auto"/>
            </w:tcBorders>
            <w:hideMark/>
          </w:tcPr>
          <w:p w14:paraId="1411F4A4" w14:textId="77777777" w:rsidR="001650B8" w:rsidRPr="001650B8" w:rsidRDefault="001650B8" w:rsidP="00AF4B40">
            <w:pPr>
              <w:rPr>
                <w:rFonts w:ascii="Times New Roman" w:eastAsia="Times New Roman" w:hAnsi="Times New Roman" w:cs="Times New Roman"/>
                <w:lang w:val="es-MX" w:eastAsia="es-MX"/>
              </w:rPr>
            </w:pPr>
            <w:proofErr w:type="gramStart"/>
            <w:r w:rsidRPr="001650B8">
              <w:rPr>
                <w:rFonts w:ascii="Times New Roman" w:eastAsia="Times New Roman" w:hAnsi="Times New Roman" w:cs="Times New Roman"/>
                <w:b/>
                <w:bCs/>
                <w:lang w:val="es-MX" w:eastAsia="es-MX"/>
              </w:rPr>
              <w:t>Total</w:t>
            </w:r>
            <w:proofErr w:type="gramEnd"/>
            <w:r w:rsidRPr="001650B8">
              <w:rPr>
                <w:rFonts w:ascii="Times New Roman" w:eastAsia="Times New Roman" w:hAnsi="Times New Roman" w:cs="Times New Roman"/>
                <w:b/>
                <w:bCs/>
                <w:lang w:val="es-MX" w:eastAsia="es-MX"/>
              </w:rPr>
              <w:t xml:space="preserve"> Costos</w:t>
            </w:r>
          </w:p>
        </w:tc>
        <w:tc>
          <w:tcPr>
            <w:tcW w:w="900" w:type="pct"/>
            <w:tcBorders>
              <w:top w:val="nil"/>
              <w:bottom w:val="single" w:sz="4" w:space="0" w:color="auto"/>
            </w:tcBorders>
            <w:hideMark/>
          </w:tcPr>
          <w:p w14:paraId="0FE2F15A"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$0,00</w:t>
            </w:r>
          </w:p>
        </w:tc>
        <w:tc>
          <w:tcPr>
            <w:tcW w:w="718" w:type="pct"/>
            <w:tcBorders>
              <w:top w:val="nil"/>
              <w:bottom w:val="single" w:sz="4" w:space="0" w:color="auto"/>
            </w:tcBorders>
            <w:hideMark/>
          </w:tcPr>
          <w:p w14:paraId="1051BEE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$35.452,00</w:t>
            </w:r>
          </w:p>
        </w:tc>
        <w:tc>
          <w:tcPr>
            <w:tcW w:w="718" w:type="pct"/>
            <w:tcBorders>
              <w:top w:val="nil"/>
              <w:bottom w:val="single" w:sz="4" w:space="0" w:color="auto"/>
            </w:tcBorders>
            <w:hideMark/>
          </w:tcPr>
          <w:p w14:paraId="2B152FAF"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$35.912,88</w:t>
            </w:r>
          </w:p>
        </w:tc>
        <w:tc>
          <w:tcPr>
            <w:tcW w:w="718" w:type="pct"/>
            <w:tcBorders>
              <w:top w:val="nil"/>
              <w:bottom w:val="single" w:sz="4" w:space="0" w:color="auto"/>
            </w:tcBorders>
            <w:hideMark/>
          </w:tcPr>
          <w:p w14:paraId="66D313E7"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$36.379,74</w:t>
            </w:r>
          </w:p>
        </w:tc>
      </w:tr>
      <w:tr w:rsidR="001650B8" w:rsidRPr="001650B8" w14:paraId="34FD3218" w14:textId="77777777" w:rsidTr="001650B8">
        <w:tc>
          <w:tcPr>
            <w:tcW w:w="1946" w:type="pct"/>
            <w:tcBorders>
              <w:top w:val="single" w:sz="4" w:space="0" w:color="auto"/>
              <w:bottom w:val="nil"/>
            </w:tcBorders>
            <w:hideMark/>
          </w:tcPr>
          <w:p w14:paraId="4A1FCD1B"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INVERSIÓN TOTAL</w:t>
            </w:r>
          </w:p>
        </w:tc>
        <w:tc>
          <w:tcPr>
            <w:tcW w:w="900" w:type="pct"/>
            <w:tcBorders>
              <w:top w:val="single" w:sz="4" w:space="0" w:color="auto"/>
              <w:bottom w:val="nil"/>
            </w:tcBorders>
            <w:hideMark/>
          </w:tcPr>
          <w:p w14:paraId="410C6996"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top w:val="single" w:sz="4" w:space="0" w:color="auto"/>
              <w:bottom w:val="nil"/>
            </w:tcBorders>
            <w:hideMark/>
          </w:tcPr>
          <w:p w14:paraId="143B8519"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bottom w:val="nil"/>
            </w:tcBorders>
            <w:hideMark/>
          </w:tcPr>
          <w:p w14:paraId="4A6DCF3F"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bottom w:val="nil"/>
            </w:tcBorders>
            <w:hideMark/>
          </w:tcPr>
          <w:p w14:paraId="71B48272" w14:textId="77777777" w:rsidR="001650B8" w:rsidRPr="001650B8" w:rsidRDefault="001650B8" w:rsidP="00AF4B40">
            <w:pPr>
              <w:jc w:val="right"/>
              <w:rPr>
                <w:rFonts w:ascii="Times New Roman" w:eastAsia="Times New Roman" w:hAnsi="Times New Roman" w:cs="Times New Roman"/>
                <w:lang w:val="es-MX" w:eastAsia="es-MX"/>
              </w:rPr>
            </w:pPr>
          </w:p>
        </w:tc>
      </w:tr>
      <w:tr w:rsidR="001650B8" w:rsidRPr="001650B8" w14:paraId="48CCB4BA" w14:textId="77777777" w:rsidTr="001650B8">
        <w:tc>
          <w:tcPr>
            <w:tcW w:w="1946" w:type="pct"/>
            <w:tcBorders>
              <w:top w:val="nil"/>
              <w:bottom w:val="single" w:sz="4" w:space="0" w:color="auto"/>
            </w:tcBorders>
            <w:hideMark/>
          </w:tcPr>
          <w:p w14:paraId="7077A519"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Inversión total del proyecto</w:t>
            </w:r>
          </w:p>
        </w:tc>
        <w:tc>
          <w:tcPr>
            <w:tcW w:w="900" w:type="pct"/>
            <w:tcBorders>
              <w:top w:val="nil"/>
              <w:bottom w:val="single" w:sz="4" w:space="0" w:color="auto"/>
            </w:tcBorders>
            <w:hideMark/>
          </w:tcPr>
          <w:p w14:paraId="39059CE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$1.327.578,28</w:t>
            </w:r>
          </w:p>
        </w:tc>
        <w:tc>
          <w:tcPr>
            <w:tcW w:w="718" w:type="pct"/>
            <w:tcBorders>
              <w:top w:val="nil"/>
              <w:bottom w:val="single" w:sz="4" w:space="0" w:color="auto"/>
            </w:tcBorders>
            <w:hideMark/>
          </w:tcPr>
          <w:p w14:paraId="276033B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c>
          <w:tcPr>
            <w:tcW w:w="718" w:type="pct"/>
            <w:tcBorders>
              <w:top w:val="nil"/>
              <w:bottom w:val="single" w:sz="4" w:space="0" w:color="auto"/>
            </w:tcBorders>
            <w:hideMark/>
          </w:tcPr>
          <w:p w14:paraId="30ABB98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c>
          <w:tcPr>
            <w:tcW w:w="718" w:type="pct"/>
            <w:tcBorders>
              <w:top w:val="nil"/>
              <w:bottom w:val="single" w:sz="4" w:space="0" w:color="auto"/>
            </w:tcBorders>
            <w:hideMark/>
          </w:tcPr>
          <w:p w14:paraId="46F8908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r>
      <w:tr w:rsidR="001650B8" w:rsidRPr="001650B8" w14:paraId="5E4B7797" w14:textId="77777777" w:rsidTr="001650B8">
        <w:tc>
          <w:tcPr>
            <w:tcW w:w="1946" w:type="pct"/>
            <w:tcBorders>
              <w:top w:val="single" w:sz="4" w:space="0" w:color="auto"/>
            </w:tcBorders>
            <w:hideMark/>
          </w:tcPr>
          <w:p w14:paraId="703E13D1"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Flujo de caja</w:t>
            </w:r>
          </w:p>
        </w:tc>
        <w:tc>
          <w:tcPr>
            <w:tcW w:w="900" w:type="pct"/>
            <w:tcBorders>
              <w:top w:val="single" w:sz="4" w:space="0" w:color="auto"/>
            </w:tcBorders>
            <w:hideMark/>
          </w:tcPr>
          <w:p w14:paraId="188B275F" w14:textId="77777777" w:rsidR="001650B8" w:rsidRPr="001650B8" w:rsidRDefault="001650B8" w:rsidP="00AF4B40">
            <w:pPr>
              <w:jc w:val="right"/>
              <w:rPr>
                <w:rFonts w:ascii="Times New Roman" w:eastAsia="Times New Roman" w:hAnsi="Times New Roman" w:cs="Times New Roman"/>
                <w:color w:val="FF0000"/>
                <w:lang w:val="es-MX" w:eastAsia="es-MX"/>
              </w:rPr>
            </w:pPr>
            <w:r w:rsidRPr="001650B8">
              <w:rPr>
                <w:rFonts w:ascii="Times New Roman" w:eastAsia="Times New Roman" w:hAnsi="Times New Roman" w:cs="Times New Roman"/>
                <w:b/>
                <w:bCs/>
                <w:color w:val="FF0000"/>
                <w:lang w:val="es-MX" w:eastAsia="es-MX"/>
              </w:rPr>
              <w:t>-$1.327.578,28</w:t>
            </w:r>
          </w:p>
        </w:tc>
        <w:tc>
          <w:tcPr>
            <w:tcW w:w="718" w:type="pct"/>
            <w:tcBorders>
              <w:top w:val="single" w:sz="4" w:space="0" w:color="auto"/>
            </w:tcBorders>
            <w:hideMark/>
          </w:tcPr>
          <w:p w14:paraId="2D72377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$22.438,63</w:t>
            </w:r>
          </w:p>
        </w:tc>
        <w:tc>
          <w:tcPr>
            <w:tcW w:w="718" w:type="pct"/>
            <w:tcBorders>
              <w:top w:val="single" w:sz="4" w:space="0" w:color="auto"/>
            </w:tcBorders>
            <w:hideMark/>
          </w:tcPr>
          <w:p w14:paraId="11C67C7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$22.730,33</w:t>
            </w:r>
          </w:p>
        </w:tc>
        <w:tc>
          <w:tcPr>
            <w:tcW w:w="718" w:type="pct"/>
            <w:tcBorders>
              <w:top w:val="single" w:sz="4" w:space="0" w:color="auto"/>
            </w:tcBorders>
            <w:hideMark/>
          </w:tcPr>
          <w:p w14:paraId="06A0B4F9"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$23.025,83</w:t>
            </w:r>
          </w:p>
        </w:tc>
      </w:tr>
    </w:tbl>
    <w:p w14:paraId="7ADA3446" w14:textId="23EDE644"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Indicadores financieros fiscales</w:t>
      </w:r>
    </w:p>
    <w:p w14:paraId="4794AD3C"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No se utilizaron indicadores financieros tradicionales como el Valor Actual Neto (VAN) o la Tasa Interna de Retorno (TIR), debido a que el presente proyecto corresponde a una inversión pública de carácter social, orientada a la mejora del acceso a servicios básicos de agua potable y al fortalecimiento de la calidad de vida de la población beneficiaria.</w:t>
      </w:r>
    </w:p>
    <w:p w14:paraId="2DC6A480"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En este sentido, el proyecto no tiene como finalidad la generación de ingresos monetarios directos, sino la obtención de beneficios sociales, económicos y ambientales indirectos, los cuales no siempre pueden ser captados adecuadamente mediante indicadores financieros convencionales.</w:t>
      </w:r>
    </w:p>
    <w:p w14:paraId="11A6C0CC" w14:textId="6A7E1F44" w:rsidR="00583D29"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Por esta razón, la evaluación de la viabilidad del proyecto se realiza mediante un enfoque de análisis económico-social, basado en la cuantificación de beneficios evitados, ahorros económicos para la población y mejoras en las condiciones de bienestar, salud pública y desarrollo local.</w:t>
      </w:r>
    </w:p>
    <w:p w14:paraId="1E465815" w14:textId="3950AAF9" w:rsidR="00C74371" w:rsidRDefault="00C74371" w:rsidP="00700B94">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Viabilidad económica</w:t>
      </w:r>
    </w:p>
    <w:p w14:paraId="66BBDBA9" w14:textId="0B3DF033" w:rsidR="001650B8" w:rsidRDefault="001650B8" w:rsidP="00700B94">
      <w:pPr>
        <w:pStyle w:val="Prrafodelista"/>
        <w:numPr>
          <w:ilvl w:val="2"/>
          <w:numId w:val="1"/>
        </w:numPr>
        <w:spacing w:after="0" w:line="360" w:lineRule="auto"/>
        <w:rPr>
          <w:rFonts w:ascii="Times New Roman" w:hAnsi="Times New Roman" w:cs="Times New Roman"/>
          <w:b/>
          <w:bCs/>
          <w:sz w:val="24"/>
          <w:szCs w:val="24"/>
        </w:rPr>
      </w:pPr>
      <w:r w:rsidRPr="001650B8">
        <w:rPr>
          <w:rFonts w:ascii="Times New Roman" w:hAnsi="Times New Roman" w:cs="Times New Roman"/>
          <w:b/>
          <w:bCs/>
          <w:sz w:val="24"/>
          <w:szCs w:val="24"/>
        </w:rPr>
        <w:t>Metodología utilizada para el cálculo de la inversión total, costos de operación y mantenimiento, ingresos y beneficios.</w:t>
      </w:r>
    </w:p>
    <w:p w14:paraId="4569BD54" w14:textId="77777777"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Para la determinación de la inversión total, los costos de operación y mantenimiento y los ingresos del proyecto, se aplica una metodología basada en estimaciones técnicas, costos de mercado referenciales y proyecciones de crecimiento moderado anual.</w:t>
      </w:r>
    </w:p>
    <w:p w14:paraId="04911277" w14:textId="77777777"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Los ingresos del proyecto no provienen de una actividad comercial directa, sino de la valoración económica de beneficios indirectos, asociados principalmente a la mejora del servicio de agua potable y sus impactos positivos en la población beneficiaria.</w:t>
      </w:r>
    </w:p>
    <w:p w14:paraId="623494E4" w14:textId="4C7E15A1"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La estimación de beneficios se realiza a partir de información secundaria, supuestos técnicos y referencias de proyectos similares, permitiendo cuantificar el impacto económico-social del proyecto en el área de intervención.</w:t>
      </w:r>
    </w:p>
    <w:p w14:paraId="1B32419F" w14:textId="4365FFB9" w:rsidR="00532CA5" w:rsidRDefault="00532CA5" w:rsidP="00700B94">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w:t>
      </w:r>
      <w:r w:rsidRPr="001650B8">
        <w:rPr>
          <w:rFonts w:ascii="Times New Roman" w:hAnsi="Times New Roman" w:cs="Times New Roman"/>
          <w:b/>
          <w:bCs/>
          <w:sz w:val="24"/>
          <w:szCs w:val="24"/>
        </w:rPr>
        <w:t>total, costos de operación y mantenimiento, ingresos y beneficios.</w:t>
      </w:r>
    </w:p>
    <w:p w14:paraId="3B10390B" w14:textId="7FA7D5DA" w:rsid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 xml:space="preserve">La valoración de los beneficios económicos del proyecto de agua potable se realiza considerando los impactos positivos generados por la mejora en el acceso, calidad y continuidad del servicio. Los principales beneficios </w:t>
      </w:r>
      <w:r>
        <w:rPr>
          <w:rFonts w:ascii="Times New Roman" w:hAnsi="Times New Roman" w:cs="Times New Roman"/>
          <w:sz w:val="24"/>
          <w:szCs w:val="24"/>
        </w:rPr>
        <w:t>se detallan en la Tabla X.</w:t>
      </w:r>
    </w:p>
    <w:p w14:paraId="639498C7" w14:textId="4E75178C" w:rsidR="00532CA5" w:rsidRDefault="00532CA5" w:rsidP="00FD3B9C">
      <w:pPr>
        <w:spacing w:after="0" w:line="360" w:lineRule="auto"/>
        <w:jc w:val="both"/>
        <w:rPr>
          <w:rFonts w:ascii="Times New Roman" w:hAnsi="Times New Roman" w:cs="Times New Roman"/>
          <w:b/>
          <w:bCs/>
          <w:sz w:val="24"/>
          <w:szCs w:val="24"/>
        </w:rPr>
      </w:pPr>
      <w:r w:rsidRPr="00532CA5">
        <w:rPr>
          <w:rFonts w:ascii="Times New Roman" w:hAnsi="Times New Roman" w:cs="Times New Roman"/>
          <w:b/>
          <w:bCs/>
          <w:sz w:val="24"/>
          <w:szCs w:val="24"/>
        </w:rPr>
        <w:t>Ahorro en compra de agua potable</w:t>
      </w:r>
    </w:p>
    <w:p w14:paraId="7D1536D0" w14:textId="0BA0DF0F"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Se estima la reducción del gasto de las familias en la adquisición de agua embotellada o transporte de agua desde fuentes externas. Este ahorro se calcula en función del consumo promedio mensual y el costo unitario del agua alternativa.</w:t>
      </w:r>
    </w:p>
    <w:p w14:paraId="3A3534B5" w14:textId="20894DA9" w:rsidR="00532CA5" w:rsidRPr="00532CA5" w:rsidRDefault="00532CA5" w:rsidP="00FD3B9C">
      <w:pPr>
        <w:spacing w:after="0" w:line="360" w:lineRule="auto"/>
        <w:jc w:val="both"/>
        <w:rPr>
          <w:rFonts w:ascii="Times New Roman" w:hAnsi="Times New Roman" w:cs="Times New Roman"/>
          <w:b/>
          <w:bCs/>
          <w:sz w:val="24"/>
          <w:szCs w:val="24"/>
        </w:rPr>
      </w:pPr>
      <w:r w:rsidRPr="00532CA5">
        <w:rPr>
          <w:rFonts w:ascii="Times New Roman" w:hAnsi="Times New Roman" w:cs="Times New Roman"/>
          <w:b/>
          <w:bCs/>
          <w:sz w:val="24"/>
          <w:szCs w:val="24"/>
        </w:rPr>
        <w:t>Reducción de enfermedades de origen hídrico</w:t>
      </w:r>
    </w:p>
    <w:p w14:paraId="6536AF20" w14:textId="51C320FD" w:rsid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La mejora en la calidad del agua disminuye la incidencia de enfermedades gastrointestinales, parasitarias y dérmicas. La valoración se realiza considerando el número de atenciones médicas evitadas y el costo promedio de atención en el sistema de salud.</w:t>
      </w:r>
    </w:p>
    <w:p w14:paraId="45D56805" w14:textId="64C41144" w:rsidR="00532CA5" w:rsidRDefault="00532CA5" w:rsidP="00FD3B9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Ahorro de tiempo en recolección de agua</w:t>
      </w:r>
    </w:p>
    <w:p w14:paraId="50D74E52" w14:textId="7E7F8C39"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El acceso continuo al servicio reduce el tiempo destinado por los hogares a la obtención de agua. Este tiempo liberado se valora económicamente en función del salario promedio por hora.</w:t>
      </w:r>
    </w:p>
    <w:p w14:paraId="250DC560" w14:textId="145BF1D7" w:rsidR="00532CA5" w:rsidRDefault="00532CA5" w:rsidP="00FD3B9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Mejora en la productividad familiar</w:t>
      </w:r>
    </w:p>
    <w:p w14:paraId="26598ADE" w14:textId="3CB1A901"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El acceso constante al agua permite mejorar actividades domésticas, productivas y educativas, generando un impacto indirecto en los ingresos o bienestar de los hogares.</w:t>
      </w:r>
    </w:p>
    <w:p w14:paraId="2C665188" w14:textId="459A475B" w:rsidR="00532CA5" w:rsidRDefault="00532CA5" w:rsidP="00FD3B9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Reducción de pérdidas económicas por interrupciones del servicio</w:t>
      </w:r>
    </w:p>
    <w:p w14:paraId="4AB04174" w14:textId="11976A6E" w:rsid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Se considera la disminución de pérdidas asociadas a fallas en el suministro, como daños en alimentos, interrupciones de actividades económicas y costos adicionales de abastecimiento.</w:t>
      </w:r>
    </w:p>
    <w:p w14:paraId="78DAA6DE" w14:textId="7AA6FD13" w:rsidR="00583D29" w:rsidRPr="00532CA5" w:rsidRDefault="00583D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Por lo tanto, los beneficios valorados del proyecto se presentan en la Tabla 16.</w:t>
      </w:r>
    </w:p>
    <w:p w14:paraId="167BA742" w14:textId="21A010CF" w:rsidR="00532CA5" w:rsidRDefault="00532CA5" w:rsidP="00532CA5">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16</w:t>
      </w:r>
    </w:p>
    <w:p w14:paraId="4F1DF7B3" w14:textId="60CFA45F" w:rsidR="00532CA5" w:rsidRDefault="00532CA5" w:rsidP="00532CA5">
      <w:pPr>
        <w:spacing w:after="0"/>
        <w:jc w:val="both"/>
        <w:rPr>
          <w:rFonts w:ascii="Times New Roman" w:hAnsi="Times New Roman" w:cs="Times New Roman"/>
          <w:i/>
          <w:iCs/>
          <w:sz w:val="24"/>
          <w:szCs w:val="24"/>
        </w:rPr>
      </w:pPr>
      <w:r>
        <w:rPr>
          <w:rFonts w:ascii="Times New Roman" w:hAnsi="Times New Roman" w:cs="Times New Roman"/>
          <w:i/>
          <w:iCs/>
          <w:sz w:val="24"/>
          <w:szCs w:val="24"/>
        </w:rPr>
        <w:t>Beneficios valorados del proyecto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6"/>
        <w:gridCol w:w="2027"/>
        <w:gridCol w:w="1294"/>
        <w:gridCol w:w="1177"/>
        <w:gridCol w:w="1181"/>
        <w:gridCol w:w="1371"/>
      </w:tblGrid>
      <w:tr w:rsidR="00532CA5" w:rsidRPr="00F84E14" w14:paraId="0A07D6B0" w14:textId="77777777" w:rsidTr="00532CA5">
        <w:tc>
          <w:tcPr>
            <w:tcW w:w="0" w:type="auto"/>
            <w:tcBorders>
              <w:top w:val="single" w:sz="4" w:space="0" w:color="auto"/>
              <w:bottom w:val="single" w:sz="4" w:space="0" w:color="auto"/>
            </w:tcBorders>
            <w:vAlign w:val="center"/>
            <w:hideMark/>
          </w:tcPr>
          <w:p w14:paraId="26A6F578"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Beneficio</w:t>
            </w:r>
          </w:p>
        </w:tc>
        <w:tc>
          <w:tcPr>
            <w:tcW w:w="0" w:type="auto"/>
            <w:tcBorders>
              <w:top w:val="single" w:sz="4" w:space="0" w:color="auto"/>
              <w:bottom w:val="single" w:sz="4" w:space="0" w:color="auto"/>
            </w:tcBorders>
            <w:vAlign w:val="center"/>
            <w:hideMark/>
          </w:tcPr>
          <w:p w14:paraId="6E23C8CB"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Descripción</w:t>
            </w:r>
          </w:p>
        </w:tc>
        <w:tc>
          <w:tcPr>
            <w:tcW w:w="0" w:type="auto"/>
            <w:tcBorders>
              <w:top w:val="single" w:sz="4" w:space="0" w:color="auto"/>
              <w:bottom w:val="single" w:sz="4" w:space="0" w:color="auto"/>
            </w:tcBorders>
            <w:vAlign w:val="center"/>
            <w:hideMark/>
          </w:tcPr>
          <w:p w14:paraId="6DDB0988"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Unidad de medida</w:t>
            </w:r>
          </w:p>
        </w:tc>
        <w:tc>
          <w:tcPr>
            <w:tcW w:w="0" w:type="auto"/>
            <w:tcBorders>
              <w:top w:val="single" w:sz="4" w:space="0" w:color="auto"/>
              <w:bottom w:val="single" w:sz="4" w:space="0" w:color="auto"/>
            </w:tcBorders>
            <w:vAlign w:val="center"/>
            <w:hideMark/>
          </w:tcPr>
          <w:p w14:paraId="070994EE"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Cantidad</w:t>
            </w:r>
          </w:p>
        </w:tc>
        <w:tc>
          <w:tcPr>
            <w:tcW w:w="0" w:type="auto"/>
            <w:tcBorders>
              <w:top w:val="single" w:sz="4" w:space="0" w:color="auto"/>
              <w:bottom w:val="single" w:sz="4" w:space="0" w:color="auto"/>
            </w:tcBorders>
            <w:vAlign w:val="center"/>
            <w:hideMark/>
          </w:tcPr>
          <w:p w14:paraId="15A31EF1"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Costo unitario (USD)</w:t>
            </w:r>
          </w:p>
        </w:tc>
        <w:tc>
          <w:tcPr>
            <w:tcW w:w="0" w:type="auto"/>
            <w:tcBorders>
              <w:top w:val="single" w:sz="4" w:space="0" w:color="auto"/>
              <w:bottom w:val="single" w:sz="4" w:space="0" w:color="auto"/>
            </w:tcBorders>
            <w:vAlign w:val="center"/>
            <w:hideMark/>
          </w:tcPr>
          <w:p w14:paraId="2DE6CB09"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Costo total (USD)</w:t>
            </w:r>
          </w:p>
        </w:tc>
      </w:tr>
      <w:tr w:rsidR="00532CA5" w:rsidRPr="00F84E14" w14:paraId="59E473D8" w14:textId="77777777" w:rsidTr="00532CA5">
        <w:tc>
          <w:tcPr>
            <w:tcW w:w="0" w:type="auto"/>
            <w:tcBorders>
              <w:top w:val="single" w:sz="4" w:space="0" w:color="auto"/>
            </w:tcBorders>
            <w:vAlign w:val="center"/>
            <w:hideMark/>
          </w:tcPr>
          <w:p w14:paraId="69C3DD2D"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Ahorro en compra de agua</w:t>
            </w:r>
          </w:p>
        </w:tc>
        <w:tc>
          <w:tcPr>
            <w:tcW w:w="0" w:type="auto"/>
            <w:tcBorders>
              <w:top w:val="single" w:sz="4" w:space="0" w:color="auto"/>
            </w:tcBorders>
            <w:hideMark/>
          </w:tcPr>
          <w:p w14:paraId="1A08ECE1"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Reducción del gasto en agua embotellada o acarreo</w:t>
            </w:r>
          </w:p>
        </w:tc>
        <w:tc>
          <w:tcPr>
            <w:tcW w:w="0" w:type="auto"/>
            <w:tcBorders>
              <w:top w:val="single" w:sz="4" w:space="0" w:color="auto"/>
            </w:tcBorders>
            <w:hideMark/>
          </w:tcPr>
          <w:p w14:paraId="63742BEF"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Hogares</w:t>
            </w:r>
          </w:p>
        </w:tc>
        <w:tc>
          <w:tcPr>
            <w:tcW w:w="0" w:type="auto"/>
            <w:tcBorders>
              <w:top w:val="single" w:sz="4" w:space="0" w:color="auto"/>
            </w:tcBorders>
            <w:hideMark/>
          </w:tcPr>
          <w:p w14:paraId="7AC65280"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1.200</w:t>
            </w:r>
          </w:p>
        </w:tc>
        <w:tc>
          <w:tcPr>
            <w:tcW w:w="0" w:type="auto"/>
            <w:tcBorders>
              <w:top w:val="single" w:sz="4" w:space="0" w:color="auto"/>
            </w:tcBorders>
            <w:hideMark/>
          </w:tcPr>
          <w:p w14:paraId="2558012C"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120,00</w:t>
            </w:r>
          </w:p>
        </w:tc>
        <w:tc>
          <w:tcPr>
            <w:tcW w:w="0" w:type="auto"/>
            <w:tcBorders>
              <w:top w:val="single" w:sz="4" w:space="0" w:color="auto"/>
            </w:tcBorders>
            <w:hideMark/>
          </w:tcPr>
          <w:p w14:paraId="3C31B473"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144.000,00</w:t>
            </w:r>
          </w:p>
        </w:tc>
      </w:tr>
      <w:tr w:rsidR="00532CA5" w:rsidRPr="00F84E14" w14:paraId="447EE64A" w14:textId="77777777" w:rsidTr="00532CA5">
        <w:tc>
          <w:tcPr>
            <w:tcW w:w="0" w:type="auto"/>
            <w:vAlign w:val="center"/>
            <w:hideMark/>
          </w:tcPr>
          <w:p w14:paraId="2C3D1E08"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Reducción de enfermedades hídricas</w:t>
            </w:r>
          </w:p>
        </w:tc>
        <w:tc>
          <w:tcPr>
            <w:tcW w:w="0" w:type="auto"/>
            <w:hideMark/>
          </w:tcPr>
          <w:p w14:paraId="3FB5D659"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Disminución de enfermedades por consumo de agua no segura</w:t>
            </w:r>
          </w:p>
        </w:tc>
        <w:tc>
          <w:tcPr>
            <w:tcW w:w="0" w:type="auto"/>
            <w:hideMark/>
          </w:tcPr>
          <w:p w14:paraId="3DECEC13"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Personas atendidas</w:t>
            </w:r>
          </w:p>
        </w:tc>
        <w:tc>
          <w:tcPr>
            <w:tcW w:w="0" w:type="auto"/>
            <w:hideMark/>
          </w:tcPr>
          <w:p w14:paraId="45296347"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500</w:t>
            </w:r>
          </w:p>
        </w:tc>
        <w:tc>
          <w:tcPr>
            <w:tcW w:w="0" w:type="auto"/>
            <w:hideMark/>
          </w:tcPr>
          <w:p w14:paraId="5FD2747B"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80,00</w:t>
            </w:r>
          </w:p>
        </w:tc>
        <w:tc>
          <w:tcPr>
            <w:tcW w:w="0" w:type="auto"/>
            <w:hideMark/>
          </w:tcPr>
          <w:p w14:paraId="27CB7CC9"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40.000,00</w:t>
            </w:r>
          </w:p>
        </w:tc>
      </w:tr>
      <w:tr w:rsidR="00532CA5" w:rsidRPr="00F84E14" w14:paraId="222648B8" w14:textId="77777777" w:rsidTr="00532CA5">
        <w:tc>
          <w:tcPr>
            <w:tcW w:w="0" w:type="auto"/>
            <w:vAlign w:val="center"/>
            <w:hideMark/>
          </w:tcPr>
          <w:p w14:paraId="5355725C"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Ahorro de tiempo en recolección</w:t>
            </w:r>
          </w:p>
        </w:tc>
        <w:tc>
          <w:tcPr>
            <w:tcW w:w="0" w:type="auto"/>
            <w:hideMark/>
          </w:tcPr>
          <w:p w14:paraId="10110639"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Tiempo liberado para actividades productivas</w:t>
            </w:r>
          </w:p>
        </w:tc>
        <w:tc>
          <w:tcPr>
            <w:tcW w:w="0" w:type="auto"/>
            <w:hideMark/>
          </w:tcPr>
          <w:p w14:paraId="7828612A"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Horas/año</w:t>
            </w:r>
          </w:p>
        </w:tc>
        <w:tc>
          <w:tcPr>
            <w:tcW w:w="0" w:type="auto"/>
            <w:hideMark/>
          </w:tcPr>
          <w:p w14:paraId="40248BC2"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3.000</w:t>
            </w:r>
          </w:p>
        </w:tc>
        <w:tc>
          <w:tcPr>
            <w:tcW w:w="0" w:type="auto"/>
            <w:hideMark/>
          </w:tcPr>
          <w:p w14:paraId="551262EC"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2,50</w:t>
            </w:r>
          </w:p>
        </w:tc>
        <w:tc>
          <w:tcPr>
            <w:tcW w:w="0" w:type="auto"/>
            <w:hideMark/>
          </w:tcPr>
          <w:p w14:paraId="3D69E295"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7.500,00</w:t>
            </w:r>
          </w:p>
        </w:tc>
      </w:tr>
      <w:tr w:rsidR="00532CA5" w:rsidRPr="00F84E14" w14:paraId="082CC7E0" w14:textId="77777777" w:rsidTr="00532CA5">
        <w:tc>
          <w:tcPr>
            <w:tcW w:w="0" w:type="auto"/>
            <w:vAlign w:val="center"/>
            <w:hideMark/>
          </w:tcPr>
          <w:p w14:paraId="31C08579"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Mejora de productividad familiar</w:t>
            </w:r>
          </w:p>
        </w:tc>
        <w:tc>
          <w:tcPr>
            <w:tcW w:w="0" w:type="auto"/>
            <w:hideMark/>
          </w:tcPr>
          <w:p w14:paraId="41CD4980"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Incremento de actividades económicas y educativas</w:t>
            </w:r>
          </w:p>
        </w:tc>
        <w:tc>
          <w:tcPr>
            <w:tcW w:w="0" w:type="auto"/>
            <w:hideMark/>
          </w:tcPr>
          <w:p w14:paraId="7B898578"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Hogares</w:t>
            </w:r>
          </w:p>
        </w:tc>
        <w:tc>
          <w:tcPr>
            <w:tcW w:w="0" w:type="auto"/>
            <w:hideMark/>
          </w:tcPr>
          <w:p w14:paraId="65D241DB"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800</w:t>
            </w:r>
          </w:p>
        </w:tc>
        <w:tc>
          <w:tcPr>
            <w:tcW w:w="0" w:type="auto"/>
            <w:hideMark/>
          </w:tcPr>
          <w:p w14:paraId="4E3552BD"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60,00</w:t>
            </w:r>
          </w:p>
        </w:tc>
        <w:tc>
          <w:tcPr>
            <w:tcW w:w="0" w:type="auto"/>
            <w:hideMark/>
          </w:tcPr>
          <w:p w14:paraId="6EB3F0E1"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48.000,00</w:t>
            </w:r>
          </w:p>
        </w:tc>
      </w:tr>
      <w:tr w:rsidR="00532CA5" w:rsidRPr="00F84E14" w14:paraId="6F92383D" w14:textId="77777777" w:rsidTr="00532CA5">
        <w:tc>
          <w:tcPr>
            <w:tcW w:w="0" w:type="auto"/>
            <w:vAlign w:val="center"/>
            <w:hideMark/>
          </w:tcPr>
          <w:p w14:paraId="38FC91A6"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Reducción de gastos por abastecimiento alterno</w:t>
            </w:r>
          </w:p>
        </w:tc>
        <w:tc>
          <w:tcPr>
            <w:tcW w:w="0" w:type="auto"/>
            <w:hideMark/>
          </w:tcPr>
          <w:p w14:paraId="4C6C6CC3"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Disminución de compra de agua externa en emergencias</w:t>
            </w:r>
          </w:p>
        </w:tc>
        <w:tc>
          <w:tcPr>
            <w:tcW w:w="0" w:type="auto"/>
            <w:hideMark/>
          </w:tcPr>
          <w:p w14:paraId="76955E69"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Hogares</w:t>
            </w:r>
          </w:p>
        </w:tc>
        <w:tc>
          <w:tcPr>
            <w:tcW w:w="0" w:type="auto"/>
            <w:hideMark/>
          </w:tcPr>
          <w:p w14:paraId="5B53DFB9"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600</w:t>
            </w:r>
          </w:p>
        </w:tc>
        <w:tc>
          <w:tcPr>
            <w:tcW w:w="0" w:type="auto"/>
            <w:hideMark/>
          </w:tcPr>
          <w:p w14:paraId="3BBAA688"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50,00</w:t>
            </w:r>
          </w:p>
        </w:tc>
        <w:tc>
          <w:tcPr>
            <w:tcW w:w="0" w:type="auto"/>
            <w:hideMark/>
          </w:tcPr>
          <w:p w14:paraId="02937F95"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30.000,00</w:t>
            </w:r>
          </w:p>
        </w:tc>
      </w:tr>
    </w:tbl>
    <w:p w14:paraId="03BE3069" w14:textId="792CE070" w:rsidR="001650B8"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Flujo económico</w:t>
      </w:r>
    </w:p>
    <w:p w14:paraId="49AB28AA" w14:textId="3A6550FD" w:rsidR="00532CA5" w:rsidRDefault="00532CA5" w:rsidP="00532CA5">
      <w:pPr>
        <w:spacing w:after="0"/>
        <w:rPr>
          <w:rFonts w:ascii="Times New Roman" w:hAnsi="Times New Roman" w:cs="Times New Roman"/>
          <w:sz w:val="24"/>
          <w:szCs w:val="24"/>
        </w:rPr>
      </w:pPr>
      <w:r w:rsidRPr="00532CA5">
        <w:rPr>
          <w:rFonts w:ascii="Times New Roman" w:hAnsi="Times New Roman" w:cs="Times New Roman"/>
          <w:sz w:val="24"/>
          <w:szCs w:val="24"/>
        </w:rPr>
        <w:t>Los beneficios y costos fueron proyectados considerando una tasa de inflación promedio del 1,30% anual, permitiendo reflejar el comportamiento real de la economía en el horizonte de evaluación del proyecto</w:t>
      </w:r>
      <w:r>
        <w:rPr>
          <w:rFonts w:ascii="Times New Roman" w:hAnsi="Times New Roman" w:cs="Times New Roman"/>
          <w:sz w:val="24"/>
          <w:szCs w:val="24"/>
        </w:rPr>
        <w:t xml:space="preserve">, el mismo se detalla en la Tabla </w:t>
      </w:r>
      <w:r w:rsidR="00583D29">
        <w:rPr>
          <w:rFonts w:ascii="Times New Roman" w:hAnsi="Times New Roman" w:cs="Times New Roman"/>
          <w:sz w:val="24"/>
          <w:szCs w:val="24"/>
        </w:rPr>
        <w:t>17</w:t>
      </w:r>
      <w:r>
        <w:rPr>
          <w:rFonts w:ascii="Times New Roman" w:hAnsi="Times New Roman" w:cs="Times New Roman"/>
          <w:sz w:val="24"/>
          <w:szCs w:val="24"/>
        </w:rPr>
        <w:t>.</w:t>
      </w:r>
    </w:p>
    <w:p w14:paraId="265F7391" w14:textId="23C5EDEF" w:rsidR="00532CA5" w:rsidRDefault="00532CA5" w:rsidP="00532CA5">
      <w:pPr>
        <w:spacing w:after="0"/>
        <w:rPr>
          <w:rFonts w:ascii="Times New Roman" w:hAnsi="Times New Roman" w:cs="Times New Roman"/>
          <w:b/>
          <w:bCs/>
          <w:sz w:val="24"/>
          <w:szCs w:val="24"/>
        </w:rPr>
      </w:pPr>
      <w:r w:rsidRPr="00532CA5">
        <w:rPr>
          <w:rFonts w:ascii="Times New Roman" w:hAnsi="Times New Roman" w:cs="Times New Roman"/>
          <w:b/>
          <w:bCs/>
          <w:sz w:val="24"/>
          <w:szCs w:val="24"/>
        </w:rPr>
        <w:t xml:space="preserve">Tabla </w:t>
      </w:r>
      <w:r w:rsidR="00583D29">
        <w:rPr>
          <w:rFonts w:ascii="Times New Roman" w:hAnsi="Times New Roman" w:cs="Times New Roman"/>
          <w:b/>
          <w:bCs/>
          <w:sz w:val="24"/>
          <w:szCs w:val="24"/>
        </w:rPr>
        <w:t>17</w:t>
      </w:r>
    </w:p>
    <w:p w14:paraId="08F23D63" w14:textId="71F58A49" w:rsidR="00583D29" w:rsidRPr="00583D29" w:rsidRDefault="00583D29" w:rsidP="00532CA5">
      <w:pPr>
        <w:spacing w:after="0"/>
        <w:rPr>
          <w:rFonts w:ascii="Times New Roman" w:hAnsi="Times New Roman" w:cs="Times New Roman"/>
          <w:i/>
          <w:iCs/>
          <w:sz w:val="24"/>
          <w:szCs w:val="24"/>
        </w:rPr>
      </w:pPr>
      <w:r>
        <w:rPr>
          <w:rFonts w:ascii="Times New Roman" w:hAnsi="Times New Roman" w:cs="Times New Roman"/>
          <w:i/>
          <w:iCs/>
          <w:sz w:val="24"/>
          <w:szCs w:val="24"/>
        </w:rPr>
        <w:t>Flujo económico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564"/>
        <w:gridCol w:w="1303"/>
        <w:gridCol w:w="1303"/>
        <w:gridCol w:w="1303"/>
        <w:gridCol w:w="1303"/>
      </w:tblGrid>
      <w:tr w:rsidR="00532CA5" w:rsidRPr="00532CA5" w14:paraId="57C0AFD4" w14:textId="77777777" w:rsidTr="00532CA5">
        <w:tc>
          <w:tcPr>
            <w:tcW w:w="1246" w:type="pct"/>
            <w:tcBorders>
              <w:top w:val="single" w:sz="4" w:space="0" w:color="auto"/>
              <w:bottom w:val="single" w:sz="4" w:space="0" w:color="auto"/>
            </w:tcBorders>
            <w:hideMark/>
          </w:tcPr>
          <w:p w14:paraId="5097124D" w14:textId="3416FDD7" w:rsidR="00532CA5" w:rsidRPr="00532CA5" w:rsidRDefault="00532CA5" w:rsidP="00AF4B40">
            <w:pPr>
              <w:jc w:val="center"/>
              <w:rPr>
                <w:rFonts w:ascii="Times New Roman" w:eastAsia="Times New Roman" w:hAnsi="Times New Roman" w:cs="Times New Roman"/>
                <w:b/>
                <w:bCs/>
                <w:lang w:val="es-MX" w:eastAsia="es-MX"/>
              </w:rPr>
            </w:pPr>
            <w:r>
              <w:rPr>
                <w:rFonts w:ascii="Times New Roman" w:eastAsia="Times New Roman" w:hAnsi="Times New Roman" w:cs="Times New Roman"/>
                <w:b/>
                <w:bCs/>
                <w:lang w:val="es-MX" w:eastAsia="es-MX"/>
              </w:rPr>
              <w:t>Detalle</w:t>
            </w:r>
          </w:p>
        </w:tc>
        <w:tc>
          <w:tcPr>
            <w:tcW w:w="866" w:type="pct"/>
            <w:tcBorders>
              <w:top w:val="single" w:sz="4" w:space="0" w:color="auto"/>
              <w:bottom w:val="single" w:sz="4" w:space="0" w:color="auto"/>
            </w:tcBorders>
            <w:hideMark/>
          </w:tcPr>
          <w:p w14:paraId="4EA5F335"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0</w:t>
            </w:r>
          </w:p>
        </w:tc>
        <w:tc>
          <w:tcPr>
            <w:tcW w:w="722" w:type="pct"/>
            <w:tcBorders>
              <w:top w:val="single" w:sz="4" w:space="0" w:color="auto"/>
              <w:bottom w:val="single" w:sz="4" w:space="0" w:color="auto"/>
            </w:tcBorders>
            <w:hideMark/>
          </w:tcPr>
          <w:p w14:paraId="4F700CEC"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1</w:t>
            </w:r>
          </w:p>
        </w:tc>
        <w:tc>
          <w:tcPr>
            <w:tcW w:w="722" w:type="pct"/>
            <w:tcBorders>
              <w:top w:val="single" w:sz="4" w:space="0" w:color="auto"/>
              <w:bottom w:val="single" w:sz="4" w:space="0" w:color="auto"/>
            </w:tcBorders>
            <w:hideMark/>
          </w:tcPr>
          <w:p w14:paraId="18AC9D51"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2</w:t>
            </w:r>
          </w:p>
        </w:tc>
        <w:tc>
          <w:tcPr>
            <w:tcW w:w="722" w:type="pct"/>
            <w:tcBorders>
              <w:top w:val="single" w:sz="4" w:space="0" w:color="auto"/>
              <w:bottom w:val="single" w:sz="4" w:space="0" w:color="auto"/>
            </w:tcBorders>
            <w:hideMark/>
          </w:tcPr>
          <w:p w14:paraId="311BEF43"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3</w:t>
            </w:r>
          </w:p>
        </w:tc>
        <w:tc>
          <w:tcPr>
            <w:tcW w:w="722" w:type="pct"/>
            <w:tcBorders>
              <w:top w:val="single" w:sz="4" w:space="0" w:color="auto"/>
              <w:bottom w:val="single" w:sz="4" w:space="0" w:color="auto"/>
            </w:tcBorders>
            <w:hideMark/>
          </w:tcPr>
          <w:p w14:paraId="17B6B815"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4</w:t>
            </w:r>
          </w:p>
        </w:tc>
      </w:tr>
      <w:tr w:rsidR="00532CA5" w:rsidRPr="00532CA5" w14:paraId="6CE0ABD7" w14:textId="77777777" w:rsidTr="00532CA5">
        <w:tc>
          <w:tcPr>
            <w:tcW w:w="1246" w:type="pct"/>
            <w:tcBorders>
              <w:top w:val="single" w:sz="4" w:space="0" w:color="auto"/>
            </w:tcBorders>
            <w:hideMark/>
          </w:tcPr>
          <w:p w14:paraId="565881EE" w14:textId="77777777" w:rsidR="00532CA5" w:rsidRPr="00532CA5" w:rsidRDefault="00532CA5" w:rsidP="00AF4B40">
            <w:pPr>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Ingresos</w:t>
            </w:r>
          </w:p>
        </w:tc>
        <w:tc>
          <w:tcPr>
            <w:tcW w:w="866" w:type="pct"/>
            <w:tcBorders>
              <w:top w:val="single" w:sz="4" w:space="0" w:color="auto"/>
            </w:tcBorders>
            <w:hideMark/>
          </w:tcPr>
          <w:p w14:paraId="1C7D75AF"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tcBorders>
              <w:top w:val="single" w:sz="4" w:space="0" w:color="auto"/>
            </w:tcBorders>
            <w:hideMark/>
          </w:tcPr>
          <w:p w14:paraId="14187579"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tcBorders>
              <w:top w:val="single" w:sz="4" w:space="0" w:color="auto"/>
            </w:tcBorders>
            <w:hideMark/>
          </w:tcPr>
          <w:p w14:paraId="095F4D9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tcBorders>
              <w:top w:val="single" w:sz="4" w:space="0" w:color="auto"/>
            </w:tcBorders>
            <w:hideMark/>
          </w:tcPr>
          <w:p w14:paraId="28308142"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tcBorders>
              <w:top w:val="single" w:sz="4" w:space="0" w:color="auto"/>
            </w:tcBorders>
            <w:hideMark/>
          </w:tcPr>
          <w:p w14:paraId="67DB8DED"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r>
      <w:tr w:rsidR="00532CA5" w:rsidRPr="00532CA5" w14:paraId="6B49A964" w14:textId="77777777" w:rsidTr="00532CA5">
        <w:tc>
          <w:tcPr>
            <w:tcW w:w="1246" w:type="pct"/>
            <w:hideMark/>
          </w:tcPr>
          <w:p w14:paraId="1D67A6E2" w14:textId="77777777" w:rsidR="00532CA5" w:rsidRPr="00532CA5" w:rsidRDefault="00532CA5" w:rsidP="00AF4B40">
            <w:pPr>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Beneficios económicos</w:t>
            </w:r>
          </w:p>
        </w:tc>
        <w:tc>
          <w:tcPr>
            <w:tcW w:w="866" w:type="pct"/>
            <w:hideMark/>
          </w:tcPr>
          <w:p w14:paraId="2C79F6BC"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hideMark/>
          </w:tcPr>
          <w:p w14:paraId="5DFB517A"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269.500,00</w:t>
            </w:r>
          </w:p>
        </w:tc>
        <w:tc>
          <w:tcPr>
            <w:tcW w:w="722" w:type="pct"/>
            <w:hideMark/>
          </w:tcPr>
          <w:p w14:paraId="0D71A49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273.013,50</w:t>
            </w:r>
          </w:p>
        </w:tc>
        <w:tc>
          <w:tcPr>
            <w:tcW w:w="722" w:type="pct"/>
            <w:hideMark/>
          </w:tcPr>
          <w:p w14:paraId="5BC40494"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276.572,67</w:t>
            </w:r>
          </w:p>
        </w:tc>
        <w:tc>
          <w:tcPr>
            <w:tcW w:w="722" w:type="pct"/>
            <w:hideMark/>
          </w:tcPr>
          <w:p w14:paraId="09F085CC"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280.177,62</w:t>
            </w:r>
          </w:p>
        </w:tc>
      </w:tr>
      <w:tr w:rsidR="00532CA5" w:rsidRPr="00532CA5" w14:paraId="3D3DEBF4" w14:textId="77777777" w:rsidTr="00532CA5">
        <w:tc>
          <w:tcPr>
            <w:tcW w:w="1246" w:type="pct"/>
            <w:hideMark/>
          </w:tcPr>
          <w:p w14:paraId="4DBC5947" w14:textId="77777777" w:rsidR="00532CA5" w:rsidRPr="00532CA5" w:rsidRDefault="00532CA5" w:rsidP="00AF4B40">
            <w:pPr>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Costos de operación y mantenimiento</w:t>
            </w:r>
          </w:p>
        </w:tc>
        <w:tc>
          <w:tcPr>
            <w:tcW w:w="866" w:type="pct"/>
            <w:hideMark/>
          </w:tcPr>
          <w:p w14:paraId="4DB9DF4B"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hideMark/>
          </w:tcPr>
          <w:p w14:paraId="6EB82CAA"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35.452,00</w:t>
            </w:r>
          </w:p>
        </w:tc>
        <w:tc>
          <w:tcPr>
            <w:tcW w:w="722" w:type="pct"/>
            <w:hideMark/>
          </w:tcPr>
          <w:p w14:paraId="2A966F9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35.913,88</w:t>
            </w:r>
          </w:p>
        </w:tc>
        <w:tc>
          <w:tcPr>
            <w:tcW w:w="722" w:type="pct"/>
            <w:hideMark/>
          </w:tcPr>
          <w:p w14:paraId="6843DB2E"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36.381,70</w:t>
            </w:r>
          </w:p>
        </w:tc>
        <w:tc>
          <w:tcPr>
            <w:tcW w:w="722" w:type="pct"/>
            <w:hideMark/>
          </w:tcPr>
          <w:p w14:paraId="0E3C6010"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36.855,67</w:t>
            </w:r>
          </w:p>
        </w:tc>
      </w:tr>
      <w:tr w:rsidR="00532CA5" w:rsidRPr="00532CA5" w14:paraId="79C1C28E" w14:textId="77777777" w:rsidTr="00532CA5">
        <w:tc>
          <w:tcPr>
            <w:tcW w:w="1246" w:type="pct"/>
            <w:hideMark/>
          </w:tcPr>
          <w:p w14:paraId="6FC9496F" w14:textId="77777777" w:rsidR="00532CA5" w:rsidRPr="00532CA5" w:rsidRDefault="00532CA5" w:rsidP="00AF4B40">
            <w:pPr>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Inversión</w:t>
            </w:r>
          </w:p>
        </w:tc>
        <w:tc>
          <w:tcPr>
            <w:tcW w:w="866" w:type="pct"/>
            <w:hideMark/>
          </w:tcPr>
          <w:p w14:paraId="181325F5"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1.327.578,28</w:t>
            </w:r>
          </w:p>
        </w:tc>
        <w:tc>
          <w:tcPr>
            <w:tcW w:w="722" w:type="pct"/>
            <w:hideMark/>
          </w:tcPr>
          <w:p w14:paraId="31A3DA95"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hideMark/>
          </w:tcPr>
          <w:p w14:paraId="760550E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hideMark/>
          </w:tcPr>
          <w:p w14:paraId="44FDB8C3"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722" w:type="pct"/>
            <w:hideMark/>
          </w:tcPr>
          <w:p w14:paraId="54A5DAA5"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r>
      <w:tr w:rsidR="00532CA5" w:rsidRPr="00532CA5" w14:paraId="6E5ECCBC" w14:textId="77777777" w:rsidTr="00532CA5">
        <w:tc>
          <w:tcPr>
            <w:tcW w:w="1246" w:type="pct"/>
            <w:hideMark/>
          </w:tcPr>
          <w:p w14:paraId="7061B5AE" w14:textId="77777777" w:rsidR="00532CA5" w:rsidRPr="00532CA5" w:rsidRDefault="00532CA5" w:rsidP="00AF4B40">
            <w:pPr>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Flujo económico neto</w:t>
            </w:r>
          </w:p>
        </w:tc>
        <w:tc>
          <w:tcPr>
            <w:tcW w:w="866" w:type="pct"/>
            <w:hideMark/>
          </w:tcPr>
          <w:p w14:paraId="6F83BFA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-1.327.578,28</w:t>
            </w:r>
          </w:p>
        </w:tc>
        <w:tc>
          <w:tcPr>
            <w:tcW w:w="722" w:type="pct"/>
            <w:hideMark/>
          </w:tcPr>
          <w:p w14:paraId="2C5C7C2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234.048,00</w:t>
            </w:r>
          </w:p>
        </w:tc>
        <w:tc>
          <w:tcPr>
            <w:tcW w:w="722" w:type="pct"/>
            <w:hideMark/>
          </w:tcPr>
          <w:p w14:paraId="7313C233"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237.099,62</w:t>
            </w:r>
          </w:p>
        </w:tc>
        <w:tc>
          <w:tcPr>
            <w:tcW w:w="722" w:type="pct"/>
            <w:hideMark/>
          </w:tcPr>
          <w:p w14:paraId="580E1D2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240.190,97</w:t>
            </w:r>
          </w:p>
        </w:tc>
        <w:tc>
          <w:tcPr>
            <w:tcW w:w="722" w:type="pct"/>
            <w:hideMark/>
          </w:tcPr>
          <w:p w14:paraId="30816079"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243.321,95</w:t>
            </w:r>
          </w:p>
        </w:tc>
      </w:tr>
    </w:tbl>
    <w:p w14:paraId="4D1A43A1" w14:textId="57302529" w:rsidR="00532CA5" w:rsidRDefault="00532CA5" w:rsidP="00532CA5">
      <w:pPr>
        <w:spacing w:after="0"/>
        <w:rPr>
          <w:rFonts w:ascii="Times New Roman" w:hAnsi="Times New Roman" w:cs="Times New Roman"/>
          <w:i/>
          <w:iCs/>
          <w:sz w:val="24"/>
          <w:szCs w:val="24"/>
        </w:rPr>
      </w:pP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5"/>
        <w:gridCol w:w="1505"/>
        <w:gridCol w:w="1504"/>
        <w:gridCol w:w="1504"/>
        <w:gridCol w:w="1504"/>
        <w:gridCol w:w="1504"/>
      </w:tblGrid>
      <w:tr w:rsidR="00532CA5" w:rsidRPr="00532CA5" w14:paraId="67FD08DF" w14:textId="77777777" w:rsidTr="00532CA5">
        <w:tc>
          <w:tcPr>
            <w:tcW w:w="834" w:type="pct"/>
            <w:tcBorders>
              <w:top w:val="single" w:sz="4" w:space="0" w:color="auto"/>
              <w:bottom w:val="single" w:sz="4" w:space="0" w:color="auto"/>
            </w:tcBorders>
            <w:hideMark/>
          </w:tcPr>
          <w:p w14:paraId="5BBB1B17"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5</w:t>
            </w:r>
          </w:p>
        </w:tc>
        <w:tc>
          <w:tcPr>
            <w:tcW w:w="834" w:type="pct"/>
            <w:tcBorders>
              <w:top w:val="single" w:sz="4" w:space="0" w:color="auto"/>
              <w:bottom w:val="single" w:sz="4" w:space="0" w:color="auto"/>
            </w:tcBorders>
            <w:hideMark/>
          </w:tcPr>
          <w:p w14:paraId="340B1C65"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6</w:t>
            </w:r>
          </w:p>
        </w:tc>
        <w:tc>
          <w:tcPr>
            <w:tcW w:w="833" w:type="pct"/>
            <w:tcBorders>
              <w:top w:val="single" w:sz="4" w:space="0" w:color="auto"/>
              <w:bottom w:val="single" w:sz="4" w:space="0" w:color="auto"/>
            </w:tcBorders>
            <w:hideMark/>
          </w:tcPr>
          <w:p w14:paraId="294D1CC5"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7</w:t>
            </w:r>
          </w:p>
        </w:tc>
        <w:tc>
          <w:tcPr>
            <w:tcW w:w="833" w:type="pct"/>
            <w:tcBorders>
              <w:top w:val="single" w:sz="4" w:space="0" w:color="auto"/>
              <w:bottom w:val="single" w:sz="4" w:space="0" w:color="auto"/>
            </w:tcBorders>
            <w:hideMark/>
          </w:tcPr>
          <w:p w14:paraId="0E556F63"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8</w:t>
            </w:r>
          </w:p>
        </w:tc>
        <w:tc>
          <w:tcPr>
            <w:tcW w:w="833" w:type="pct"/>
            <w:tcBorders>
              <w:top w:val="single" w:sz="4" w:space="0" w:color="auto"/>
              <w:bottom w:val="single" w:sz="4" w:space="0" w:color="auto"/>
            </w:tcBorders>
            <w:hideMark/>
          </w:tcPr>
          <w:p w14:paraId="7E9ED6D1"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9</w:t>
            </w:r>
          </w:p>
        </w:tc>
        <w:tc>
          <w:tcPr>
            <w:tcW w:w="833" w:type="pct"/>
            <w:tcBorders>
              <w:top w:val="single" w:sz="4" w:space="0" w:color="auto"/>
              <w:bottom w:val="single" w:sz="4" w:space="0" w:color="auto"/>
            </w:tcBorders>
            <w:hideMark/>
          </w:tcPr>
          <w:p w14:paraId="2EA4166C" w14:textId="77777777" w:rsidR="00532CA5" w:rsidRPr="00532CA5" w:rsidRDefault="00532CA5" w:rsidP="00AF4B40">
            <w:pPr>
              <w:jc w:val="right"/>
              <w:rPr>
                <w:rFonts w:ascii="Times New Roman" w:eastAsia="Times New Roman" w:hAnsi="Times New Roman" w:cs="Times New Roman"/>
                <w:b/>
                <w:bCs/>
                <w:lang w:val="es-MX" w:eastAsia="es-MX"/>
              </w:rPr>
            </w:pPr>
            <w:r w:rsidRPr="00532CA5">
              <w:rPr>
                <w:rFonts w:ascii="Times New Roman" w:eastAsia="Times New Roman" w:hAnsi="Times New Roman" w:cs="Times New Roman"/>
                <w:b/>
                <w:bCs/>
                <w:lang w:val="es-MX" w:eastAsia="es-MX"/>
              </w:rPr>
              <w:t>Año 10</w:t>
            </w:r>
          </w:p>
        </w:tc>
      </w:tr>
      <w:tr w:rsidR="00532CA5" w:rsidRPr="00532CA5" w14:paraId="1B79AC7E" w14:textId="77777777" w:rsidTr="00532CA5">
        <w:tc>
          <w:tcPr>
            <w:tcW w:w="834" w:type="pct"/>
            <w:tcBorders>
              <w:top w:val="single" w:sz="4" w:space="0" w:color="auto"/>
            </w:tcBorders>
            <w:hideMark/>
          </w:tcPr>
          <w:p w14:paraId="714A327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4" w:type="pct"/>
            <w:tcBorders>
              <w:top w:val="single" w:sz="4" w:space="0" w:color="auto"/>
            </w:tcBorders>
            <w:hideMark/>
          </w:tcPr>
          <w:p w14:paraId="467F0F2B"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tcBorders>
              <w:top w:val="single" w:sz="4" w:space="0" w:color="auto"/>
            </w:tcBorders>
            <w:hideMark/>
          </w:tcPr>
          <w:p w14:paraId="1375BBEA"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tcBorders>
              <w:top w:val="single" w:sz="4" w:space="0" w:color="auto"/>
            </w:tcBorders>
            <w:hideMark/>
          </w:tcPr>
          <w:p w14:paraId="26B6CAF0"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tcBorders>
              <w:top w:val="single" w:sz="4" w:space="0" w:color="auto"/>
            </w:tcBorders>
            <w:hideMark/>
          </w:tcPr>
          <w:p w14:paraId="4D94253D"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tcBorders>
              <w:top w:val="single" w:sz="4" w:space="0" w:color="auto"/>
            </w:tcBorders>
            <w:hideMark/>
          </w:tcPr>
          <w:p w14:paraId="47657D03"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r>
      <w:tr w:rsidR="00532CA5" w:rsidRPr="00532CA5" w14:paraId="3B9FD982" w14:textId="77777777" w:rsidTr="00532CA5">
        <w:tc>
          <w:tcPr>
            <w:tcW w:w="834" w:type="pct"/>
            <w:hideMark/>
          </w:tcPr>
          <w:p w14:paraId="25DB0D6E"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283.828,93</w:t>
            </w:r>
          </w:p>
        </w:tc>
        <w:tc>
          <w:tcPr>
            <w:tcW w:w="834" w:type="pct"/>
            <w:hideMark/>
          </w:tcPr>
          <w:p w14:paraId="5F9EFC84"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287.518,32</w:t>
            </w:r>
          </w:p>
        </w:tc>
        <w:tc>
          <w:tcPr>
            <w:tcW w:w="833" w:type="pct"/>
            <w:hideMark/>
          </w:tcPr>
          <w:p w14:paraId="714A3FB3"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291.255,47</w:t>
            </w:r>
          </w:p>
        </w:tc>
        <w:tc>
          <w:tcPr>
            <w:tcW w:w="833" w:type="pct"/>
            <w:hideMark/>
          </w:tcPr>
          <w:p w14:paraId="487A9782"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295.040,79</w:t>
            </w:r>
          </w:p>
        </w:tc>
        <w:tc>
          <w:tcPr>
            <w:tcW w:w="833" w:type="pct"/>
            <w:hideMark/>
          </w:tcPr>
          <w:p w14:paraId="22133C35"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298.874,31</w:t>
            </w:r>
          </w:p>
        </w:tc>
        <w:tc>
          <w:tcPr>
            <w:tcW w:w="833" w:type="pct"/>
            <w:hideMark/>
          </w:tcPr>
          <w:p w14:paraId="56F978E5"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302.756,03</w:t>
            </w:r>
          </w:p>
        </w:tc>
      </w:tr>
      <w:tr w:rsidR="00532CA5" w:rsidRPr="00532CA5" w14:paraId="57867190" w14:textId="77777777" w:rsidTr="00532CA5">
        <w:tc>
          <w:tcPr>
            <w:tcW w:w="834" w:type="pct"/>
            <w:hideMark/>
          </w:tcPr>
          <w:p w14:paraId="7E6834C7"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37.335,60</w:t>
            </w:r>
          </w:p>
        </w:tc>
        <w:tc>
          <w:tcPr>
            <w:tcW w:w="834" w:type="pct"/>
            <w:hideMark/>
          </w:tcPr>
          <w:p w14:paraId="7EBDAD5A"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37.820,95</w:t>
            </w:r>
          </w:p>
        </w:tc>
        <w:tc>
          <w:tcPr>
            <w:tcW w:w="833" w:type="pct"/>
            <w:hideMark/>
          </w:tcPr>
          <w:p w14:paraId="4DB047A9"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38.312,62</w:t>
            </w:r>
          </w:p>
        </w:tc>
        <w:tc>
          <w:tcPr>
            <w:tcW w:w="833" w:type="pct"/>
            <w:hideMark/>
          </w:tcPr>
          <w:p w14:paraId="7EBA02DF"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38.809,68</w:t>
            </w:r>
          </w:p>
        </w:tc>
        <w:tc>
          <w:tcPr>
            <w:tcW w:w="833" w:type="pct"/>
            <w:hideMark/>
          </w:tcPr>
          <w:p w14:paraId="410D151B"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39.312,35</w:t>
            </w:r>
          </w:p>
        </w:tc>
        <w:tc>
          <w:tcPr>
            <w:tcW w:w="833" w:type="pct"/>
            <w:hideMark/>
          </w:tcPr>
          <w:p w14:paraId="2DEF7C75"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39.820,76</w:t>
            </w:r>
          </w:p>
        </w:tc>
      </w:tr>
      <w:tr w:rsidR="00532CA5" w:rsidRPr="00532CA5" w14:paraId="63A94E30" w14:textId="77777777" w:rsidTr="00532CA5">
        <w:tc>
          <w:tcPr>
            <w:tcW w:w="834" w:type="pct"/>
            <w:hideMark/>
          </w:tcPr>
          <w:p w14:paraId="5BBF9214"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4" w:type="pct"/>
            <w:hideMark/>
          </w:tcPr>
          <w:p w14:paraId="5F53F144"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hideMark/>
          </w:tcPr>
          <w:p w14:paraId="325B9C0A"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hideMark/>
          </w:tcPr>
          <w:p w14:paraId="7F7DF968"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hideMark/>
          </w:tcPr>
          <w:p w14:paraId="1ED5F974"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c>
          <w:tcPr>
            <w:tcW w:w="833" w:type="pct"/>
            <w:hideMark/>
          </w:tcPr>
          <w:p w14:paraId="11CF958F"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0,00</w:t>
            </w:r>
          </w:p>
        </w:tc>
      </w:tr>
      <w:tr w:rsidR="00532CA5" w:rsidRPr="00532CA5" w14:paraId="03B0FF04" w14:textId="77777777" w:rsidTr="00532CA5">
        <w:tc>
          <w:tcPr>
            <w:tcW w:w="834" w:type="pct"/>
            <w:hideMark/>
          </w:tcPr>
          <w:p w14:paraId="71296CF6"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246.493,33</w:t>
            </w:r>
          </w:p>
        </w:tc>
        <w:tc>
          <w:tcPr>
            <w:tcW w:w="834" w:type="pct"/>
            <w:hideMark/>
          </w:tcPr>
          <w:p w14:paraId="5D461E4A"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249.697,37</w:t>
            </w:r>
          </w:p>
        </w:tc>
        <w:tc>
          <w:tcPr>
            <w:tcW w:w="833" w:type="pct"/>
            <w:hideMark/>
          </w:tcPr>
          <w:p w14:paraId="6604DFB6"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252.942,85</w:t>
            </w:r>
          </w:p>
        </w:tc>
        <w:tc>
          <w:tcPr>
            <w:tcW w:w="833" w:type="pct"/>
            <w:hideMark/>
          </w:tcPr>
          <w:p w14:paraId="6407395C"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256.231,11</w:t>
            </w:r>
          </w:p>
        </w:tc>
        <w:tc>
          <w:tcPr>
            <w:tcW w:w="833" w:type="pct"/>
            <w:hideMark/>
          </w:tcPr>
          <w:p w14:paraId="04305C03"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259.561,96</w:t>
            </w:r>
          </w:p>
        </w:tc>
        <w:tc>
          <w:tcPr>
            <w:tcW w:w="833" w:type="pct"/>
            <w:hideMark/>
          </w:tcPr>
          <w:p w14:paraId="4E468D8B" w14:textId="77777777" w:rsidR="00532CA5" w:rsidRPr="00532CA5" w:rsidRDefault="00532CA5" w:rsidP="00AF4B40">
            <w:pPr>
              <w:jc w:val="right"/>
              <w:rPr>
                <w:rFonts w:ascii="Times New Roman" w:eastAsia="Times New Roman" w:hAnsi="Times New Roman" w:cs="Times New Roman"/>
                <w:lang w:val="es-MX" w:eastAsia="es-MX"/>
              </w:rPr>
            </w:pPr>
            <w:r w:rsidRPr="00532CA5">
              <w:rPr>
                <w:rFonts w:ascii="Times New Roman" w:eastAsia="Times New Roman" w:hAnsi="Times New Roman" w:cs="Times New Roman"/>
                <w:lang w:val="es-MX" w:eastAsia="es-MX"/>
              </w:rPr>
              <w:t>262.935,27</w:t>
            </w:r>
          </w:p>
        </w:tc>
      </w:tr>
    </w:tbl>
    <w:p w14:paraId="5939D4AA" w14:textId="77777777" w:rsidR="00583D29" w:rsidRPr="00583D29" w:rsidRDefault="00583D29" w:rsidP="00583D29">
      <w:pPr>
        <w:spacing w:before="240" w:after="0"/>
        <w:rPr>
          <w:rFonts w:ascii="Times New Roman" w:hAnsi="Times New Roman" w:cs="Times New Roman"/>
          <w:b/>
          <w:bCs/>
          <w:sz w:val="24"/>
          <w:szCs w:val="24"/>
        </w:rPr>
      </w:pPr>
    </w:p>
    <w:p w14:paraId="4E189136" w14:textId="5BE0C6DC" w:rsidR="00532CA5"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lastRenderedPageBreak/>
        <w:t>Indicadores económicos</w:t>
      </w:r>
    </w:p>
    <w:p w14:paraId="40443855" w14:textId="44FC5EBB" w:rsidR="00532CA5" w:rsidRDefault="00532CA5" w:rsidP="00532CA5">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18</w:t>
      </w:r>
    </w:p>
    <w:p w14:paraId="45D2FC6E" w14:textId="210EAE5B" w:rsidR="00532CA5" w:rsidRPr="00532CA5" w:rsidRDefault="00532CA5" w:rsidP="00532CA5">
      <w:pPr>
        <w:spacing w:after="0"/>
        <w:rPr>
          <w:rFonts w:ascii="Times New Roman" w:hAnsi="Times New Roman" w:cs="Times New Roman"/>
          <w:i/>
          <w:iCs/>
          <w:sz w:val="24"/>
          <w:szCs w:val="24"/>
        </w:rPr>
      </w:pPr>
      <w:r>
        <w:rPr>
          <w:rFonts w:ascii="Times New Roman" w:hAnsi="Times New Roman" w:cs="Times New Roman"/>
          <w:i/>
          <w:iCs/>
          <w:sz w:val="24"/>
          <w:szCs w:val="24"/>
        </w:rPr>
        <w:t>Indicadores económicos del proyecto</w:t>
      </w:r>
    </w:p>
    <w:tbl>
      <w:tblPr>
        <w:tblStyle w:val="Tablaconcuadrcula2"/>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4"/>
        <w:gridCol w:w="3462"/>
      </w:tblGrid>
      <w:tr w:rsidR="00532CA5" w:rsidRPr="00532CA5" w14:paraId="0E7EFD18" w14:textId="77777777" w:rsidTr="00532CA5">
        <w:trPr>
          <w:jc w:val="center"/>
        </w:trPr>
        <w:tc>
          <w:tcPr>
            <w:tcW w:w="3082" w:type="pct"/>
            <w:tcBorders>
              <w:bottom w:val="single" w:sz="4" w:space="0" w:color="auto"/>
            </w:tcBorders>
            <w:hideMark/>
          </w:tcPr>
          <w:p w14:paraId="044FEA4F" w14:textId="795676BB" w:rsidR="00532CA5" w:rsidRPr="00532CA5" w:rsidRDefault="00532CA5" w:rsidP="00532CA5">
            <w:pPr>
              <w:jc w:val="center"/>
              <w:rPr>
                <w:rFonts w:ascii="Times New Roman" w:eastAsia="Times New Roman" w:hAnsi="Times New Roman" w:cs="Times New Roman"/>
                <w:b/>
                <w:bCs/>
                <w:sz w:val="24"/>
                <w:szCs w:val="24"/>
                <w:lang w:val="es-MX" w:eastAsia="es-MX"/>
              </w:rPr>
            </w:pPr>
            <w:r w:rsidRPr="00532CA5">
              <w:rPr>
                <w:rFonts w:ascii="Times New Roman" w:eastAsia="Times New Roman" w:hAnsi="Times New Roman" w:cs="Times New Roman"/>
                <w:b/>
                <w:bCs/>
                <w:sz w:val="24"/>
                <w:szCs w:val="24"/>
                <w:lang w:val="es-MX" w:eastAsia="es-MX"/>
              </w:rPr>
              <w:t>Indicadores</w:t>
            </w:r>
          </w:p>
        </w:tc>
        <w:tc>
          <w:tcPr>
            <w:tcW w:w="1918" w:type="pct"/>
            <w:tcBorders>
              <w:bottom w:val="single" w:sz="4" w:space="0" w:color="auto"/>
            </w:tcBorders>
            <w:vAlign w:val="center"/>
            <w:hideMark/>
          </w:tcPr>
          <w:p w14:paraId="08DC824A" w14:textId="77777777" w:rsidR="00532CA5" w:rsidRPr="00532CA5" w:rsidRDefault="00532CA5" w:rsidP="00532CA5">
            <w:pPr>
              <w:jc w:val="center"/>
              <w:rPr>
                <w:rFonts w:ascii="Times New Roman" w:eastAsia="Times New Roman" w:hAnsi="Times New Roman" w:cs="Times New Roman"/>
                <w:b/>
                <w:bCs/>
                <w:sz w:val="24"/>
                <w:szCs w:val="24"/>
                <w:lang w:val="es-MX" w:eastAsia="es-MX"/>
              </w:rPr>
            </w:pPr>
            <w:r w:rsidRPr="00532CA5">
              <w:rPr>
                <w:rFonts w:ascii="Times New Roman" w:eastAsia="Times New Roman" w:hAnsi="Times New Roman" w:cs="Times New Roman"/>
                <w:b/>
                <w:bCs/>
                <w:sz w:val="24"/>
                <w:szCs w:val="24"/>
                <w:lang w:val="es-MX" w:eastAsia="es-MX"/>
              </w:rPr>
              <w:t>Valor</w:t>
            </w:r>
          </w:p>
        </w:tc>
      </w:tr>
      <w:tr w:rsidR="00532CA5" w:rsidRPr="00532CA5" w14:paraId="01F9CDBC" w14:textId="77777777" w:rsidTr="00532CA5">
        <w:trPr>
          <w:jc w:val="center"/>
        </w:trPr>
        <w:tc>
          <w:tcPr>
            <w:tcW w:w="3082" w:type="pct"/>
            <w:tcBorders>
              <w:top w:val="single" w:sz="4" w:space="0" w:color="auto"/>
              <w:bottom w:val="nil"/>
            </w:tcBorders>
            <w:hideMark/>
          </w:tcPr>
          <w:p w14:paraId="38C03BA4"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Costo de oportunidad del capital</w:t>
            </w:r>
          </w:p>
        </w:tc>
        <w:tc>
          <w:tcPr>
            <w:tcW w:w="1918" w:type="pct"/>
            <w:tcBorders>
              <w:top w:val="single" w:sz="4" w:space="0" w:color="auto"/>
              <w:bottom w:val="nil"/>
            </w:tcBorders>
            <w:vAlign w:val="center"/>
            <w:hideMark/>
          </w:tcPr>
          <w:p w14:paraId="41BCC5B7"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7 %</w:t>
            </w:r>
          </w:p>
        </w:tc>
      </w:tr>
      <w:tr w:rsidR="00532CA5" w:rsidRPr="00532CA5" w14:paraId="3AB47D40" w14:textId="77777777" w:rsidTr="00532CA5">
        <w:trPr>
          <w:jc w:val="center"/>
        </w:trPr>
        <w:tc>
          <w:tcPr>
            <w:tcW w:w="3082" w:type="pct"/>
            <w:tcBorders>
              <w:top w:val="nil"/>
            </w:tcBorders>
            <w:hideMark/>
          </w:tcPr>
          <w:p w14:paraId="67564703"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Valor Actual Neto (VAN)</w:t>
            </w:r>
          </w:p>
        </w:tc>
        <w:tc>
          <w:tcPr>
            <w:tcW w:w="1918" w:type="pct"/>
            <w:tcBorders>
              <w:top w:val="nil"/>
            </w:tcBorders>
            <w:vAlign w:val="center"/>
            <w:hideMark/>
          </w:tcPr>
          <w:p w14:paraId="73EF3440"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No aplica</w:t>
            </w:r>
          </w:p>
        </w:tc>
      </w:tr>
      <w:tr w:rsidR="00532CA5" w:rsidRPr="00532CA5" w14:paraId="6A30339F" w14:textId="77777777" w:rsidTr="00532CA5">
        <w:trPr>
          <w:jc w:val="center"/>
        </w:trPr>
        <w:tc>
          <w:tcPr>
            <w:tcW w:w="3082" w:type="pct"/>
            <w:hideMark/>
          </w:tcPr>
          <w:p w14:paraId="3935DFC9"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Tasa Interna de Retorno (TIR)</w:t>
            </w:r>
          </w:p>
        </w:tc>
        <w:tc>
          <w:tcPr>
            <w:tcW w:w="1918" w:type="pct"/>
            <w:vAlign w:val="center"/>
            <w:hideMark/>
          </w:tcPr>
          <w:p w14:paraId="62D6EC32"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No aplica</w:t>
            </w:r>
          </w:p>
        </w:tc>
      </w:tr>
      <w:tr w:rsidR="00532CA5" w:rsidRPr="00532CA5" w14:paraId="715D9D2F" w14:textId="77777777" w:rsidTr="00532CA5">
        <w:trPr>
          <w:jc w:val="center"/>
        </w:trPr>
        <w:tc>
          <w:tcPr>
            <w:tcW w:w="3082" w:type="pct"/>
            <w:hideMark/>
          </w:tcPr>
          <w:p w14:paraId="56394575"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Relación beneficio–costo (B/C)</w:t>
            </w:r>
          </w:p>
        </w:tc>
        <w:tc>
          <w:tcPr>
            <w:tcW w:w="1918" w:type="pct"/>
            <w:vAlign w:val="center"/>
            <w:hideMark/>
          </w:tcPr>
          <w:p w14:paraId="6E2A8C84"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Análisis cualitativo</w:t>
            </w:r>
          </w:p>
        </w:tc>
      </w:tr>
    </w:tbl>
    <w:p w14:paraId="3B38B210" w14:textId="77777777" w:rsidR="00532CA5" w:rsidRPr="00532CA5" w:rsidRDefault="00532CA5" w:rsidP="00532CA5">
      <w:pPr>
        <w:spacing w:after="0"/>
        <w:rPr>
          <w:rFonts w:ascii="Times New Roman" w:hAnsi="Times New Roman" w:cs="Times New Roman"/>
          <w:sz w:val="24"/>
          <w:szCs w:val="24"/>
        </w:rPr>
      </w:pPr>
    </w:p>
    <w:p w14:paraId="3439E053" w14:textId="1F7533CD" w:rsidR="00532CA5" w:rsidRDefault="00532CA5" w:rsidP="00583D29">
      <w:pPr>
        <w:spacing w:after="0" w:line="360" w:lineRule="auto"/>
        <w:rPr>
          <w:rFonts w:ascii="Times New Roman" w:hAnsi="Times New Roman" w:cs="Times New Roman"/>
          <w:b/>
          <w:bCs/>
          <w:i/>
          <w:iCs/>
          <w:sz w:val="24"/>
          <w:szCs w:val="24"/>
        </w:rPr>
      </w:pPr>
      <w:r w:rsidRPr="00532CA5">
        <w:rPr>
          <w:rFonts w:ascii="Times New Roman" w:hAnsi="Times New Roman" w:cs="Times New Roman"/>
          <w:b/>
          <w:bCs/>
          <w:i/>
          <w:iCs/>
          <w:sz w:val="24"/>
          <w:szCs w:val="24"/>
        </w:rPr>
        <w:t>Relación beneficio-costo (B/C)</w:t>
      </w:r>
    </w:p>
    <w:p w14:paraId="37A3EAFA" w14:textId="6896D2EA" w:rsidR="00583D29" w:rsidRPr="006E0C86" w:rsidRDefault="00583D29" w:rsidP="00583D29">
      <w:pPr>
        <w:spacing w:after="0" w:line="360" w:lineRule="auto"/>
        <w:jc w:val="both"/>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Para el presente proyecto, los beneficios económicos totales se estiman a partir de los beneficios anuales valorados, considerados a lo largo de la vida útil del proyecto de 30 años, incorporando una tasa de inflación del 1,30% anual, lo que permite proyectar el comportamiento real de los beneficios en el tiempo.</w:t>
      </w:r>
      <w:r>
        <w:rPr>
          <w:rFonts w:ascii="Times New Roman" w:eastAsia="Times New Roman" w:hAnsi="Times New Roman" w:cs="Times New Roman"/>
          <w:sz w:val="24"/>
          <w:szCs w:val="24"/>
        </w:rPr>
        <w:t xml:space="preserve"> Se desarrolló empleando la Ecuación 2.</w:t>
      </w:r>
    </w:p>
    <w:p w14:paraId="267A52F6" w14:textId="77777777" w:rsidR="00583D29" w:rsidRDefault="00583D29" w:rsidP="00583D29">
      <w:pPr>
        <w:spacing w:after="0" w:line="360" w:lineRule="auto"/>
        <w:jc w:val="both"/>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El costo inicial corresponde a la inversión total requerida para la ejecución del sistema de agua potable, mientras que los costos de operación y mantenimiento se calculan de forma anual durante toda la vida útil del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583D29" w14:paraId="19AC0179" w14:textId="77777777" w:rsidTr="00583D29">
        <w:tc>
          <w:tcPr>
            <w:tcW w:w="8500" w:type="dxa"/>
            <w:vAlign w:val="center"/>
          </w:tcPr>
          <w:p w14:paraId="2D32AFD6" w14:textId="327316E0" w:rsidR="00583D29" w:rsidRDefault="00583D29" w:rsidP="00583D29">
            <w:pPr>
              <w:spacing w:line="360" w:lineRule="auto"/>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rPr>
                  <m:t>B/C=</m:t>
                </m:r>
                <m:f>
                  <m:fPr>
                    <m:ctrlPr>
                      <w:rPr>
                        <w:rFonts w:ascii="Cambria Math" w:eastAsia="Times New Roman" w:hAnsi="Cambria Math" w:cs="Times New Roman"/>
                        <w:b/>
                        <w:bCs/>
                        <w:i/>
                      </w:rPr>
                    </m:ctrlPr>
                  </m:fPr>
                  <m:num>
                    <m:r>
                      <w:rPr>
                        <w:rFonts w:ascii="Cambria Math" w:hAnsi="Cambria Math" w:cs="Times New Roman"/>
                      </w:rPr>
                      <m:t>Beneficios totales</m:t>
                    </m:r>
                  </m:num>
                  <m:den>
                    <m:r>
                      <w:rPr>
                        <w:rFonts w:ascii="Cambria Math" w:hAnsi="Cambria Math" w:cs="Times New Roman"/>
                      </w:rPr>
                      <m:t>Costos totales</m:t>
                    </m:r>
                  </m:den>
                </m:f>
              </m:oMath>
            </m:oMathPara>
          </w:p>
        </w:tc>
        <w:tc>
          <w:tcPr>
            <w:tcW w:w="516" w:type="dxa"/>
            <w:vAlign w:val="center"/>
          </w:tcPr>
          <w:p w14:paraId="0C905F7D" w14:textId="0BA172B4" w:rsidR="00583D29" w:rsidRPr="00583D29" w:rsidRDefault="00583D29" w:rsidP="00583D29">
            <w:pPr>
              <w:spacing w:line="360" w:lineRule="auto"/>
              <w:jc w:val="center"/>
              <w:rPr>
                <w:rFonts w:ascii="Times New Roman" w:eastAsia="Times New Roman" w:hAnsi="Times New Roman" w:cs="Times New Roman"/>
                <w:sz w:val="24"/>
                <w:szCs w:val="24"/>
              </w:rPr>
            </w:pPr>
            <w:r w:rsidRPr="00583D29">
              <w:rPr>
                <w:rFonts w:ascii="Times New Roman" w:eastAsia="Times New Roman" w:hAnsi="Times New Roman" w:cs="Times New Roman"/>
                <w:sz w:val="24"/>
                <w:szCs w:val="24"/>
              </w:rPr>
              <w:t>(2)</w:t>
            </w:r>
          </w:p>
        </w:tc>
      </w:tr>
    </w:tbl>
    <w:p w14:paraId="4F9322CB" w14:textId="77777777" w:rsidR="00532CA5" w:rsidRPr="006E0C86" w:rsidRDefault="00532CA5" w:rsidP="00583D29">
      <w:pPr>
        <w:spacing w:before="240"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Cálculo de beneficios y costos</w:t>
      </w:r>
    </w:p>
    <w:p w14:paraId="5AAAAD12" w14:textId="77777777" w:rsidR="00532CA5" w:rsidRPr="006E0C86" w:rsidRDefault="00532CA5" w:rsidP="00583D29">
      <w:pPr>
        <w:spacing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Beneficios económicos totales (30 años)</w:t>
      </w:r>
    </w:p>
    <w:p w14:paraId="60BE77E2" w14:textId="77777777" w:rsidR="00532CA5" w:rsidRDefault="00532CA5" w:rsidP="00583D29">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Los beneficios económicos totales corresponden a la suma de los beneficios anuales proyectados durante los 30 años de vida útil del proyecto:</w:t>
      </w:r>
    </w:p>
    <w:p w14:paraId="060A0BF8" w14:textId="77777777" w:rsidR="00532CA5" w:rsidRPr="006E0C86" w:rsidRDefault="00532CA5" w:rsidP="00583D29">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Beneficios totales = $3.041.200,00</w:t>
      </w:r>
    </w:p>
    <w:p w14:paraId="4A79EE07" w14:textId="77777777" w:rsidR="00532CA5" w:rsidRPr="003F2272" w:rsidRDefault="00532CA5" w:rsidP="00583D29">
      <w:pPr>
        <w:spacing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Costos totales del proyecto</w:t>
      </w:r>
    </w:p>
    <w:p w14:paraId="42AD6094" w14:textId="77777777" w:rsidR="00532CA5" w:rsidRPr="006E0C86" w:rsidRDefault="00532CA5" w:rsidP="00583D29">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Los costos totales incluyen:</w:t>
      </w:r>
    </w:p>
    <w:p w14:paraId="105EE609" w14:textId="77777777" w:rsidR="00532CA5" w:rsidRDefault="00532CA5" w:rsidP="00583D29">
      <w:pPr>
        <w:pStyle w:val="Prrafodelista"/>
        <w:numPr>
          <w:ilvl w:val="0"/>
          <w:numId w:val="26"/>
        </w:num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Inversión inicial del proyecto</w:t>
      </w:r>
    </w:p>
    <w:p w14:paraId="23AB99B3" w14:textId="77777777" w:rsidR="00532CA5" w:rsidRPr="008604FD" w:rsidRDefault="00532CA5" w:rsidP="00583D29">
      <w:pPr>
        <w:pStyle w:val="Prrafodelista"/>
        <w:numPr>
          <w:ilvl w:val="0"/>
          <w:numId w:val="26"/>
        </w:num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Costos de operación y mantenimiento acumulados (30 años)</w:t>
      </w:r>
    </w:p>
    <w:p w14:paraId="093424DF" w14:textId="77777777" w:rsidR="00532CA5" w:rsidRPr="006E0C86"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Costos totales=Inversión inicial + Costos de operacion y mantenimiento </m:t>
          </m:r>
        </m:oMath>
      </m:oMathPara>
    </w:p>
    <w:p w14:paraId="3077455F" w14:textId="77777777" w:rsidR="00532CA5" w:rsidRPr="006E0C86" w:rsidRDefault="00532CA5" w:rsidP="00532CA5">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Inversión inicial: $1.327.578,28</w:t>
      </w:r>
    </w:p>
    <w:p w14:paraId="6AAD167D" w14:textId="77777777" w:rsidR="00532CA5" w:rsidRPr="006E0C86" w:rsidRDefault="00532CA5" w:rsidP="00532CA5">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C</w:t>
      </w:r>
      <w:r>
        <w:rPr>
          <w:rFonts w:ascii="Times New Roman" w:eastAsia="Times New Roman" w:hAnsi="Times New Roman" w:cs="Times New Roman"/>
          <w:sz w:val="24"/>
          <w:szCs w:val="24"/>
        </w:rPr>
        <w:t>O</w:t>
      </w:r>
      <w:r w:rsidRPr="006E0C86">
        <w:rPr>
          <w:rFonts w:ascii="Times New Roman" w:eastAsia="Times New Roman" w:hAnsi="Times New Roman" w:cs="Times New Roman"/>
          <w:sz w:val="24"/>
          <w:szCs w:val="24"/>
        </w:rPr>
        <w:t>M acumulados: $1.240.000,00</w:t>
      </w:r>
    </w:p>
    <w:p w14:paraId="0D44B678" w14:textId="77777777" w:rsidR="00532CA5" w:rsidRPr="008604FD"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Costos totales=$1.327.578,28</m:t>
          </m:r>
          <m:r>
            <w:rPr>
              <w:rFonts w:ascii="Cambria Math" w:eastAsia="Times New Roman" w:hAnsi="Times New Roman" w:cs="Times New Roman"/>
              <w:sz w:val="24"/>
              <w:szCs w:val="24"/>
            </w:rPr>
            <m:t>+</m:t>
          </m:r>
          <m:r>
            <m:rPr>
              <m:sty m:val="p"/>
            </m:rPr>
            <w:rPr>
              <w:rFonts w:ascii="Cambria Math" w:eastAsia="Times New Roman" w:hAnsi="Cambria Math" w:cs="Times New Roman"/>
              <w:sz w:val="24"/>
              <w:szCs w:val="24"/>
            </w:rPr>
            <m:t>$1.240.000,00</m:t>
          </m:r>
        </m:oMath>
      </m:oMathPara>
    </w:p>
    <w:p w14:paraId="2018D324" w14:textId="77777777" w:rsidR="00532CA5" w:rsidRPr="006E0C86"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Costos totales=</m:t>
          </m:r>
          <m:r>
            <m:rPr>
              <m:sty m:val="p"/>
            </m:rPr>
            <w:rPr>
              <w:rFonts w:ascii="Cambria Math" w:eastAsia="Times New Roman" w:hAnsi="Cambria Math" w:cs="Times New Roman"/>
              <w:sz w:val="24"/>
              <w:szCs w:val="24"/>
            </w:rPr>
            <m:t>$2.567.578,28</m:t>
          </m:r>
        </m:oMath>
      </m:oMathPara>
    </w:p>
    <w:p w14:paraId="7368D2BC" w14:textId="77777777" w:rsidR="00532CA5" w:rsidRPr="00532CA5" w:rsidRDefault="00532CA5" w:rsidP="00532CA5">
      <w:pPr>
        <w:spacing w:after="0" w:line="360" w:lineRule="auto"/>
        <w:rPr>
          <w:rFonts w:ascii="Times New Roman" w:eastAsia="Times New Roman" w:hAnsi="Times New Roman" w:cs="Times New Roman"/>
          <w:b/>
          <w:bCs/>
          <w:i/>
          <w:iCs/>
          <w:sz w:val="24"/>
          <w:szCs w:val="24"/>
        </w:rPr>
      </w:pPr>
      <w:r w:rsidRPr="00532CA5">
        <w:rPr>
          <w:rFonts w:ascii="Times New Roman" w:eastAsia="Times New Roman" w:hAnsi="Times New Roman" w:cs="Times New Roman"/>
          <w:b/>
          <w:bCs/>
          <w:i/>
          <w:iCs/>
          <w:sz w:val="24"/>
          <w:szCs w:val="24"/>
        </w:rPr>
        <w:t>Cálculo del indicador B/C</w:t>
      </w:r>
    </w:p>
    <w:p w14:paraId="17695B27" w14:textId="77777777" w:rsidR="00532CA5" w:rsidRPr="008604FD" w:rsidRDefault="00532CA5" w:rsidP="00532CA5">
      <w:pPr>
        <w:spacing w:after="0" w:line="36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B/C=</m:t>
          </m:r>
          <m:f>
            <m:fPr>
              <m:ctrlPr>
                <w:rPr>
                  <w:rFonts w:ascii="Cambria Math" w:eastAsia="Times New Roman" w:hAnsi="Cambria Math" w:cs="Times New Roman"/>
                  <w:b/>
                  <w:bCs/>
                  <w:i/>
                  <w:sz w:val="24"/>
                  <w:szCs w:val="24"/>
                </w:rPr>
              </m:ctrlPr>
            </m:fPr>
            <m:num>
              <m:r>
                <w:rPr>
                  <w:rFonts w:ascii="Cambria Math" w:hAnsi="Cambria Math" w:cs="Times New Roman"/>
                  <w:sz w:val="24"/>
                  <w:szCs w:val="24"/>
                </w:rPr>
                <m:t>$</m:t>
              </m:r>
              <m:r>
                <m:rPr>
                  <m:sty m:val="p"/>
                </m:rPr>
                <w:rPr>
                  <w:rStyle w:val="mord"/>
                  <w:rFonts w:ascii="Cambria Math" w:hAnsi="Cambria Math"/>
                </w:rPr>
                <m:t>3.041.200</m:t>
              </m:r>
              <m:r>
                <m:rPr>
                  <m:sty m:val="p"/>
                </m:rPr>
                <w:rPr>
                  <w:rStyle w:val="mpunct"/>
                  <w:rFonts w:ascii="Cambria Math" w:hAnsi="Cambria Math"/>
                </w:rPr>
                <m:t>,</m:t>
              </m:r>
              <m:r>
                <m:rPr>
                  <m:sty m:val="p"/>
                </m:rPr>
                <w:rPr>
                  <w:rStyle w:val="mord"/>
                  <w:rFonts w:ascii="Cambria Math" w:hAnsi="Cambria Math"/>
                </w:rPr>
                <m:t>00</m:t>
              </m:r>
            </m:num>
            <m:den>
              <m:r>
                <m:rPr>
                  <m:sty m:val="p"/>
                </m:rPr>
                <w:rPr>
                  <w:rStyle w:val="mord"/>
                  <w:rFonts w:ascii="Cambria Math" w:hAnsi="Cambria Math"/>
                </w:rPr>
                <m:t>$2.567.578</m:t>
              </m:r>
              <m:r>
                <m:rPr>
                  <m:sty m:val="p"/>
                </m:rPr>
                <w:rPr>
                  <w:rStyle w:val="mpunct"/>
                  <w:rFonts w:ascii="Cambria Math" w:hAnsi="Cambria Math"/>
                </w:rPr>
                <m:t>,</m:t>
              </m:r>
              <m:r>
                <m:rPr>
                  <m:sty m:val="p"/>
                </m:rPr>
                <w:rPr>
                  <w:rStyle w:val="mord"/>
                  <w:rFonts w:ascii="Cambria Math" w:hAnsi="Cambria Math"/>
                </w:rPr>
                <m:t>28</m:t>
              </m:r>
            </m:den>
          </m:f>
        </m:oMath>
      </m:oMathPara>
    </w:p>
    <w:p w14:paraId="3FDAAD87" w14:textId="77777777" w:rsidR="00532CA5" w:rsidRPr="008604FD" w:rsidRDefault="00532CA5" w:rsidP="00532CA5">
      <w:pPr>
        <w:spacing w:after="0" w:line="36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w:lastRenderedPageBreak/>
            <m:t>B/C=$1,18</m:t>
          </m:r>
        </m:oMath>
      </m:oMathPara>
    </w:p>
    <w:p w14:paraId="433FDD06" w14:textId="27B485C1" w:rsidR="00532CA5" w:rsidRPr="008604FD" w:rsidRDefault="00532CA5" w:rsidP="006C5910">
      <w:p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 xml:space="preserve">La relación Beneficio–Costo (B/C = </w:t>
      </w:r>
      <w:r w:rsidR="00C82448">
        <w:rPr>
          <w:rFonts w:ascii="Times New Roman" w:eastAsia="Times New Roman" w:hAnsi="Times New Roman" w:cs="Times New Roman"/>
          <w:sz w:val="24"/>
          <w:szCs w:val="24"/>
        </w:rPr>
        <w:t>0</w:t>
      </w:r>
      <w:r w:rsidRPr="008604FD">
        <w:rPr>
          <w:rFonts w:ascii="Times New Roman" w:eastAsia="Times New Roman" w:hAnsi="Times New Roman" w:cs="Times New Roman"/>
          <w:sz w:val="24"/>
          <w:szCs w:val="24"/>
        </w:rPr>
        <w:t xml:space="preserve">,18) indica que por cada dólar invertido en el proyecto se generan aproximadamente </w:t>
      </w:r>
      <w:r w:rsidR="00C82448">
        <w:rPr>
          <w:rFonts w:ascii="Times New Roman" w:eastAsia="Times New Roman" w:hAnsi="Times New Roman" w:cs="Times New Roman"/>
          <w:sz w:val="24"/>
          <w:szCs w:val="24"/>
        </w:rPr>
        <w:t>0</w:t>
      </w:r>
      <w:r w:rsidRPr="008604FD">
        <w:rPr>
          <w:rFonts w:ascii="Times New Roman" w:eastAsia="Times New Roman" w:hAnsi="Times New Roman" w:cs="Times New Roman"/>
          <w:sz w:val="24"/>
          <w:szCs w:val="24"/>
        </w:rPr>
        <w:t>,18 dólares en beneficios económicos y sociales durante la vida útil del sistema de agua potable.</w:t>
      </w:r>
    </w:p>
    <w:p w14:paraId="040F05E0" w14:textId="169F2453" w:rsidR="00532CA5" w:rsidRDefault="00532CA5" w:rsidP="006C5910">
      <w:p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 xml:space="preserve">Este resultado evidencia que el proyecto es económicamente viable desde un enfoque social, ya que los beneficios generados superan los costos de inversión, operación y mantenimiento a lo largo de los 30 años de análisis. </w:t>
      </w:r>
    </w:p>
    <w:p w14:paraId="72414C61" w14:textId="3CCDBB59" w:rsidR="00C256D8" w:rsidRPr="00C256D8" w:rsidRDefault="00C256D8" w:rsidP="00C256D8">
      <w:pPr>
        <w:pStyle w:val="Prrafodelista"/>
        <w:numPr>
          <w:ilvl w:val="1"/>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Viabilidad ambiental y sostenibilidad social</w:t>
      </w:r>
    </w:p>
    <w:p w14:paraId="592A09FB" w14:textId="08EE423E" w:rsidR="00C256D8" w:rsidRPr="00C256D8" w:rsidRDefault="00C256D8" w:rsidP="00C256D8">
      <w:pPr>
        <w:pStyle w:val="Prrafodelista"/>
        <w:numPr>
          <w:ilvl w:val="2"/>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 xml:space="preserve">Análisis de impacto ambiental </w:t>
      </w:r>
    </w:p>
    <w:p w14:paraId="1A8C350A" w14:textId="33E8F599" w:rsidR="00C256D8" w:rsidRPr="00C256D8" w:rsidRDefault="00C256D8" w:rsidP="00C256D8">
      <w:p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5.4.1.1</w:t>
      </w:r>
      <w:r>
        <w:rPr>
          <w:rFonts w:ascii="Times New Roman" w:eastAsia="Times New Roman" w:hAnsi="Times New Roman" w:cs="Times New Roman"/>
          <w:b/>
          <w:bCs/>
          <w:sz w:val="24"/>
          <w:szCs w:val="24"/>
        </w:rPr>
        <w:t xml:space="preserve"> Categorización   </w:t>
      </w:r>
    </w:p>
    <w:p w14:paraId="3BFD8BF0" w14:textId="631FACCD" w:rsidR="00C256D8" w:rsidRDefault="00C256D8" w:rsidP="00C256D8">
      <w:pPr>
        <w:spacing w:after="0" w:line="360" w:lineRule="auto"/>
        <w:jc w:val="both"/>
        <w:rPr>
          <w:rFonts w:ascii="Times New Roman" w:eastAsia="Times New Roman" w:hAnsi="Times New Roman" w:cs="Times New Roman"/>
          <w:sz w:val="24"/>
          <w:szCs w:val="24"/>
        </w:rPr>
      </w:pPr>
      <w:r w:rsidRPr="00C256D8">
        <w:rPr>
          <w:rFonts w:ascii="Times New Roman" w:eastAsia="Times New Roman" w:hAnsi="Times New Roman" w:cs="Times New Roman"/>
          <w:sz w:val="24"/>
          <w:szCs w:val="24"/>
        </w:rPr>
        <w:t xml:space="preserve">De acuerdo con el Catálogo de Categorización Ambiental Nacional (CCAN), </w:t>
      </w:r>
      <w:r>
        <w:rPr>
          <w:rFonts w:ascii="Times New Roman" w:eastAsia="Times New Roman" w:hAnsi="Times New Roman" w:cs="Times New Roman"/>
          <w:sz w:val="24"/>
          <w:szCs w:val="24"/>
        </w:rPr>
        <w:t xml:space="preserve">nuestro proyecto </w:t>
      </w:r>
      <w:r w:rsidRPr="00C256D8">
        <w:rPr>
          <w:rFonts w:ascii="Times New Roman" w:eastAsia="Times New Roman" w:hAnsi="Times New Roman" w:cs="Times New Roman"/>
          <w:sz w:val="24"/>
          <w:szCs w:val="24"/>
        </w:rPr>
        <w:t>corresponde al código 23.4.2.1.5.3, denominado Cambio y reparación de líneas de conducción y distribución de agua potable, el cual se clasifica como Categoría I, debido a que consiste en actividades de rehabilitación de la infraestructura existente sin generar impactos ambientales significativos.</w:t>
      </w:r>
    </w:p>
    <w:p w14:paraId="5135174D" w14:textId="6B9573DB" w:rsidR="00C256D8" w:rsidRPr="00C256D8" w:rsidRDefault="00C256D8" w:rsidP="00C256D8">
      <w:p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5.4.1.2</w:t>
      </w:r>
      <w:r>
        <w:rPr>
          <w:rFonts w:ascii="Times New Roman" w:eastAsia="Times New Roman" w:hAnsi="Times New Roman" w:cs="Times New Roman"/>
          <w:b/>
          <w:bCs/>
          <w:sz w:val="24"/>
          <w:szCs w:val="24"/>
        </w:rPr>
        <w:t xml:space="preserve"> Descripción de la categorización</w:t>
      </w:r>
    </w:p>
    <w:p w14:paraId="716EDF6A" w14:textId="549D078F" w:rsidR="00C256D8" w:rsidRDefault="00C256D8" w:rsidP="00C256D8">
      <w:pPr>
        <w:spacing w:after="0" w:line="360" w:lineRule="auto"/>
        <w:jc w:val="both"/>
        <w:rPr>
          <w:rFonts w:ascii="Times New Roman" w:eastAsia="Times New Roman" w:hAnsi="Times New Roman" w:cs="Times New Roman"/>
          <w:sz w:val="24"/>
          <w:szCs w:val="24"/>
        </w:rPr>
      </w:pPr>
      <w:r w:rsidRPr="00C256D8">
        <w:rPr>
          <w:rFonts w:ascii="Times New Roman" w:eastAsia="Times New Roman" w:hAnsi="Times New Roman" w:cs="Times New Roman"/>
          <w:sz w:val="24"/>
          <w:szCs w:val="24"/>
        </w:rPr>
        <w:t>Conforme a</w:t>
      </w:r>
      <w:r>
        <w:rPr>
          <w:rFonts w:ascii="Times New Roman" w:eastAsia="Times New Roman" w:hAnsi="Times New Roman" w:cs="Times New Roman"/>
          <w:sz w:val="24"/>
          <w:szCs w:val="24"/>
        </w:rPr>
        <w:t xml:space="preserve">l documento </w:t>
      </w:r>
      <w:r w:rsidRPr="00C256D8">
        <w:rPr>
          <w:rFonts w:ascii="Times New Roman" w:eastAsia="Times New Roman" w:hAnsi="Times New Roman" w:cs="Times New Roman"/>
          <w:sz w:val="24"/>
          <w:szCs w:val="24"/>
        </w:rPr>
        <w:t>de</w:t>
      </w:r>
      <w:r>
        <w:rPr>
          <w:rFonts w:ascii="Times New Roman" w:eastAsia="Times New Roman" w:hAnsi="Times New Roman" w:cs="Times New Roman"/>
          <w:sz w:val="24"/>
          <w:szCs w:val="24"/>
        </w:rPr>
        <w:t xml:space="preserve"> la</w:t>
      </w:r>
      <w:r w:rsidRPr="00C256D8">
        <w:rPr>
          <w:rFonts w:ascii="Times New Roman" w:eastAsia="Times New Roman" w:hAnsi="Times New Roman" w:cs="Times New Roman"/>
          <w:sz w:val="24"/>
          <w:szCs w:val="24"/>
        </w:rPr>
        <w:t xml:space="preserve"> SENPLADES, la Categoría I corresponde a proyectos beneficiosos para el medio ambiente que producen una mejora evidente y que, por tanto, no requieren un Estudio de Impacto Ambiental. </w:t>
      </w:r>
    </w:p>
    <w:p w14:paraId="2737CD18" w14:textId="4E4DFF9B" w:rsidR="00C256D8" w:rsidRDefault="00C256D8" w:rsidP="00C256D8">
      <w:p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5.4.1.3 Medidas de mitigación</w:t>
      </w:r>
    </w:p>
    <w:tbl>
      <w:tblPr>
        <w:tblStyle w:val="Tablaconcuadrcula"/>
        <w:tblW w:w="96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2"/>
        <w:gridCol w:w="2402"/>
        <w:gridCol w:w="2402"/>
        <w:gridCol w:w="2402"/>
      </w:tblGrid>
      <w:tr w:rsidR="00C256D8" w:rsidRPr="00C256D8" w14:paraId="12455AC8" w14:textId="77777777" w:rsidTr="00C256D8">
        <w:trPr>
          <w:trHeight w:val="411"/>
        </w:trPr>
        <w:tc>
          <w:tcPr>
            <w:tcW w:w="2402" w:type="dxa"/>
            <w:tcBorders>
              <w:top w:val="single" w:sz="4" w:space="0" w:color="auto"/>
              <w:bottom w:val="single" w:sz="4" w:space="0" w:color="auto"/>
            </w:tcBorders>
          </w:tcPr>
          <w:p w14:paraId="10CA751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Actividad del proyecto</w:t>
            </w:r>
          </w:p>
        </w:tc>
        <w:tc>
          <w:tcPr>
            <w:tcW w:w="2402" w:type="dxa"/>
            <w:tcBorders>
              <w:top w:val="single" w:sz="4" w:space="0" w:color="auto"/>
              <w:bottom w:val="single" w:sz="4" w:space="0" w:color="auto"/>
            </w:tcBorders>
          </w:tcPr>
          <w:p w14:paraId="41FB19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 impacto ambiental</w:t>
            </w:r>
          </w:p>
        </w:tc>
        <w:tc>
          <w:tcPr>
            <w:tcW w:w="2402" w:type="dxa"/>
            <w:tcBorders>
              <w:top w:val="single" w:sz="4" w:space="0" w:color="auto"/>
              <w:bottom w:val="single" w:sz="4" w:space="0" w:color="auto"/>
            </w:tcBorders>
          </w:tcPr>
          <w:p w14:paraId="58FBC5F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Medidas de mitigación</w:t>
            </w:r>
          </w:p>
        </w:tc>
        <w:tc>
          <w:tcPr>
            <w:tcW w:w="2402" w:type="dxa"/>
            <w:tcBorders>
              <w:top w:val="single" w:sz="4" w:space="0" w:color="auto"/>
              <w:bottom w:val="single" w:sz="4" w:space="0" w:color="auto"/>
            </w:tcBorders>
          </w:tcPr>
          <w:p w14:paraId="4DE62C7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Responsable</w:t>
            </w:r>
          </w:p>
        </w:tc>
      </w:tr>
      <w:tr w:rsidR="00C256D8" w:rsidRPr="00C256D8" w14:paraId="3D894C25" w14:textId="77777777" w:rsidTr="00C256D8">
        <w:trPr>
          <w:trHeight w:val="1016"/>
        </w:trPr>
        <w:tc>
          <w:tcPr>
            <w:tcW w:w="2402" w:type="dxa"/>
            <w:tcBorders>
              <w:top w:val="single" w:sz="4" w:space="0" w:color="auto"/>
            </w:tcBorders>
          </w:tcPr>
          <w:p w14:paraId="09B853F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 para reemplazo de tuberías</w:t>
            </w:r>
          </w:p>
        </w:tc>
        <w:tc>
          <w:tcPr>
            <w:tcW w:w="2402" w:type="dxa"/>
            <w:tcBorders>
              <w:top w:val="single" w:sz="4" w:space="0" w:color="auto"/>
            </w:tcBorders>
          </w:tcPr>
          <w:p w14:paraId="7F79219C"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Emisión de polvo</w:t>
            </w:r>
          </w:p>
        </w:tc>
        <w:tc>
          <w:tcPr>
            <w:tcW w:w="2402" w:type="dxa"/>
            <w:tcBorders>
              <w:top w:val="single" w:sz="4" w:space="0" w:color="auto"/>
            </w:tcBorders>
          </w:tcPr>
          <w:p w14:paraId="650B4E7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Humedecer diariamente el área de trabajo para reducir la dispersión de partículas.</w:t>
            </w:r>
          </w:p>
        </w:tc>
        <w:tc>
          <w:tcPr>
            <w:tcW w:w="2402" w:type="dxa"/>
            <w:tcBorders>
              <w:top w:val="single" w:sz="4" w:space="0" w:color="auto"/>
            </w:tcBorders>
          </w:tcPr>
          <w:p w14:paraId="7DCD06C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0A4E9AC8" w14:textId="77777777" w:rsidTr="00C256D8">
        <w:trPr>
          <w:trHeight w:val="1226"/>
        </w:trPr>
        <w:tc>
          <w:tcPr>
            <w:tcW w:w="2402" w:type="dxa"/>
          </w:tcPr>
          <w:p w14:paraId="573AF11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w:t>
            </w:r>
          </w:p>
        </w:tc>
        <w:tc>
          <w:tcPr>
            <w:tcW w:w="2402" w:type="dxa"/>
          </w:tcPr>
          <w:p w14:paraId="0B4014C4"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ruido</w:t>
            </w:r>
          </w:p>
        </w:tc>
        <w:tc>
          <w:tcPr>
            <w:tcW w:w="2402" w:type="dxa"/>
          </w:tcPr>
          <w:p w14:paraId="34695E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las actividades únicamente en horario diurno y dar mantenimiento a la maquinaria.</w:t>
            </w:r>
          </w:p>
        </w:tc>
        <w:tc>
          <w:tcPr>
            <w:tcW w:w="2402" w:type="dxa"/>
          </w:tcPr>
          <w:p w14:paraId="4948D63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19542E25" w14:textId="77777777" w:rsidTr="00A54237">
        <w:trPr>
          <w:trHeight w:val="1025"/>
        </w:trPr>
        <w:tc>
          <w:tcPr>
            <w:tcW w:w="2402" w:type="dxa"/>
            <w:tcBorders>
              <w:bottom w:val="nil"/>
            </w:tcBorders>
          </w:tcPr>
          <w:p w14:paraId="049490E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Movimiento de tierra</w:t>
            </w:r>
          </w:p>
        </w:tc>
        <w:tc>
          <w:tcPr>
            <w:tcW w:w="2402" w:type="dxa"/>
            <w:tcBorders>
              <w:bottom w:val="nil"/>
            </w:tcBorders>
          </w:tcPr>
          <w:p w14:paraId="528686E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del tránsito peatonal</w:t>
            </w:r>
          </w:p>
        </w:tc>
        <w:tc>
          <w:tcPr>
            <w:tcW w:w="2402" w:type="dxa"/>
            <w:tcBorders>
              <w:bottom w:val="nil"/>
            </w:tcBorders>
          </w:tcPr>
          <w:p w14:paraId="0DF298E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Colocar señalización preventiva, cintas de seguridad y pasos provisionales para peatones.</w:t>
            </w:r>
          </w:p>
        </w:tc>
        <w:tc>
          <w:tcPr>
            <w:tcW w:w="2402" w:type="dxa"/>
            <w:tcBorders>
              <w:bottom w:val="nil"/>
            </w:tcBorders>
          </w:tcPr>
          <w:p w14:paraId="2EE16E6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4915B21" w14:textId="77777777" w:rsidTr="00A54237">
        <w:trPr>
          <w:trHeight w:val="1025"/>
        </w:trPr>
        <w:tc>
          <w:tcPr>
            <w:tcW w:w="2402" w:type="dxa"/>
            <w:tcBorders>
              <w:top w:val="nil"/>
              <w:bottom w:val="nil"/>
            </w:tcBorders>
          </w:tcPr>
          <w:p w14:paraId="4D7B100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Retiro de tuberías antiguas</w:t>
            </w:r>
          </w:p>
        </w:tc>
        <w:tc>
          <w:tcPr>
            <w:tcW w:w="2402" w:type="dxa"/>
            <w:tcBorders>
              <w:top w:val="nil"/>
              <w:bottom w:val="nil"/>
            </w:tcBorders>
          </w:tcPr>
          <w:p w14:paraId="05233E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residuos de construcción</w:t>
            </w:r>
          </w:p>
        </w:tc>
        <w:tc>
          <w:tcPr>
            <w:tcW w:w="2402" w:type="dxa"/>
            <w:tcBorders>
              <w:top w:val="nil"/>
              <w:bottom w:val="nil"/>
            </w:tcBorders>
          </w:tcPr>
          <w:p w14:paraId="341714CF"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Clasificar los residuos y transportarlos a sitios de disposición autorizados por el GAD Municipal.</w:t>
            </w:r>
          </w:p>
        </w:tc>
        <w:tc>
          <w:tcPr>
            <w:tcW w:w="2402" w:type="dxa"/>
            <w:tcBorders>
              <w:top w:val="nil"/>
              <w:bottom w:val="nil"/>
            </w:tcBorders>
          </w:tcPr>
          <w:p w14:paraId="7486059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95C6EE4" w14:textId="77777777" w:rsidTr="00A54237">
        <w:trPr>
          <w:trHeight w:val="1428"/>
        </w:trPr>
        <w:tc>
          <w:tcPr>
            <w:tcW w:w="2402" w:type="dxa"/>
            <w:tcBorders>
              <w:top w:val="nil"/>
            </w:tcBorders>
          </w:tcPr>
          <w:p w14:paraId="6761E2C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lastRenderedPageBreak/>
              <w:t>Uso de maquinaria</w:t>
            </w:r>
          </w:p>
        </w:tc>
        <w:tc>
          <w:tcPr>
            <w:tcW w:w="2402" w:type="dxa"/>
            <w:tcBorders>
              <w:top w:val="nil"/>
            </w:tcBorders>
          </w:tcPr>
          <w:p w14:paraId="31457AF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Posibles derrames de combustibles o lubricantes</w:t>
            </w:r>
          </w:p>
        </w:tc>
        <w:tc>
          <w:tcPr>
            <w:tcW w:w="2402" w:type="dxa"/>
            <w:tcBorders>
              <w:top w:val="nil"/>
            </w:tcBorders>
          </w:tcPr>
          <w:p w14:paraId="518BB9B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mantenimiento preventivo y almacenar combustibles en recipientes adecuados.</w:t>
            </w:r>
          </w:p>
        </w:tc>
        <w:tc>
          <w:tcPr>
            <w:tcW w:w="2402" w:type="dxa"/>
            <w:tcBorders>
              <w:top w:val="nil"/>
            </w:tcBorders>
          </w:tcPr>
          <w:p w14:paraId="786157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C938FF4" w14:textId="77777777" w:rsidTr="00C256D8">
        <w:trPr>
          <w:trHeight w:val="1025"/>
        </w:trPr>
        <w:tc>
          <w:tcPr>
            <w:tcW w:w="2402" w:type="dxa"/>
          </w:tcPr>
          <w:p w14:paraId="7A16EF6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Intervención de áreas verdes</w:t>
            </w:r>
          </w:p>
        </w:tc>
        <w:tc>
          <w:tcPr>
            <w:tcW w:w="2402" w:type="dxa"/>
          </w:tcPr>
          <w:p w14:paraId="5CEC1731"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 la vegetación</w:t>
            </w:r>
          </w:p>
        </w:tc>
        <w:tc>
          <w:tcPr>
            <w:tcW w:w="2402" w:type="dxa"/>
          </w:tcPr>
          <w:p w14:paraId="6842908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Restaurar las áreas intervenidas mediante limpieza y revegetación cuando sea necesario.</w:t>
            </w:r>
          </w:p>
        </w:tc>
        <w:tc>
          <w:tcPr>
            <w:tcW w:w="2402" w:type="dxa"/>
          </w:tcPr>
          <w:p w14:paraId="5CAFBA8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GAD Municipal de Loja</w:t>
            </w:r>
          </w:p>
        </w:tc>
      </w:tr>
      <w:tr w:rsidR="00C256D8" w:rsidRPr="00C256D8" w14:paraId="45FB72DC" w14:textId="77777777" w:rsidTr="00C256D8">
        <w:trPr>
          <w:trHeight w:val="1428"/>
        </w:trPr>
        <w:tc>
          <w:tcPr>
            <w:tcW w:w="2402" w:type="dxa"/>
          </w:tcPr>
          <w:p w14:paraId="2406655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Ejecución de la obra</w:t>
            </w:r>
          </w:p>
        </w:tc>
        <w:tc>
          <w:tcPr>
            <w:tcW w:w="2402" w:type="dxa"/>
          </w:tcPr>
          <w:p w14:paraId="246ADBC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Riesgos para trabajadores</w:t>
            </w:r>
          </w:p>
        </w:tc>
        <w:tc>
          <w:tcPr>
            <w:tcW w:w="2402" w:type="dxa"/>
          </w:tcPr>
          <w:p w14:paraId="327E2FF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Uso obligatorio de equipos de protección personal (EPP) y cumplimiento de normas de seguridad ocupacional.</w:t>
            </w:r>
          </w:p>
        </w:tc>
        <w:tc>
          <w:tcPr>
            <w:tcW w:w="2402" w:type="dxa"/>
          </w:tcPr>
          <w:p w14:paraId="2E030C4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56DBF99" w14:textId="77777777" w:rsidTr="00C256D8">
        <w:trPr>
          <w:trHeight w:val="1025"/>
        </w:trPr>
        <w:tc>
          <w:tcPr>
            <w:tcW w:w="2402" w:type="dxa"/>
          </w:tcPr>
          <w:p w14:paraId="5A72450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Finalización de la obra</w:t>
            </w:r>
          </w:p>
        </w:tc>
        <w:tc>
          <w:tcPr>
            <w:tcW w:w="2402" w:type="dxa"/>
          </w:tcPr>
          <w:p w14:paraId="6CCFE97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Material sobrante y residuos</w:t>
            </w:r>
          </w:p>
        </w:tc>
        <w:tc>
          <w:tcPr>
            <w:tcW w:w="2402" w:type="dxa"/>
          </w:tcPr>
          <w:p w14:paraId="7F3CBA6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limpieza integral del área de trabajo y disposición final adecuada de los residuos.</w:t>
            </w:r>
          </w:p>
        </w:tc>
        <w:tc>
          <w:tcPr>
            <w:tcW w:w="2402" w:type="dxa"/>
          </w:tcPr>
          <w:p w14:paraId="57C897A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bl>
    <w:p w14:paraId="3ABD7E20" w14:textId="6B8CD298" w:rsidR="001C73B5" w:rsidRDefault="001C73B5" w:rsidP="001C73B5">
      <w:pPr>
        <w:spacing w:before="240" w:after="0" w:line="240" w:lineRule="auto"/>
        <w:rPr>
          <w:rFonts w:ascii="Times New Roman" w:hAnsi="Times New Roman" w:cs="Times New Roman"/>
          <w:b/>
          <w:bCs/>
          <w:sz w:val="24"/>
          <w:szCs w:val="24"/>
        </w:rPr>
      </w:pPr>
      <w:r w:rsidRPr="001C73B5">
        <w:rPr>
          <w:rFonts w:ascii="Times New Roman" w:hAnsi="Times New Roman" w:cs="Times New Roman"/>
          <w:b/>
          <w:bCs/>
          <w:sz w:val="24"/>
          <w:szCs w:val="24"/>
        </w:rPr>
        <w:t>5.4.2 Sostenibilidad social</w:t>
      </w:r>
    </w:p>
    <w:p w14:paraId="093AA11C" w14:textId="77777777" w:rsidR="001C73B5" w:rsidRPr="001C73B5" w:rsidRDefault="001C73B5" w:rsidP="001C73B5">
      <w:pPr>
        <w:spacing w:after="0" w:line="276" w:lineRule="auto"/>
        <w:ind w:firstLine="720"/>
        <w:jc w:val="both"/>
        <w:rPr>
          <w:rFonts w:ascii="Times New Roman" w:hAnsi="Times New Roman" w:cs="Times New Roman"/>
          <w:color w:val="000000"/>
          <w:sz w:val="24"/>
          <w:szCs w:val="24"/>
        </w:rPr>
      </w:pPr>
      <w:r w:rsidRPr="001C73B5">
        <w:rPr>
          <w:rFonts w:ascii="Times New Roman" w:eastAsia="Times New Roman" w:hAnsi="Times New Roman" w:cs="Times New Roman"/>
          <w:color w:val="000000"/>
          <w:sz w:val="24"/>
          <w:szCs w:val="24"/>
        </w:rPr>
        <w:t>La viabilidad social del proyecto se fundamenta en la garantía constitucional de acceso al agua como un derecho humano fundamental, irrenunciable, inalienable, imprescriptible, inembargable y esencial para la vida (Asamblea Nacional del Ecuador, 2008, art. 12). En este marco, la intervención propuesta no solo mejora la continuidad del servicio, sino que también fortalece condiciones de equidad social, salud pública y protección de grupos en situación de vulnerabilidad.</w:t>
      </w:r>
    </w:p>
    <w:p w14:paraId="29436FC3" w14:textId="77777777" w:rsidR="001C73B5" w:rsidRPr="001C73B5" w:rsidRDefault="001C73B5" w:rsidP="001C73B5">
      <w:pPr>
        <w:spacing w:after="0" w:line="276" w:lineRule="auto"/>
        <w:ind w:firstLine="720"/>
        <w:jc w:val="both"/>
        <w:rPr>
          <w:rFonts w:ascii="Times New Roman" w:hAnsi="Times New Roman" w:cs="Times New Roman"/>
          <w:sz w:val="24"/>
          <w:szCs w:val="24"/>
        </w:rPr>
      </w:pPr>
    </w:p>
    <w:p w14:paraId="1B235559" w14:textId="77777777" w:rsidR="001C73B5" w:rsidRPr="001C73B5" w:rsidRDefault="001C73B5" w:rsidP="001C73B5">
      <w:pPr>
        <w:spacing w:after="0" w:line="276" w:lineRule="auto"/>
        <w:ind w:firstLine="720"/>
        <w:jc w:val="both"/>
        <w:rPr>
          <w:rFonts w:ascii="Times New Roman" w:hAnsi="Times New Roman" w:cs="Times New Roman"/>
          <w:color w:val="000000"/>
          <w:sz w:val="24"/>
          <w:szCs w:val="24"/>
        </w:rPr>
      </w:pPr>
      <w:r w:rsidRPr="001C73B5">
        <w:rPr>
          <w:rFonts w:ascii="Times New Roman" w:eastAsia="Times New Roman" w:hAnsi="Times New Roman" w:cs="Times New Roman"/>
          <w:color w:val="000000"/>
          <w:sz w:val="24"/>
          <w:szCs w:val="24"/>
        </w:rPr>
        <w:t xml:space="preserve">El diseño de la intervención promueve de manera directa la reducción de la brecha de género y la redistribución de la economía del cuidado no remunerada. Históricamente, las mujeres y niñas del barrio </w:t>
      </w:r>
      <w:proofErr w:type="spellStart"/>
      <w:r w:rsidRPr="001C73B5">
        <w:rPr>
          <w:rFonts w:ascii="Times New Roman" w:eastAsia="Times New Roman" w:hAnsi="Times New Roman" w:cs="Times New Roman"/>
          <w:color w:val="000000"/>
          <w:sz w:val="24"/>
          <w:szCs w:val="24"/>
        </w:rPr>
        <w:t>Carigán</w:t>
      </w:r>
      <w:proofErr w:type="spellEnd"/>
      <w:r w:rsidRPr="001C73B5">
        <w:rPr>
          <w:rFonts w:ascii="Times New Roman" w:eastAsia="Times New Roman" w:hAnsi="Times New Roman" w:cs="Times New Roman"/>
          <w:color w:val="000000"/>
          <w:sz w:val="24"/>
          <w:szCs w:val="24"/>
        </w:rPr>
        <w:t xml:space="preserve"> asumen de forma desproporcionada el acarreo y almacenamiento de agua potable ante los cortes continuos del servicio. La regularización del suministro libera tiempo de cuidado y lo reorienta hacia actividades educativas, productivas y de bienestar familiar. En coherencia con este enfoque, se establece una participación del 50% de mujeres en el comité de veeduría social para la fiscalización comunitaria de la obra y en los programas de capacitación sanitaria.</w:t>
      </w:r>
    </w:p>
    <w:p w14:paraId="358DF214" w14:textId="77777777" w:rsidR="001C73B5" w:rsidRPr="001C73B5" w:rsidRDefault="001C73B5" w:rsidP="001C73B5">
      <w:pPr>
        <w:spacing w:after="0" w:line="276" w:lineRule="auto"/>
        <w:ind w:firstLine="720"/>
        <w:jc w:val="both"/>
        <w:rPr>
          <w:rFonts w:ascii="Times New Roman" w:hAnsi="Times New Roman" w:cs="Times New Roman"/>
          <w:sz w:val="24"/>
          <w:szCs w:val="24"/>
        </w:rPr>
      </w:pPr>
    </w:p>
    <w:p w14:paraId="218CAC54" w14:textId="77777777" w:rsidR="001C73B5" w:rsidRPr="001C73B5" w:rsidRDefault="001C73B5" w:rsidP="001C73B5">
      <w:pPr>
        <w:spacing w:after="0" w:line="276" w:lineRule="auto"/>
        <w:ind w:firstLine="720"/>
        <w:jc w:val="both"/>
        <w:rPr>
          <w:rFonts w:ascii="Times New Roman" w:hAnsi="Times New Roman" w:cs="Times New Roman"/>
          <w:color w:val="000000"/>
          <w:sz w:val="24"/>
          <w:szCs w:val="24"/>
        </w:rPr>
      </w:pPr>
      <w:r w:rsidRPr="001C73B5">
        <w:rPr>
          <w:rFonts w:ascii="Times New Roman" w:eastAsia="Times New Roman" w:hAnsi="Times New Roman" w:cs="Times New Roman"/>
          <w:color w:val="000000"/>
          <w:sz w:val="24"/>
          <w:szCs w:val="24"/>
        </w:rPr>
        <w:t>El diseño participativo también incorpora la dimensión cultural y la equidad intergeneracional. La socialización del proyecto y los talleres de higiene hídrica deben respetar las costumbres y dinámicas organizativas de la población urbana y rural de la parroquia. A su vez, asegurar un sistema con una vida útil técnica proyectada de 30 años contribuye a la protección de las generaciones futuras y a la prevención de procesos de degradación del suelo. La sustitución de la red obsoleta elimina, además, el riesgo de exposición al asbesto cemento, especialmente relevante para niños y adolescentes.</w:t>
      </w:r>
    </w:p>
    <w:p w14:paraId="2CBBDBCC" w14:textId="77777777" w:rsidR="001C73B5" w:rsidRPr="001C73B5" w:rsidRDefault="001C73B5" w:rsidP="001C73B5">
      <w:pPr>
        <w:spacing w:after="0" w:line="276" w:lineRule="auto"/>
        <w:ind w:firstLine="720"/>
        <w:jc w:val="both"/>
        <w:rPr>
          <w:rFonts w:ascii="Times New Roman" w:hAnsi="Times New Roman" w:cs="Times New Roman"/>
          <w:sz w:val="24"/>
          <w:szCs w:val="24"/>
        </w:rPr>
      </w:pPr>
    </w:p>
    <w:p w14:paraId="3DEBED50" w14:textId="77777777" w:rsidR="001C73B5" w:rsidRPr="001C73B5" w:rsidRDefault="001C73B5" w:rsidP="001C73B5">
      <w:pPr>
        <w:spacing w:after="0" w:line="276" w:lineRule="auto"/>
        <w:ind w:firstLine="720"/>
        <w:jc w:val="both"/>
        <w:rPr>
          <w:rFonts w:ascii="Times New Roman" w:hAnsi="Times New Roman" w:cs="Times New Roman"/>
          <w:color w:val="000000"/>
          <w:sz w:val="24"/>
          <w:szCs w:val="24"/>
        </w:rPr>
      </w:pPr>
      <w:r w:rsidRPr="001C73B5">
        <w:rPr>
          <w:rFonts w:ascii="Times New Roman" w:eastAsia="Times New Roman" w:hAnsi="Times New Roman" w:cs="Times New Roman"/>
          <w:color w:val="000000"/>
          <w:sz w:val="24"/>
          <w:szCs w:val="24"/>
        </w:rPr>
        <w:lastRenderedPageBreak/>
        <w:t>Finalmente, la priorización del gasto público en este proyecto focaliza su impacto en grupos vulnerables reconocidos por la Constitución de la República del Ecuador. El artículo 35 establece atención prioritaria y especializada para personas adultas mayores, niñas, niños y adolescentes, mujeres embarazadas y personas con discapacidad, entre otros grupos. Dentro del área de influencia, la población perteneciente a los Grupos de Atención Prioritaria (GAP) asciende a 2,390 habitantes, equivalente al 36.77% del total de beneficiarios directos del proyecto (6,500 habitantes). Esta proporción se mantiene dentro del límite metodológico establecido, al no superar la población objetivo global del proyecto.</w:t>
      </w:r>
    </w:p>
    <w:p w14:paraId="1EFBE57D" w14:textId="77777777" w:rsidR="001C73B5" w:rsidRPr="001C73B5" w:rsidRDefault="001C73B5" w:rsidP="001C73B5">
      <w:pPr>
        <w:spacing w:after="0" w:line="276" w:lineRule="auto"/>
        <w:jc w:val="both"/>
        <w:rPr>
          <w:rFonts w:ascii="Times New Roman" w:hAnsi="Times New Roman" w:cs="Times New Roman"/>
          <w:sz w:val="24"/>
          <w:szCs w:val="24"/>
        </w:rPr>
      </w:pPr>
    </w:p>
    <w:p w14:paraId="409FB491" w14:textId="77777777" w:rsidR="001C73B5" w:rsidRPr="001C73B5" w:rsidRDefault="001C73B5" w:rsidP="001C73B5">
      <w:pPr>
        <w:spacing w:after="0" w:line="276" w:lineRule="auto"/>
        <w:jc w:val="both"/>
        <w:rPr>
          <w:rFonts w:ascii="Times New Roman" w:hAnsi="Times New Roman" w:cs="Times New Roman"/>
          <w:b/>
          <w:bCs/>
          <w:sz w:val="24"/>
          <w:szCs w:val="24"/>
        </w:rPr>
      </w:pPr>
      <w:r w:rsidRPr="001C73B5">
        <w:rPr>
          <w:rFonts w:ascii="Times New Roman" w:eastAsia="Times New Roman" w:hAnsi="Times New Roman" w:cs="Times New Roman"/>
          <w:b/>
          <w:bCs/>
          <w:color w:val="000000"/>
          <w:sz w:val="24"/>
          <w:szCs w:val="24"/>
        </w:rPr>
        <w:t>Tabla 14</w:t>
      </w:r>
    </w:p>
    <w:p w14:paraId="49DEF571" w14:textId="77777777" w:rsidR="001C73B5" w:rsidRPr="001C73B5" w:rsidRDefault="001C73B5" w:rsidP="001C73B5">
      <w:pPr>
        <w:spacing w:after="0" w:line="276" w:lineRule="auto"/>
        <w:jc w:val="both"/>
        <w:rPr>
          <w:rFonts w:ascii="Times New Roman" w:hAnsi="Times New Roman" w:cs="Times New Roman"/>
          <w:bCs/>
          <w:i/>
          <w:sz w:val="24"/>
          <w:szCs w:val="24"/>
        </w:rPr>
      </w:pPr>
      <w:r w:rsidRPr="001C73B5">
        <w:rPr>
          <w:rFonts w:ascii="Times New Roman" w:eastAsia="Times New Roman" w:hAnsi="Times New Roman" w:cs="Times New Roman"/>
          <w:i/>
          <w:iCs/>
          <w:color w:val="000000"/>
          <w:sz w:val="24"/>
          <w:szCs w:val="24"/>
        </w:rPr>
        <w:t>Desglose de grupos de atención prioritaria por género</w:t>
      </w:r>
    </w:p>
    <w:tbl>
      <w:tblPr>
        <w:tblStyle w:val="NormalGrid"/>
        <w:tblW w:w="0" w:type="auto"/>
        <w:jc w:val="center"/>
        <w:tblCellSpacing w:w="0" w:type="dxa"/>
        <w:tblBorders>
          <w:bottom w:val="single" w:sz="4" w:space="0" w:color="auto"/>
        </w:tblBorders>
        <w:tblLook w:val="04A0" w:firstRow="1" w:lastRow="0" w:firstColumn="1" w:lastColumn="0" w:noHBand="0" w:noVBand="1"/>
      </w:tblPr>
      <w:tblGrid>
        <w:gridCol w:w="3360"/>
        <w:gridCol w:w="2269"/>
        <w:gridCol w:w="2213"/>
        <w:gridCol w:w="1184"/>
      </w:tblGrid>
      <w:tr w:rsidR="001C73B5" w:rsidRPr="001C73B5" w14:paraId="54A04031" w14:textId="77777777" w:rsidTr="001C73B5">
        <w:trPr>
          <w:cantSplit/>
          <w:tblCellSpacing w:w="0" w:type="dxa"/>
          <w:jc w:val="center"/>
        </w:trPr>
        <w:tc>
          <w:tcPr>
            <w:tcW w:w="0" w:type="auto"/>
            <w:tcBorders>
              <w:top w:val="single" w:sz="4" w:space="0" w:color="auto"/>
              <w:bottom w:val="single" w:sz="4" w:space="0" w:color="auto"/>
            </w:tcBorders>
          </w:tcPr>
          <w:p w14:paraId="097AD6EE"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Grupo de Atención Prioritaria</w:t>
            </w:r>
          </w:p>
        </w:tc>
        <w:tc>
          <w:tcPr>
            <w:tcW w:w="0" w:type="auto"/>
            <w:tcBorders>
              <w:top w:val="single" w:sz="4" w:space="0" w:color="auto"/>
              <w:bottom w:val="single" w:sz="4" w:space="0" w:color="auto"/>
            </w:tcBorders>
          </w:tcPr>
          <w:p w14:paraId="48942AFF"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Beneficiarios (hombres)</w:t>
            </w:r>
          </w:p>
        </w:tc>
        <w:tc>
          <w:tcPr>
            <w:tcW w:w="0" w:type="auto"/>
            <w:tcBorders>
              <w:top w:val="single" w:sz="4" w:space="0" w:color="auto"/>
              <w:bottom w:val="single" w:sz="4" w:space="0" w:color="auto"/>
            </w:tcBorders>
          </w:tcPr>
          <w:p w14:paraId="77425DDD"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Beneficiarias (mujeres)</w:t>
            </w:r>
          </w:p>
        </w:tc>
        <w:tc>
          <w:tcPr>
            <w:tcW w:w="0" w:type="auto"/>
            <w:tcBorders>
              <w:top w:val="single" w:sz="4" w:space="0" w:color="auto"/>
              <w:bottom w:val="single" w:sz="4" w:space="0" w:color="auto"/>
            </w:tcBorders>
          </w:tcPr>
          <w:p w14:paraId="4817D056" w14:textId="77777777" w:rsidR="001C73B5" w:rsidRPr="001C73B5" w:rsidRDefault="001C73B5" w:rsidP="000D011E">
            <w:pPr>
              <w:spacing w:line="276" w:lineRule="auto"/>
              <w:jc w:val="both"/>
              <w:rPr>
                <w:rFonts w:ascii="Times New Roman" w:hAnsi="Times New Roman" w:cs="Times New Roman"/>
                <w:sz w:val="24"/>
                <w:szCs w:val="24"/>
              </w:rPr>
            </w:pPr>
            <w:proofErr w:type="gramStart"/>
            <w:r w:rsidRPr="001C73B5">
              <w:rPr>
                <w:rFonts w:ascii="Times New Roman" w:eastAsia="Times New Roman" w:hAnsi="Times New Roman" w:cs="Times New Roman"/>
                <w:color w:val="000000"/>
                <w:sz w:val="24"/>
                <w:szCs w:val="24"/>
              </w:rPr>
              <w:t>Total</w:t>
            </w:r>
            <w:proofErr w:type="gramEnd"/>
            <w:r w:rsidRPr="001C73B5">
              <w:rPr>
                <w:rFonts w:ascii="Times New Roman" w:eastAsia="Times New Roman" w:hAnsi="Times New Roman" w:cs="Times New Roman"/>
                <w:color w:val="000000"/>
                <w:sz w:val="24"/>
                <w:szCs w:val="24"/>
              </w:rPr>
              <w:t xml:space="preserve"> GAP</w:t>
            </w:r>
          </w:p>
        </w:tc>
      </w:tr>
      <w:tr w:rsidR="001C73B5" w:rsidRPr="001C73B5" w14:paraId="02EFC98B" w14:textId="77777777" w:rsidTr="001C73B5">
        <w:trPr>
          <w:cantSplit/>
          <w:tblCellSpacing w:w="0" w:type="dxa"/>
          <w:jc w:val="center"/>
        </w:trPr>
        <w:tc>
          <w:tcPr>
            <w:tcW w:w="0" w:type="auto"/>
          </w:tcPr>
          <w:p w14:paraId="22CB868C"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Jóvenes y niños (0-14 años)</w:t>
            </w:r>
          </w:p>
        </w:tc>
        <w:tc>
          <w:tcPr>
            <w:tcW w:w="0" w:type="auto"/>
          </w:tcPr>
          <w:p w14:paraId="74F56E2A"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730</w:t>
            </w:r>
          </w:p>
        </w:tc>
        <w:tc>
          <w:tcPr>
            <w:tcW w:w="0" w:type="auto"/>
          </w:tcPr>
          <w:p w14:paraId="06904223"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824</w:t>
            </w:r>
          </w:p>
        </w:tc>
        <w:tc>
          <w:tcPr>
            <w:tcW w:w="0" w:type="auto"/>
          </w:tcPr>
          <w:p w14:paraId="6745FC5F"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1,554</w:t>
            </w:r>
          </w:p>
        </w:tc>
      </w:tr>
      <w:tr w:rsidR="001C73B5" w:rsidRPr="001C73B5" w14:paraId="6AF706D3" w14:textId="77777777" w:rsidTr="001C73B5">
        <w:trPr>
          <w:cantSplit/>
          <w:tblCellSpacing w:w="0" w:type="dxa"/>
          <w:jc w:val="center"/>
        </w:trPr>
        <w:tc>
          <w:tcPr>
            <w:tcW w:w="0" w:type="auto"/>
          </w:tcPr>
          <w:p w14:paraId="441384BB"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Personas adultas mayores (65 años o más)</w:t>
            </w:r>
          </w:p>
        </w:tc>
        <w:tc>
          <w:tcPr>
            <w:tcW w:w="0" w:type="auto"/>
          </w:tcPr>
          <w:p w14:paraId="3BD7CC5C"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295</w:t>
            </w:r>
          </w:p>
        </w:tc>
        <w:tc>
          <w:tcPr>
            <w:tcW w:w="0" w:type="auto"/>
          </w:tcPr>
          <w:p w14:paraId="60C7A868"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332</w:t>
            </w:r>
          </w:p>
        </w:tc>
        <w:tc>
          <w:tcPr>
            <w:tcW w:w="0" w:type="auto"/>
          </w:tcPr>
          <w:p w14:paraId="66948674"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627</w:t>
            </w:r>
          </w:p>
        </w:tc>
      </w:tr>
      <w:tr w:rsidR="001C73B5" w:rsidRPr="001C73B5" w14:paraId="607D954C" w14:textId="77777777" w:rsidTr="001C73B5">
        <w:trPr>
          <w:cantSplit/>
          <w:tblCellSpacing w:w="0" w:type="dxa"/>
          <w:jc w:val="center"/>
        </w:trPr>
        <w:tc>
          <w:tcPr>
            <w:tcW w:w="0" w:type="auto"/>
          </w:tcPr>
          <w:p w14:paraId="21CDC211"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Personas con discapacidad</w:t>
            </w:r>
          </w:p>
        </w:tc>
        <w:tc>
          <w:tcPr>
            <w:tcW w:w="0" w:type="auto"/>
          </w:tcPr>
          <w:p w14:paraId="6D9AD1ED"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74</w:t>
            </w:r>
          </w:p>
        </w:tc>
        <w:tc>
          <w:tcPr>
            <w:tcW w:w="0" w:type="auto"/>
          </w:tcPr>
          <w:p w14:paraId="67746370"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90</w:t>
            </w:r>
          </w:p>
        </w:tc>
        <w:tc>
          <w:tcPr>
            <w:tcW w:w="0" w:type="auto"/>
          </w:tcPr>
          <w:p w14:paraId="7717A0B7"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164</w:t>
            </w:r>
          </w:p>
        </w:tc>
      </w:tr>
      <w:tr w:rsidR="001C73B5" w:rsidRPr="001C73B5" w14:paraId="060B7400" w14:textId="77777777" w:rsidTr="001C73B5">
        <w:trPr>
          <w:cantSplit/>
          <w:tblCellSpacing w:w="0" w:type="dxa"/>
          <w:jc w:val="center"/>
        </w:trPr>
        <w:tc>
          <w:tcPr>
            <w:tcW w:w="0" w:type="auto"/>
            <w:tcBorders>
              <w:bottom w:val="single" w:sz="4" w:space="0" w:color="auto"/>
            </w:tcBorders>
          </w:tcPr>
          <w:p w14:paraId="4CD57886"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Mujeres embarazadas (gestantes)</w:t>
            </w:r>
          </w:p>
        </w:tc>
        <w:tc>
          <w:tcPr>
            <w:tcW w:w="0" w:type="auto"/>
            <w:tcBorders>
              <w:bottom w:val="single" w:sz="4" w:space="0" w:color="auto"/>
            </w:tcBorders>
          </w:tcPr>
          <w:p w14:paraId="347D8672"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w:t>
            </w:r>
          </w:p>
        </w:tc>
        <w:tc>
          <w:tcPr>
            <w:tcW w:w="0" w:type="auto"/>
            <w:tcBorders>
              <w:bottom w:val="single" w:sz="4" w:space="0" w:color="auto"/>
            </w:tcBorders>
          </w:tcPr>
          <w:p w14:paraId="4E9B8E1E"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45</w:t>
            </w:r>
          </w:p>
        </w:tc>
        <w:tc>
          <w:tcPr>
            <w:tcW w:w="0" w:type="auto"/>
            <w:tcBorders>
              <w:bottom w:val="single" w:sz="4" w:space="0" w:color="auto"/>
            </w:tcBorders>
          </w:tcPr>
          <w:p w14:paraId="40A7F269"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45</w:t>
            </w:r>
          </w:p>
        </w:tc>
      </w:tr>
      <w:tr w:rsidR="001C73B5" w:rsidRPr="001C73B5" w14:paraId="2315EC6C" w14:textId="77777777" w:rsidTr="001C73B5">
        <w:trPr>
          <w:cantSplit/>
          <w:tblCellSpacing w:w="0" w:type="dxa"/>
          <w:jc w:val="center"/>
        </w:trPr>
        <w:tc>
          <w:tcPr>
            <w:tcW w:w="0" w:type="auto"/>
            <w:tcBorders>
              <w:top w:val="nil"/>
              <w:bottom w:val="nil"/>
            </w:tcBorders>
          </w:tcPr>
          <w:p w14:paraId="006DCCEA" w14:textId="77777777" w:rsidR="001C73B5" w:rsidRPr="001C73B5" w:rsidRDefault="001C73B5" w:rsidP="000D011E">
            <w:pPr>
              <w:spacing w:line="276" w:lineRule="auto"/>
              <w:jc w:val="both"/>
              <w:rPr>
                <w:rFonts w:ascii="Times New Roman" w:hAnsi="Times New Roman" w:cs="Times New Roman"/>
                <w:sz w:val="24"/>
                <w:szCs w:val="24"/>
              </w:rPr>
            </w:pPr>
            <w:proofErr w:type="gramStart"/>
            <w:r w:rsidRPr="001C73B5">
              <w:rPr>
                <w:rFonts w:ascii="Times New Roman" w:eastAsia="Times New Roman" w:hAnsi="Times New Roman" w:cs="Times New Roman"/>
                <w:b/>
                <w:color w:val="000000"/>
                <w:sz w:val="24"/>
                <w:szCs w:val="24"/>
              </w:rPr>
              <w:t>Total</w:t>
            </w:r>
            <w:proofErr w:type="gramEnd"/>
            <w:r w:rsidRPr="001C73B5">
              <w:rPr>
                <w:rFonts w:ascii="Times New Roman" w:eastAsia="Times New Roman" w:hAnsi="Times New Roman" w:cs="Times New Roman"/>
                <w:b/>
                <w:color w:val="000000"/>
                <w:sz w:val="24"/>
                <w:szCs w:val="24"/>
              </w:rPr>
              <w:t xml:space="preserve"> población GAP</w:t>
            </w:r>
          </w:p>
        </w:tc>
        <w:tc>
          <w:tcPr>
            <w:tcW w:w="0" w:type="auto"/>
            <w:tcBorders>
              <w:top w:val="nil"/>
              <w:bottom w:val="nil"/>
            </w:tcBorders>
          </w:tcPr>
          <w:p w14:paraId="0F5AE73B"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b/>
                <w:color w:val="000000"/>
                <w:sz w:val="24"/>
                <w:szCs w:val="24"/>
              </w:rPr>
              <w:t>1,099</w:t>
            </w:r>
          </w:p>
        </w:tc>
        <w:tc>
          <w:tcPr>
            <w:tcW w:w="0" w:type="auto"/>
            <w:tcBorders>
              <w:top w:val="nil"/>
              <w:bottom w:val="nil"/>
            </w:tcBorders>
          </w:tcPr>
          <w:p w14:paraId="2D657B15"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b/>
                <w:color w:val="000000"/>
                <w:sz w:val="24"/>
                <w:szCs w:val="24"/>
              </w:rPr>
              <w:t>1,291</w:t>
            </w:r>
          </w:p>
        </w:tc>
        <w:tc>
          <w:tcPr>
            <w:tcW w:w="0" w:type="auto"/>
            <w:tcBorders>
              <w:top w:val="nil"/>
              <w:bottom w:val="nil"/>
            </w:tcBorders>
          </w:tcPr>
          <w:p w14:paraId="292F9FE5" w14:textId="77777777" w:rsidR="001C73B5" w:rsidRPr="001C73B5" w:rsidRDefault="001C73B5" w:rsidP="000D011E">
            <w:pPr>
              <w:spacing w:line="276" w:lineRule="auto"/>
              <w:jc w:val="both"/>
              <w:rPr>
                <w:rFonts w:ascii="Times New Roman" w:hAnsi="Times New Roman" w:cs="Times New Roman"/>
                <w:sz w:val="24"/>
                <w:szCs w:val="24"/>
              </w:rPr>
            </w:pPr>
            <w:r w:rsidRPr="001C73B5">
              <w:rPr>
                <w:rFonts w:ascii="Times New Roman" w:eastAsia="Times New Roman" w:hAnsi="Times New Roman" w:cs="Times New Roman"/>
                <w:b/>
                <w:color w:val="000000"/>
                <w:sz w:val="24"/>
                <w:szCs w:val="24"/>
              </w:rPr>
              <w:t>2,390</w:t>
            </w:r>
          </w:p>
        </w:tc>
      </w:tr>
    </w:tbl>
    <w:p w14:paraId="1B1BAD5C" w14:textId="77777777" w:rsidR="001C73B5" w:rsidRPr="001C73B5" w:rsidRDefault="001C73B5" w:rsidP="001C73B5">
      <w:pPr>
        <w:spacing w:after="0" w:line="276" w:lineRule="auto"/>
        <w:jc w:val="both"/>
        <w:rPr>
          <w:rFonts w:ascii="Times New Roman" w:hAnsi="Times New Roman" w:cs="Times New Roman"/>
          <w:sz w:val="24"/>
          <w:szCs w:val="24"/>
        </w:rPr>
      </w:pPr>
    </w:p>
    <w:p w14:paraId="0FD67482" w14:textId="77777777" w:rsidR="001C73B5" w:rsidRPr="001C73B5" w:rsidRDefault="001C73B5" w:rsidP="001C73B5">
      <w:pPr>
        <w:spacing w:after="0" w:line="276" w:lineRule="auto"/>
        <w:jc w:val="both"/>
        <w:rPr>
          <w:rFonts w:ascii="Times New Roman" w:hAnsi="Times New Roman" w:cs="Times New Roman"/>
          <w:sz w:val="24"/>
          <w:szCs w:val="24"/>
        </w:rPr>
      </w:pPr>
      <w:r w:rsidRPr="001C73B5">
        <w:rPr>
          <w:rFonts w:ascii="Times New Roman" w:eastAsia="Times New Roman" w:hAnsi="Times New Roman" w:cs="Times New Roman"/>
          <w:b/>
          <w:color w:val="000000"/>
          <w:sz w:val="24"/>
          <w:szCs w:val="24"/>
        </w:rPr>
        <w:t>Fuente.</w:t>
      </w:r>
      <w:r w:rsidRPr="001C73B5">
        <w:rPr>
          <w:rFonts w:ascii="Times New Roman" w:eastAsia="Times New Roman" w:hAnsi="Times New Roman" w:cs="Times New Roman"/>
          <w:color w:val="000000"/>
          <w:sz w:val="24"/>
          <w:szCs w:val="24"/>
        </w:rPr>
        <w:t xml:space="preserve"> Proyección demográfica oficial del PDOT Loja 2023-2027 y Censo INEC 2022.</w:t>
      </w:r>
    </w:p>
    <w:p w14:paraId="31406566" w14:textId="77777777" w:rsidR="001C73B5" w:rsidRPr="001C73B5" w:rsidRDefault="001C73B5" w:rsidP="001C73B5">
      <w:pPr>
        <w:spacing w:after="0" w:line="276" w:lineRule="auto"/>
        <w:jc w:val="both"/>
        <w:rPr>
          <w:rFonts w:ascii="Times New Roman" w:eastAsia="Times New Roman" w:hAnsi="Times New Roman" w:cs="Times New Roman"/>
          <w:color w:val="000000"/>
          <w:sz w:val="24"/>
          <w:szCs w:val="24"/>
        </w:rPr>
      </w:pPr>
      <w:r w:rsidRPr="001C73B5">
        <w:rPr>
          <w:rFonts w:ascii="Times New Roman" w:eastAsia="Times New Roman" w:hAnsi="Times New Roman" w:cs="Times New Roman"/>
          <w:b/>
          <w:color w:val="000000"/>
          <w:sz w:val="24"/>
          <w:szCs w:val="24"/>
        </w:rPr>
        <w:t>Nota.</w:t>
      </w:r>
      <w:r w:rsidRPr="001C73B5">
        <w:rPr>
          <w:rFonts w:ascii="Times New Roman" w:eastAsia="Times New Roman" w:hAnsi="Times New Roman" w:cs="Times New Roman"/>
          <w:color w:val="000000"/>
          <w:sz w:val="24"/>
          <w:szCs w:val="24"/>
        </w:rPr>
        <w:t xml:space="preserve"> Esta matriz consolida la consistencia demográfica absoluta de los 2,390 individuos en condición de vulnerabilidad.</w:t>
      </w:r>
    </w:p>
    <w:p w14:paraId="0E7EC4CD" w14:textId="77777777" w:rsidR="001C73B5" w:rsidRPr="001C73B5" w:rsidRDefault="001C73B5" w:rsidP="001C73B5">
      <w:pPr>
        <w:spacing w:after="0" w:line="276" w:lineRule="auto"/>
        <w:jc w:val="both"/>
        <w:rPr>
          <w:rFonts w:ascii="Times New Roman" w:eastAsia="Times New Roman" w:hAnsi="Times New Roman" w:cs="Times New Roman"/>
          <w:color w:val="000000"/>
          <w:sz w:val="24"/>
          <w:szCs w:val="24"/>
        </w:rPr>
      </w:pPr>
    </w:p>
    <w:p w14:paraId="305093EC" w14:textId="77777777" w:rsidR="001C73B5" w:rsidRPr="001C73B5" w:rsidRDefault="001C73B5" w:rsidP="001C73B5">
      <w:pPr>
        <w:spacing w:after="0" w:line="276" w:lineRule="auto"/>
        <w:jc w:val="both"/>
        <w:rPr>
          <w:rFonts w:ascii="Times New Roman" w:hAnsi="Times New Roman" w:cs="Times New Roman"/>
          <w:b/>
          <w:bCs/>
          <w:color w:val="000000"/>
          <w:sz w:val="24"/>
          <w:szCs w:val="24"/>
        </w:rPr>
      </w:pPr>
      <w:r w:rsidRPr="001C73B5">
        <w:rPr>
          <w:rFonts w:ascii="Times New Roman" w:eastAsia="Times New Roman" w:hAnsi="Times New Roman" w:cs="Times New Roman"/>
          <w:b/>
          <w:bCs/>
          <w:color w:val="000000"/>
          <w:sz w:val="24"/>
          <w:szCs w:val="24"/>
        </w:rPr>
        <w:t>Anexos</w:t>
      </w:r>
    </w:p>
    <w:p w14:paraId="1E47A3B5" w14:textId="77777777" w:rsidR="001C73B5" w:rsidRPr="001C73B5" w:rsidRDefault="001C73B5" w:rsidP="001C73B5">
      <w:pPr>
        <w:spacing w:after="0" w:line="276" w:lineRule="auto"/>
        <w:ind w:left="-30"/>
        <w:jc w:val="both"/>
        <w:rPr>
          <w:rFonts w:ascii="Times New Roman" w:hAnsi="Times New Roman" w:cs="Times New Roman"/>
          <w:sz w:val="24"/>
          <w:szCs w:val="24"/>
        </w:rPr>
      </w:pPr>
      <w:bookmarkStart w:id="1" w:name="bm_9_3_5_metodología_de_estimació_30382a"/>
      <w:r w:rsidRPr="001C73B5">
        <w:rPr>
          <w:rFonts w:ascii="Times New Roman" w:eastAsia="Times New Roman" w:hAnsi="Times New Roman" w:cs="Times New Roman"/>
          <w:b/>
          <w:color w:val="000000"/>
          <w:sz w:val="24"/>
          <w:szCs w:val="24"/>
        </w:rPr>
        <w:t>9.3.5 Metodología de estimación demográfica y Grupos de Atención Prioritaria (GAP)</w:t>
      </w:r>
      <w:bookmarkEnd w:id="1"/>
    </w:p>
    <w:p w14:paraId="3D602637" w14:textId="77777777" w:rsidR="001C73B5" w:rsidRPr="001C73B5" w:rsidRDefault="001C73B5" w:rsidP="001C73B5">
      <w:pPr>
        <w:spacing w:after="0" w:line="276" w:lineRule="auto"/>
        <w:ind w:firstLine="720"/>
        <w:jc w:val="both"/>
        <w:rPr>
          <w:rFonts w:ascii="Times New Roman" w:hAnsi="Times New Roman" w:cs="Times New Roman"/>
          <w:color w:val="000000"/>
          <w:sz w:val="24"/>
          <w:szCs w:val="24"/>
        </w:rPr>
      </w:pPr>
      <w:r w:rsidRPr="001C73B5">
        <w:rPr>
          <w:rFonts w:ascii="Times New Roman" w:eastAsia="Times New Roman" w:hAnsi="Times New Roman" w:cs="Times New Roman"/>
          <w:color w:val="000000"/>
          <w:sz w:val="24"/>
          <w:szCs w:val="24"/>
        </w:rPr>
        <w:t xml:space="preserve">La cuantificación de los beneficiarios por género y por grupos específicos de atención prioritaria de la sección de sostenibilidad social se basa en una estimación demográfica de proporcionalidad indirecta. Este modelo aplica los pesos porcentuales y la estructura demográfica oficial de la parroquia </w:t>
      </w:r>
      <w:proofErr w:type="spellStart"/>
      <w:r w:rsidRPr="001C73B5">
        <w:rPr>
          <w:rFonts w:ascii="Times New Roman" w:eastAsia="Times New Roman" w:hAnsi="Times New Roman" w:cs="Times New Roman"/>
          <w:color w:val="000000"/>
          <w:sz w:val="24"/>
          <w:szCs w:val="24"/>
        </w:rPr>
        <w:t>Carigán</w:t>
      </w:r>
      <w:proofErr w:type="spellEnd"/>
      <w:r w:rsidRPr="001C73B5">
        <w:rPr>
          <w:rFonts w:ascii="Times New Roman" w:eastAsia="Times New Roman" w:hAnsi="Times New Roman" w:cs="Times New Roman"/>
          <w:color w:val="000000"/>
          <w:sz w:val="24"/>
          <w:szCs w:val="24"/>
        </w:rPr>
        <w:t>, derivados del Censo de Población y Vivienda 2022 (INEC), sobre la población objetivo de diseño del proyecto, fijada en 6,500 habitantes por la Unidad Municipal de Agua Potable y Alcantarillado de Loja (UMAPAL).</w:t>
      </w:r>
    </w:p>
    <w:p w14:paraId="2CA6EACE" w14:textId="77777777" w:rsidR="001C73B5" w:rsidRPr="001C73B5" w:rsidRDefault="001C73B5" w:rsidP="001C73B5">
      <w:pPr>
        <w:spacing w:after="0" w:line="276" w:lineRule="auto"/>
        <w:ind w:firstLine="720"/>
        <w:jc w:val="both"/>
        <w:rPr>
          <w:rFonts w:ascii="Times New Roman" w:hAnsi="Times New Roman" w:cs="Times New Roman"/>
          <w:sz w:val="24"/>
          <w:szCs w:val="24"/>
        </w:rPr>
      </w:pPr>
    </w:p>
    <w:p w14:paraId="1A8AA253" w14:textId="77777777" w:rsidR="001C73B5" w:rsidRPr="001C73B5" w:rsidRDefault="001C73B5" w:rsidP="001C73B5">
      <w:pPr>
        <w:spacing w:after="0" w:line="276" w:lineRule="auto"/>
        <w:ind w:firstLine="720"/>
        <w:jc w:val="both"/>
        <w:rPr>
          <w:rFonts w:ascii="Times New Roman" w:hAnsi="Times New Roman" w:cs="Times New Roman"/>
          <w:color w:val="000000"/>
          <w:sz w:val="24"/>
          <w:szCs w:val="24"/>
        </w:rPr>
      </w:pPr>
      <w:r w:rsidRPr="001C73B5">
        <w:rPr>
          <w:rFonts w:ascii="Times New Roman" w:eastAsia="Times New Roman" w:hAnsi="Times New Roman" w:cs="Times New Roman"/>
          <w:color w:val="000000"/>
          <w:sz w:val="24"/>
          <w:szCs w:val="24"/>
        </w:rPr>
        <w:t>Para garantizar la consistencia matemática del modelo y evitar duplicaciones en la contabilización de personas en condición de vulnerabilidad, se aplican las siguientes ecuaciones y parámetros de proporcionalidad.</w:t>
      </w:r>
    </w:p>
    <w:p w14:paraId="53821A8D" w14:textId="77777777" w:rsidR="001C73B5" w:rsidRPr="001C73B5" w:rsidRDefault="001C73B5" w:rsidP="001C73B5">
      <w:pPr>
        <w:spacing w:after="0" w:line="276" w:lineRule="auto"/>
        <w:jc w:val="both"/>
        <w:rPr>
          <w:rFonts w:ascii="Times New Roman" w:hAnsi="Times New Roman" w:cs="Times New Roman"/>
          <w:sz w:val="24"/>
          <w:szCs w:val="24"/>
        </w:rPr>
      </w:pPr>
    </w:p>
    <w:p w14:paraId="4141693E" w14:textId="77777777" w:rsidR="001C73B5" w:rsidRPr="001C73B5" w:rsidRDefault="001C73B5" w:rsidP="001C73B5">
      <w:pPr>
        <w:spacing w:before="240" w:after="0" w:line="276" w:lineRule="auto"/>
        <w:ind w:left="-30"/>
        <w:jc w:val="both"/>
        <w:rPr>
          <w:rFonts w:ascii="Times New Roman" w:hAnsi="Times New Roman" w:cs="Times New Roman"/>
          <w:sz w:val="24"/>
          <w:szCs w:val="24"/>
        </w:rPr>
      </w:pPr>
      <w:bookmarkStart w:id="2" w:name="bm_1_desagregación_por_género"/>
      <w:r w:rsidRPr="001C73B5">
        <w:rPr>
          <w:rFonts w:ascii="Times New Roman" w:eastAsia="Times New Roman" w:hAnsi="Times New Roman" w:cs="Times New Roman"/>
          <w:b/>
          <w:color w:val="000000"/>
          <w:sz w:val="24"/>
          <w:szCs w:val="24"/>
        </w:rPr>
        <w:t>1. Desagregación por género</w:t>
      </w:r>
      <w:bookmarkEnd w:id="2"/>
    </w:p>
    <w:p w14:paraId="056F3715"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lastRenderedPageBreak/>
        <w:t>Sea la población total de diseño:</w:t>
      </w:r>
    </w:p>
    <w:p w14:paraId="16A0E604"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=6,500</m:t>
          </m:r>
        </m:oMath>
      </m:oMathPara>
    </w:p>
    <w:p w14:paraId="35A4E293"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población femenina representa el 53.0% de la población de referencia. Por tanto:</w:t>
      </w:r>
    </w:p>
    <w:p w14:paraId="1194E0F2"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×0.530</m:t>
          </m:r>
        </m:oMath>
      </m:oMathPara>
    </w:p>
    <w:p w14:paraId="17865897"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Cambria Math"/>
              <w:color w:val="000000"/>
              <w:sz w:val="24"/>
              <w:szCs w:val="24"/>
            </w:rPr>
            <m:t>=6,500×0.530=3,445</m:t>
          </m:r>
        </m:oMath>
      </m:oMathPara>
    </w:p>
    <w:p w14:paraId="180166EF"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población masculina representa el 47.0% de la población de referencia. Por tanto:</w:t>
      </w:r>
    </w:p>
    <w:p w14:paraId="08D69CA5"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×0.470</m:t>
          </m:r>
        </m:oMath>
      </m:oMathPara>
    </w:p>
    <w:p w14:paraId="2C4413CD"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Cambria Math"/>
              <w:color w:val="000000"/>
              <w:sz w:val="24"/>
              <w:szCs w:val="24"/>
            </w:rPr>
            <m:t>=6,500×0.470=3,055</m:t>
          </m:r>
        </m:oMath>
      </m:oMathPara>
    </w:p>
    <w:p w14:paraId="4AB8593E" w14:textId="77777777" w:rsidR="001C73B5" w:rsidRPr="001C73B5" w:rsidRDefault="001C73B5" w:rsidP="001C73B5">
      <w:pPr>
        <w:spacing w:before="240" w:after="0" w:line="276" w:lineRule="auto"/>
        <w:ind w:left="-30"/>
        <w:jc w:val="both"/>
        <w:rPr>
          <w:rFonts w:ascii="Times New Roman" w:hAnsi="Times New Roman" w:cs="Times New Roman"/>
          <w:sz w:val="24"/>
          <w:szCs w:val="24"/>
        </w:rPr>
      </w:pPr>
    </w:p>
    <w:p w14:paraId="1D447B17" w14:textId="77777777" w:rsidR="001C73B5" w:rsidRPr="001C73B5" w:rsidRDefault="001C73B5" w:rsidP="001C73B5">
      <w:pPr>
        <w:spacing w:before="240" w:after="0" w:line="276" w:lineRule="auto"/>
        <w:ind w:left="-30"/>
        <w:jc w:val="both"/>
        <w:rPr>
          <w:rFonts w:ascii="Times New Roman" w:hAnsi="Times New Roman" w:cs="Times New Roman"/>
          <w:sz w:val="24"/>
          <w:szCs w:val="24"/>
        </w:rPr>
      </w:pPr>
      <w:bookmarkStart w:id="3" w:name="bm_2_cálculo_de_subgrupos_de_aten_a3fcd7"/>
      <w:r w:rsidRPr="001C73B5">
        <w:rPr>
          <w:rFonts w:ascii="Times New Roman" w:eastAsia="Times New Roman" w:hAnsi="Times New Roman" w:cs="Times New Roman"/>
          <w:b/>
          <w:color w:val="000000"/>
          <w:sz w:val="24"/>
          <w:szCs w:val="24"/>
        </w:rPr>
        <w:t>2. Cálculo de subgrupos de atención prioritaria</w:t>
      </w:r>
      <w:bookmarkEnd w:id="3"/>
    </w:p>
    <w:p w14:paraId="6732D37B"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categoría de infancia y adolescencia (0 a 14 años) representa el 23.91% de la estructura demográfica de referencia. En consecuencia:</w:t>
      </w:r>
    </w:p>
    <w:p w14:paraId="23E80361"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×0.2391</m:t>
          </m:r>
        </m:oMath>
      </m:oMathPara>
    </w:p>
    <w:p w14:paraId="16D67715"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Cambria Math"/>
              <w:color w:val="000000"/>
              <w:sz w:val="24"/>
              <w:szCs w:val="24"/>
            </w:rPr>
            <m:t>=6,500×0.2391≈1,554</m:t>
          </m:r>
        </m:oMath>
      </m:oMathPara>
    </w:p>
    <w:p w14:paraId="3CA3281C"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desagregación por sexo de este subgrupo corresponde a 730 hombres y 824 mujeres.</w:t>
      </w:r>
    </w:p>
    <w:p w14:paraId="5A469EF3"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categoría de personas adultas mayores (65 años o más) representa el 9.65% de la estructura demográfica de referencia. Por tanto:</w:t>
      </w:r>
    </w:p>
    <w:p w14:paraId="624CB5E1"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×0.0965</m:t>
          </m:r>
        </m:oMath>
      </m:oMathPara>
    </w:p>
    <w:p w14:paraId="33EA5E44"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Cambria Math"/>
              <w:color w:val="000000"/>
              <w:sz w:val="24"/>
              <w:szCs w:val="24"/>
            </w:rPr>
            <m:t>=6,500×0.0965≈627</m:t>
          </m:r>
        </m:oMath>
      </m:oMathPara>
    </w:p>
    <w:p w14:paraId="412F3543"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desagregación por sexo de este subgrupo corresponde a 295 hombres y 332 mujeres.</w:t>
      </w:r>
    </w:p>
    <w:p w14:paraId="4B1B2E05"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población con discapacidad representa una prevalencia estimada del 2.52%. En consecuencia:</w:t>
      </w:r>
    </w:p>
    <w:p w14:paraId="6CC1581F"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×0.0252</m:t>
          </m:r>
        </m:oMath>
      </m:oMathPara>
    </w:p>
    <w:p w14:paraId="505E8317"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Cambria Math"/>
              <w:color w:val="000000"/>
              <w:sz w:val="24"/>
              <w:szCs w:val="24"/>
            </w:rPr>
            <m:t>=6,500×0.0252≈164</m:t>
          </m:r>
        </m:oMath>
      </m:oMathPara>
    </w:p>
    <w:p w14:paraId="54D7DD80"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desagregación por sexo de este subgrupo corresponde a 74 hombres y 90 mujeres.</w:t>
      </w:r>
    </w:p>
    <w:p w14:paraId="785950A9"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lastRenderedPageBreak/>
        <w:t xml:space="preserve">En el caso de mujeres embarazadas y gestantes, el valor corresponde a la estimación de gestación activa del Centro de Salud de </w:t>
      </w:r>
      <w:proofErr w:type="spellStart"/>
      <w:r w:rsidRPr="001C73B5">
        <w:rPr>
          <w:rFonts w:ascii="Times New Roman" w:eastAsia="Times New Roman" w:hAnsi="Times New Roman" w:cs="Times New Roman"/>
          <w:color w:val="000000"/>
          <w:sz w:val="24"/>
          <w:szCs w:val="24"/>
        </w:rPr>
        <w:t>Carigán</w:t>
      </w:r>
      <w:proofErr w:type="spellEnd"/>
      <w:r w:rsidRPr="001C73B5">
        <w:rPr>
          <w:rFonts w:ascii="Times New Roman" w:eastAsia="Times New Roman" w:hAnsi="Times New Roman" w:cs="Times New Roman"/>
          <w:color w:val="000000"/>
          <w:sz w:val="24"/>
          <w:szCs w:val="24"/>
        </w:rPr>
        <w:t xml:space="preserve"> sobre el área de cobertura del proyecto:</w:t>
      </w:r>
    </w:p>
    <w:p w14:paraId="15786972"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Gestantes</m:t>
              </m:r>
            </m:sub>
          </m:sSub>
          <m:r>
            <m:rPr>
              <m:sty m:val="p"/>
            </m:rPr>
            <w:rPr>
              <w:rFonts w:ascii="Cambria Math" w:eastAsia="Cambria Math" w:hAnsi="Cambria Math" w:cs="Cambria Math"/>
              <w:color w:val="000000"/>
              <w:sz w:val="24"/>
              <w:szCs w:val="24"/>
            </w:rPr>
            <m:t>=45</m:t>
          </m:r>
        </m:oMath>
      </m:oMathPara>
    </w:p>
    <w:p w14:paraId="4771EC3E" w14:textId="77777777" w:rsidR="001C73B5" w:rsidRPr="001C73B5" w:rsidRDefault="001C73B5" w:rsidP="001C73B5">
      <w:pPr>
        <w:spacing w:before="240" w:after="0" w:line="276" w:lineRule="auto"/>
        <w:ind w:left="-30"/>
        <w:jc w:val="both"/>
        <w:rPr>
          <w:rFonts w:ascii="Times New Roman" w:hAnsi="Times New Roman" w:cs="Times New Roman"/>
          <w:sz w:val="24"/>
          <w:szCs w:val="24"/>
        </w:rPr>
      </w:pPr>
      <w:bookmarkStart w:id="4" w:name="bm_3_consistencia_demográfica_de_898fd1"/>
      <w:r w:rsidRPr="001C73B5">
        <w:rPr>
          <w:rFonts w:ascii="Times New Roman" w:eastAsia="Times New Roman" w:hAnsi="Times New Roman" w:cs="Times New Roman"/>
          <w:b/>
          <w:color w:val="000000"/>
          <w:sz w:val="24"/>
          <w:szCs w:val="24"/>
        </w:rPr>
        <w:t>3. Consistencia demográfica de la matriz vulnerable</w:t>
      </w:r>
      <w:bookmarkEnd w:id="4"/>
    </w:p>
    <w:p w14:paraId="7880D858"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La población total catalogada dentro de los Grupos de Atención Prioritaria es la sumatoria mutuamente excluyente de cada subgrupo:</w:t>
      </w:r>
    </w:p>
    <w:p w14:paraId="01F88F4D"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Gestantes</m:t>
              </m:r>
            </m:sub>
          </m:sSub>
        </m:oMath>
      </m:oMathPara>
    </w:p>
    <w:p w14:paraId="379E1CAB" w14:textId="77777777"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Sustituyendo los valores estimados:</w:t>
      </w:r>
    </w:p>
    <w:p w14:paraId="47BE9F98" w14:textId="77777777" w:rsidR="001C73B5" w:rsidRPr="001C73B5" w:rsidRDefault="001C73B5" w:rsidP="001C73B5">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Cambria Math"/>
              <w:color w:val="000000"/>
              <w:sz w:val="24"/>
              <w:szCs w:val="24"/>
            </w:rPr>
            <m:t>GA</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Cambria Math"/>
              <w:color w:val="000000"/>
              <w:sz w:val="24"/>
              <w:szCs w:val="24"/>
            </w:rPr>
            <m:t>=1,554+627+164+45=2,390</m:t>
          </m:r>
        </m:oMath>
      </m:oMathPara>
    </w:p>
    <w:p w14:paraId="1477F03B" w14:textId="4A9B7AA6" w:rsidR="001C73B5" w:rsidRPr="001C73B5" w:rsidRDefault="001C73B5" w:rsidP="001C73B5">
      <w:pPr>
        <w:spacing w:before="240" w:after="0" w:line="276" w:lineRule="auto"/>
        <w:jc w:val="both"/>
        <w:rPr>
          <w:rFonts w:ascii="Times New Roman" w:hAnsi="Times New Roman" w:cs="Times New Roman"/>
          <w:sz w:val="24"/>
          <w:szCs w:val="24"/>
        </w:rPr>
      </w:pPr>
      <w:r w:rsidRPr="001C73B5">
        <w:rPr>
          <w:rFonts w:ascii="Times New Roman" w:eastAsia="Times New Roman" w:hAnsi="Times New Roman" w:cs="Times New Roman"/>
          <w:color w:val="000000"/>
          <w:sz w:val="24"/>
          <w:szCs w:val="24"/>
        </w:rPr>
        <w:t>Este volumen representa el 36.77% del total de beneficiarios directos del proyecto, equivalente a 6,500 habitantes.</w:t>
      </w:r>
    </w:p>
    <w:p w14:paraId="5BC43625" w14:textId="76191166" w:rsidR="00700B94" w:rsidRDefault="00700B94" w:rsidP="00700B94">
      <w:pPr>
        <w:spacing w:before="240" w:after="0" w:line="240" w:lineRule="auto"/>
        <w:jc w:val="center"/>
        <w:rPr>
          <w:rFonts w:ascii="Times New Roman" w:hAnsi="Times New Roman" w:cs="Times New Roman"/>
          <w:b/>
          <w:bCs/>
          <w:sz w:val="24"/>
          <w:szCs w:val="24"/>
        </w:rPr>
      </w:pPr>
      <w:r w:rsidRPr="00700B94">
        <w:rPr>
          <w:rFonts w:ascii="Times New Roman" w:hAnsi="Times New Roman" w:cs="Times New Roman"/>
          <w:b/>
          <w:bCs/>
          <w:sz w:val="24"/>
          <w:szCs w:val="24"/>
        </w:rPr>
        <w:t>Anexos</w:t>
      </w:r>
    </w:p>
    <w:p w14:paraId="3FC790C0" w14:textId="3C1FB9A6" w:rsidR="00700B94" w:rsidRPr="00700B94" w:rsidRDefault="00700B94" w:rsidP="00700B94">
      <w:p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Anexo A.</w:t>
      </w:r>
    </w:p>
    <w:p w14:paraId="0F2CADC4" w14:textId="0C2698FB" w:rsidR="00700B94" w:rsidRPr="00700B94" w:rsidRDefault="00700B94" w:rsidP="00700B94">
      <w:pPr>
        <w:spacing w:after="0" w:line="360" w:lineRule="auto"/>
        <w:rPr>
          <w:rFonts w:ascii="Times New Roman" w:hAnsi="Times New Roman" w:cs="Times New Roman"/>
          <w:i/>
          <w:iCs/>
          <w:sz w:val="24"/>
          <w:szCs w:val="24"/>
        </w:rPr>
      </w:pPr>
      <w:r w:rsidRPr="00700B94">
        <w:rPr>
          <w:rFonts w:ascii="Times New Roman" w:hAnsi="Times New Roman" w:cs="Times New Roman"/>
          <w:i/>
          <w:iCs/>
          <w:sz w:val="24"/>
          <w:szCs w:val="24"/>
        </w:rPr>
        <w:t>Metodología de marco lógico</w:t>
      </w:r>
    </w:p>
    <w:p w14:paraId="4012E3F6"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Para la elaboración de la Matriz de Marco Lógico del presente proyecto, se tomó como referencia la metodología propuesta por Ortegón</w:t>
      </w:r>
      <w:r>
        <w:rPr>
          <w:rFonts w:ascii="Times New Roman" w:hAnsi="Times New Roman" w:cs="Times New Roman"/>
          <w:sz w:val="24"/>
          <w:szCs w:val="24"/>
        </w:rPr>
        <w:t xml:space="preserve"> et al.</w:t>
      </w:r>
      <w:r w:rsidRPr="006C7579">
        <w:rPr>
          <w:rFonts w:ascii="Times New Roman" w:hAnsi="Times New Roman" w:cs="Times New Roman"/>
          <w:sz w:val="24"/>
          <w:szCs w:val="24"/>
        </w:rPr>
        <w:t xml:space="preserve"> (2005) en el manual Metodología del marco lógico para la planificación, el seguimiento y la evaluación de proyectos y programas, publicado por la Comisión Económica para América Latina y el Caribe (CEPAL). Esta metodología orientó la identificación del problema central, la construcción del árbol de problemas y objetivos, así como la definición de los componentes, actividades, indicadores, medios de verificación y supuestos de la matriz.</w:t>
      </w:r>
    </w:p>
    <w:p w14:paraId="2FC03134" w14:textId="77777777" w:rsidR="00700B94" w:rsidRPr="00CB02E3" w:rsidRDefault="00700B94" w:rsidP="00700B94">
      <w:pPr>
        <w:spacing w:after="0" w:line="360" w:lineRule="auto"/>
        <w:rPr>
          <w:rFonts w:ascii="Times New Roman" w:hAnsi="Times New Roman" w:cs="Times New Roman"/>
          <w:b/>
          <w:bCs/>
          <w:i/>
          <w:iCs/>
          <w:sz w:val="24"/>
          <w:szCs w:val="24"/>
        </w:rPr>
      </w:pPr>
      <w:r w:rsidRPr="00CB02E3">
        <w:rPr>
          <w:rFonts w:ascii="Times New Roman" w:hAnsi="Times New Roman" w:cs="Times New Roman"/>
          <w:b/>
          <w:bCs/>
          <w:i/>
          <w:iCs/>
          <w:sz w:val="24"/>
          <w:szCs w:val="24"/>
        </w:rPr>
        <w:t>Identificación del problema y alternativas de solución</w:t>
      </w:r>
    </w:p>
    <w:p w14:paraId="7B2C73C0" w14:textId="77777777" w:rsidR="00700B94" w:rsidRDefault="00700B94" w:rsidP="00700B94">
      <w:pPr>
        <w:pStyle w:val="Prrafodelista"/>
        <w:numPr>
          <w:ilvl w:val="0"/>
          <w:numId w:val="2"/>
        </w:numPr>
        <w:spacing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t>Análisis de involucrados</w:t>
      </w:r>
    </w:p>
    <w:p w14:paraId="7361811C" w14:textId="77777777" w:rsid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 xml:space="preserve">El proyecto de mejoramiento del sistema de agua potable del barrio </w:t>
      </w:r>
      <w:proofErr w:type="spellStart"/>
      <w:r w:rsidRPr="00627222">
        <w:rPr>
          <w:rFonts w:ascii="Times New Roman" w:hAnsi="Times New Roman" w:cs="Times New Roman"/>
          <w:sz w:val="24"/>
          <w:szCs w:val="24"/>
        </w:rPr>
        <w:t>Carigán</w:t>
      </w:r>
      <w:proofErr w:type="spellEnd"/>
      <w:r w:rsidRPr="00627222">
        <w:rPr>
          <w:rFonts w:ascii="Times New Roman" w:hAnsi="Times New Roman" w:cs="Times New Roman"/>
          <w:sz w:val="24"/>
          <w:szCs w:val="24"/>
        </w:rPr>
        <w:t xml:space="preserve"> involucra a diversos actores que tienen relación directa e indirecta con la problemática identificada</w:t>
      </w:r>
      <w:r>
        <w:rPr>
          <w:rFonts w:ascii="Times New Roman" w:hAnsi="Times New Roman" w:cs="Times New Roman"/>
          <w:sz w:val="24"/>
          <w:szCs w:val="24"/>
        </w:rPr>
        <w:t xml:space="preserve">, detallados en la Tabla 4. </w:t>
      </w:r>
      <w:r w:rsidRPr="00627222">
        <w:rPr>
          <w:rFonts w:ascii="Times New Roman" w:hAnsi="Times New Roman" w:cs="Times New Roman"/>
          <w:sz w:val="24"/>
          <w:szCs w:val="24"/>
        </w:rPr>
        <w:t>Existe una relación de cooperación entre la población beneficiaria, el GAD Municipal de Loja y la UMAPAL, debido a que todos comparten el interés de garantizar un servicio eficiente y continuo. Asimismo, el Banco de Desarrollo del Ecuador constituye un actor estratégico para el</w:t>
      </w:r>
      <w:r>
        <w:rPr>
          <w:rFonts w:ascii="Times New Roman" w:hAnsi="Times New Roman" w:cs="Times New Roman"/>
          <w:sz w:val="24"/>
          <w:szCs w:val="24"/>
        </w:rPr>
        <w:t xml:space="preserve"> posible</w:t>
      </w:r>
      <w:r w:rsidRPr="00627222">
        <w:rPr>
          <w:rFonts w:ascii="Times New Roman" w:hAnsi="Times New Roman" w:cs="Times New Roman"/>
          <w:sz w:val="24"/>
          <w:szCs w:val="24"/>
        </w:rPr>
        <w:t xml:space="preserve"> financiamiento de las obras</w:t>
      </w:r>
      <w:r>
        <w:rPr>
          <w:rFonts w:ascii="Times New Roman" w:hAnsi="Times New Roman" w:cs="Times New Roman"/>
          <w:sz w:val="24"/>
          <w:szCs w:val="24"/>
        </w:rPr>
        <w:t>, por otro lado, dado que este tipo de procesos son de carácter participativo, la presencia</w:t>
      </w:r>
      <w:r w:rsidRPr="00627222">
        <w:rPr>
          <w:rFonts w:ascii="Times New Roman" w:hAnsi="Times New Roman" w:cs="Times New Roman"/>
          <w:sz w:val="24"/>
          <w:szCs w:val="24"/>
        </w:rPr>
        <w:t xml:space="preserve"> de la comunidad permitirá fortalecer la sostenibilidad del proyecto y reducir posibles conflictos durante su ejecución.</w:t>
      </w:r>
    </w:p>
    <w:p w14:paraId="7EA312D1" w14:textId="77777777" w:rsidR="00700B94" w:rsidRPr="00627222" w:rsidRDefault="00700B94" w:rsidP="00700B94">
      <w:pPr>
        <w:spacing w:after="0"/>
        <w:jc w:val="both"/>
        <w:rPr>
          <w:rFonts w:ascii="Times New Roman" w:hAnsi="Times New Roman" w:cs="Times New Roman"/>
          <w:b/>
          <w:bCs/>
          <w:sz w:val="24"/>
          <w:szCs w:val="24"/>
        </w:rPr>
      </w:pPr>
      <w:r w:rsidRPr="00627222">
        <w:rPr>
          <w:rFonts w:ascii="Times New Roman" w:hAnsi="Times New Roman" w:cs="Times New Roman"/>
          <w:b/>
          <w:bCs/>
          <w:sz w:val="24"/>
          <w:szCs w:val="24"/>
        </w:rPr>
        <w:t xml:space="preserve">Tabla </w:t>
      </w:r>
      <w:r>
        <w:rPr>
          <w:rFonts w:ascii="Times New Roman" w:hAnsi="Times New Roman" w:cs="Times New Roman"/>
          <w:b/>
          <w:bCs/>
          <w:sz w:val="24"/>
          <w:szCs w:val="24"/>
        </w:rPr>
        <w:t>4</w:t>
      </w:r>
    </w:p>
    <w:p w14:paraId="5115E1AC" w14:textId="77777777" w:rsidR="00700B94" w:rsidRDefault="00700B94" w:rsidP="00700B94">
      <w:pPr>
        <w:spacing w:after="0"/>
        <w:jc w:val="both"/>
        <w:rPr>
          <w:rFonts w:ascii="Times New Roman" w:hAnsi="Times New Roman" w:cs="Times New Roman"/>
          <w:i/>
          <w:iCs/>
          <w:sz w:val="24"/>
          <w:szCs w:val="24"/>
        </w:rPr>
      </w:pPr>
      <w:r>
        <w:rPr>
          <w:rFonts w:ascii="Times New Roman" w:hAnsi="Times New Roman" w:cs="Times New Roman"/>
          <w:i/>
          <w:iCs/>
          <w:sz w:val="24"/>
          <w:szCs w:val="24"/>
        </w:rPr>
        <w:lastRenderedPageBreak/>
        <w:t>Análisis de involucrados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40"/>
        <w:gridCol w:w="2556"/>
        <w:gridCol w:w="1417"/>
        <w:gridCol w:w="3213"/>
      </w:tblGrid>
      <w:tr w:rsidR="00700B94" w:rsidRPr="00627222" w14:paraId="6FDF2A00" w14:textId="77777777" w:rsidTr="00CD6FCB">
        <w:trPr>
          <w:trHeight w:val="564"/>
        </w:trPr>
        <w:tc>
          <w:tcPr>
            <w:tcW w:w="1019" w:type="pct"/>
            <w:tcBorders>
              <w:top w:val="single" w:sz="4" w:space="0" w:color="auto"/>
              <w:bottom w:val="single" w:sz="4" w:space="0" w:color="auto"/>
            </w:tcBorders>
            <w:vAlign w:val="center"/>
            <w:hideMark/>
          </w:tcPr>
          <w:p w14:paraId="4F7F662A"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Involucrados</w:t>
            </w:r>
          </w:p>
        </w:tc>
        <w:tc>
          <w:tcPr>
            <w:tcW w:w="1416" w:type="pct"/>
            <w:tcBorders>
              <w:top w:val="single" w:sz="4" w:space="0" w:color="auto"/>
              <w:bottom w:val="single" w:sz="4" w:space="0" w:color="auto"/>
            </w:tcBorders>
            <w:vAlign w:val="center"/>
            <w:hideMark/>
          </w:tcPr>
          <w:p w14:paraId="657F3B90"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Intereses y expectativas</w:t>
            </w:r>
          </w:p>
        </w:tc>
        <w:tc>
          <w:tcPr>
            <w:tcW w:w="785" w:type="pct"/>
            <w:tcBorders>
              <w:top w:val="single" w:sz="4" w:space="0" w:color="auto"/>
              <w:bottom w:val="single" w:sz="4" w:space="0" w:color="auto"/>
            </w:tcBorders>
            <w:vAlign w:val="center"/>
            <w:hideMark/>
          </w:tcPr>
          <w:p w14:paraId="5D1CE923"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Nivel de influencia</w:t>
            </w:r>
          </w:p>
        </w:tc>
        <w:tc>
          <w:tcPr>
            <w:tcW w:w="1780" w:type="pct"/>
            <w:tcBorders>
              <w:top w:val="single" w:sz="4" w:space="0" w:color="auto"/>
              <w:bottom w:val="single" w:sz="4" w:space="0" w:color="auto"/>
            </w:tcBorders>
            <w:vAlign w:val="center"/>
            <w:hideMark/>
          </w:tcPr>
          <w:p w14:paraId="3928DE26"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Participación y relación con el proyecto</w:t>
            </w:r>
          </w:p>
        </w:tc>
      </w:tr>
      <w:tr w:rsidR="00700B94" w:rsidRPr="00627222" w14:paraId="21D96E4E" w14:textId="77777777" w:rsidTr="00CD6FCB">
        <w:trPr>
          <w:trHeight w:val="1072"/>
        </w:trPr>
        <w:tc>
          <w:tcPr>
            <w:tcW w:w="1019" w:type="pct"/>
            <w:tcBorders>
              <w:top w:val="single" w:sz="4" w:space="0" w:color="auto"/>
            </w:tcBorders>
            <w:vAlign w:val="center"/>
            <w:hideMark/>
          </w:tcPr>
          <w:p w14:paraId="5F5B25CE"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 xml:space="preserve">Habitantes del barrio </w:t>
            </w:r>
            <w:proofErr w:type="spellStart"/>
            <w:r w:rsidRPr="00627222">
              <w:rPr>
                <w:rFonts w:ascii="Times New Roman" w:hAnsi="Times New Roman" w:cs="Times New Roman"/>
              </w:rPr>
              <w:t>Carigán</w:t>
            </w:r>
            <w:proofErr w:type="spellEnd"/>
          </w:p>
        </w:tc>
        <w:tc>
          <w:tcPr>
            <w:tcW w:w="1416" w:type="pct"/>
            <w:tcBorders>
              <w:top w:val="single" w:sz="4" w:space="0" w:color="auto"/>
            </w:tcBorders>
            <w:hideMark/>
          </w:tcPr>
          <w:p w14:paraId="46C62794"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Disponer de un servicio continuo y de calidad, reducir gastos adicionales y mejorar las condiciones sanitarias</w:t>
            </w:r>
          </w:p>
        </w:tc>
        <w:tc>
          <w:tcPr>
            <w:tcW w:w="785" w:type="pct"/>
            <w:tcBorders>
              <w:top w:val="single" w:sz="4" w:space="0" w:color="auto"/>
            </w:tcBorders>
            <w:vAlign w:val="center"/>
            <w:hideMark/>
          </w:tcPr>
          <w:p w14:paraId="3AE9272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tcBorders>
              <w:top w:val="single" w:sz="4" w:space="0" w:color="auto"/>
            </w:tcBorders>
            <w:vAlign w:val="center"/>
            <w:hideMark/>
          </w:tcPr>
          <w:p w14:paraId="1D8F69C5"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Beneficiarios directos; participación en socialización y seguimiento</w:t>
            </w:r>
          </w:p>
        </w:tc>
      </w:tr>
      <w:tr w:rsidR="00700B94" w:rsidRPr="00627222" w14:paraId="69D0CFE2" w14:textId="77777777" w:rsidTr="00CD6FCB">
        <w:trPr>
          <w:trHeight w:val="832"/>
        </w:trPr>
        <w:tc>
          <w:tcPr>
            <w:tcW w:w="1019" w:type="pct"/>
            <w:vAlign w:val="center"/>
            <w:hideMark/>
          </w:tcPr>
          <w:p w14:paraId="2D69619B"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Municipio de Loja / UMAPAL</w:t>
            </w:r>
          </w:p>
        </w:tc>
        <w:tc>
          <w:tcPr>
            <w:tcW w:w="1416" w:type="pct"/>
            <w:hideMark/>
          </w:tcPr>
          <w:p w14:paraId="3ED244C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Garantizar la prestación eficiente del servicio y mejorar la infraestructura existente</w:t>
            </w:r>
          </w:p>
        </w:tc>
        <w:tc>
          <w:tcPr>
            <w:tcW w:w="785" w:type="pct"/>
            <w:vAlign w:val="center"/>
            <w:hideMark/>
          </w:tcPr>
          <w:p w14:paraId="23A5A5D1"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24D711C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Responsable de la operación y mantenimiento del sistema</w:t>
            </w:r>
          </w:p>
        </w:tc>
      </w:tr>
      <w:tr w:rsidR="00700B94" w:rsidRPr="00627222" w14:paraId="011DC0AF" w14:textId="77777777" w:rsidTr="00CD6FCB">
        <w:trPr>
          <w:trHeight w:val="699"/>
        </w:trPr>
        <w:tc>
          <w:tcPr>
            <w:tcW w:w="1019" w:type="pct"/>
            <w:vAlign w:val="center"/>
            <w:hideMark/>
          </w:tcPr>
          <w:p w14:paraId="0AC408D7"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Gobierno Autónomo Descentralizado Municipal de Loja</w:t>
            </w:r>
          </w:p>
        </w:tc>
        <w:tc>
          <w:tcPr>
            <w:tcW w:w="1416" w:type="pct"/>
            <w:hideMark/>
          </w:tcPr>
          <w:p w14:paraId="1D93DDA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 calidad de vida de la población y cumplir con las competencias de agua potable</w:t>
            </w:r>
          </w:p>
        </w:tc>
        <w:tc>
          <w:tcPr>
            <w:tcW w:w="785" w:type="pct"/>
            <w:vAlign w:val="center"/>
            <w:hideMark/>
          </w:tcPr>
          <w:p w14:paraId="4CA9FB7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30211B3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Entidad ejecutora del proyecto</w:t>
            </w:r>
          </w:p>
        </w:tc>
      </w:tr>
      <w:tr w:rsidR="00700B94" w:rsidRPr="00627222" w14:paraId="73518933" w14:textId="77777777" w:rsidTr="00CD6FCB">
        <w:trPr>
          <w:trHeight w:val="841"/>
        </w:trPr>
        <w:tc>
          <w:tcPr>
            <w:tcW w:w="1019" w:type="pct"/>
            <w:vAlign w:val="center"/>
            <w:hideMark/>
          </w:tcPr>
          <w:p w14:paraId="6D75B9C9"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Secretaría Nacional de Planificación</w:t>
            </w:r>
          </w:p>
        </w:tc>
        <w:tc>
          <w:tcPr>
            <w:tcW w:w="1416" w:type="pct"/>
            <w:hideMark/>
          </w:tcPr>
          <w:p w14:paraId="5865476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Impulsar proyectos de inversión pública orientados al desarrollo territorial</w:t>
            </w:r>
          </w:p>
        </w:tc>
        <w:tc>
          <w:tcPr>
            <w:tcW w:w="785" w:type="pct"/>
            <w:vAlign w:val="center"/>
            <w:hideMark/>
          </w:tcPr>
          <w:p w14:paraId="4071620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58CAB368"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Seguimiento y alineación con instrumentos de planificación</w:t>
            </w:r>
          </w:p>
        </w:tc>
      </w:tr>
      <w:tr w:rsidR="00700B94" w:rsidRPr="00627222" w14:paraId="1BA4BB27" w14:textId="77777777" w:rsidTr="00CD6FCB">
        <w:trPr>
          <w:trHeight w:val="1125"/>
        </w:trPr>
        <w:tc>
          <w:tcPr>
            <w:tcW w:w="1019" w:type="pct"/>
            <w:vAlign w:val="center"/>
            <w:hideMark/>
          </w:tcPr>
          <w:p w14:paraId="1A09635D"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Banco de Desarrollo del Ecuador (BDE)</w:t>
            </w:r>
          </w:p>
        </w:tc>
        <w:tc>
          <w:tcPr>
            <w:tcW w:w="1416" w:type="pct"/>
            <w:hideMark/>
          </w:tcPr>
          <w:p w14:paraId="7535A7BF"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Financiar proyectos de infraestructura básica y fortalecer los servicios públicos</w:t>
            </w:r>
          </w:p>
        </w:tc>
        <w:tc>
          <w:tcPr>
            <w:tcW w:w="785" w:type="pct"/>
            <w:vAlign w:val="center"/>
            <w:hideMark/>
          </w:tcPr>
          <w:p w14:paraId="267136BC"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604D96F2"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Posible fuente de financiamiento</w:t>
            </w:r>
          </w:p>
        </w:tc>
      </w:tr>
      <w:tr w:rsidR="00700B94" w:rsidRPr="00627222" w14:paraId="34AF647B" w14:textId="77777777" w:rsidTr="00CD6FCB">
        <w:trPr>
          <w:trHeight w:val="1266"/>
        </w:trPr>
        <w:tc>
          <w:tcPr>
            <w:tcW w:w="1019" w:type="pct"/>
            <w:vAlign w:val="center"/>
            <w:hideMark/>
          </w:tcPr>
          <w:p w14:paraId="19AC769A"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Ministerio del Ambiente, Agua y Transición Ecológica (MAATE)</w:t>
            </w:r>
          </w:p>
        </w:tc>
        <w:tc>
          <w:tcPr>
            <w:tcW w:w="1416" w:type="pct"/>
            <w:hideMark/>
          </w:tcPr>
          <w:p w14:paraId="084EA49A"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Promover una adecuada gestión de los recursos hídricos y asegurar la calidad del agua</w:t>
            </w:r>
          </w:p>
        </w:tc>
        <w:tc>
          <w:tcPr>
            <w:tcW w:w="785" w:type="pct"/>
            <w:vAlign w:val="center"/>
            <w:hideMark/>
          </w:tcPr>
          <w:p w14:paraId="4C0D535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36429DE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Regulación y control</w:t>
            </w:r>
          </w:p>
        </w:tc>
      </w:tr>
      <w:tr w:rsidR="00700B94" w:rsidRPr="00627222" w14:paraId="0DA20D93" w14:textId="77777777" w:rsidTr="00CD6FCB">
        <w:trPr>
          <w:trHeight w:val="703"/>
        </w:trPr>
        <w:tc>
          <w:tcPr>
            <w:tcW w:w="1019" w:type="pct"/>
            <w:tcBorders>
              <w:bottom w:val="single" w:sz="4" w:space="0" w:color="auto"/>
            </w:tcBorders>
            <w:vAlign w:val="center"/>
            <w:hideMark/>
          </w:tcPr>
          <w:p w14:paraId="47AE8ED0"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Empresas contratistas y fiscalización</w:t>
            </w:r>
          </w:p>
        </w:tc>
        <w:tc>
          <w:tcPr>
            <w:tcW w:w="1416" w:type="pct"/>
            <w:tcBorders>
              <w:bottom w:val="single" w:sz="4" w:space="0" w:color="auto"/>
            </w:tcBorders>
            <w:hideMark/>
          </w:tcPr>
          <w:p w14:paraId="0EA98A0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Ejecutar las obras de acuerdo con las especificaciones técnicas</w:t>
            </w:r>
          </w:p>
        </w:tc>
        <w:tc>
          <w:tcPr>
            <w:tcW w:w="785" w:type="pct"/>
            <w:tcBorders>
              <w:bottom w:val="single" w:sz="4" w:space="0" w:color="auto"/>
            </w:tcBorders>
            <w:vAlign w:val="center"/>
            <w:hideMark/>
          </w:tcPr>
          <w:p w14:paraId="1920AE1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bottom w:val="single" w:sz="4" w:space="0" w:color="auto"/>
            </w:tcBorders>
            <w:vAlign w:val="center"/>
            <w:hideMark/>
          </w:tcPr>
          <w:p w14:paraId="15C3A51D"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Participación durante la fase de construcción</w:t>
            </w:r>
          </w:p>
        </w:tc>
      </w:tr>
      <w:tr w:rsidR="00700B94" w:rsidRPr="00627222" w14:paraId="2D73271B" w14:textId="77777777" w:rsidTr="00CD6FCB">
        <w:trPr>
          <w:trHeight w:val="643"/>
        </w:trPr>
        <w:tc>
          <w:tcPr>
            <w:tcW w:w="1019" w:type="pct"/>
            <w:tcBorders>
              <w:top w:val="single" w:sz="4" w:space="0" w:color="auto"/>
              <w:bottom w:val="single" w:sz="4" w:space="0" w:color="auto"/>
            </w:tcBorders>
            <w:vAlign w:val="center"/>
            <w:hideMark/>
          </w:tcPr>
          <w:p w14:paraId="1CEF712F"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Organizaciones barriales y comunidad</w:t>
            </w:r>
          </w:p>
        </w:tc>
        <w:tc>
          <w:tcPr>
            <w:tcW w:w="1416" w:type="pct"/>
            <w:tcBorders>
              <w:top w:val="single" w:sz="4" w:space="0" w:color="auto"/>
              <w:bottom w:val="single" w:sz="4" w:space="0" w:color="auto"/>
            </w:tcBorders>
            <w:hideMark/>
          </w:tcPr>
          <w:p w14:paraId="28D5D51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las condiciones de vida y participar en la toma de decisiones</w:t>
            </w:r>
          </w:p>
        </w:tc>
        <w:tc>
          <w:tcPr>
            <w:tcW w:w="785" w:type="pct"/>
            <w:tcBorders>
              <w:top w:val="single" w:sz="4" w:space="0" w:color="auto"/>
              <w:bottom w:val="single" w:sz="4" w:space="0" w:color="auto"/>
            </w:tcBorders>
            <w:vAlign w:val="center"/>
            <w:hideMark/>
          </w:tcPr>
          <w:p w14:paraId="2E5BC17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top w:val="single" w:sz="4" w:space="0" w:color="auto"/>
              <w:bottom w:val="single" w:sz="4" w:space="0" w:color="auto"/>
            </w:tcBorders>
            <w:vAlign w:val="center"/>
            <w:hideMark/>
          </w:tcPr>
          <w:p w14:paraId="1119FFB3"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Apoyo en socialización y control ciudadano</w:t>
            </w:r>
          </w:p>
        </w:tc>
      </w:tr>
    </w:tbl>
    <w:p w14:paraId="35B00FAD"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del problema</w:t>
      </w:r>
    </w:p>
    <w:p w14:paraId="3E5623A8"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 xml:space="preserve">Mediante reuniones con los habitantes del barrio </w:t>
      </w:r>
      <w:proofErr w:type="spellStart"/>
      <w:r w:rsidRPr="00627222">
        <w:rPr>
          <w:rFonts w:ascii="Times New Roman" w:hAnsi="Times New Roman" w:cs="Times New Roman"/>
          <w:sz w:val="24"/>
          <w:szCs w:val="24"/>
        </w:rPr>
        <w:t>Carigán</w:t>
      </w:r>
      <w:proofErr w:type="spellEnd"/>
      <w:r w:rsidRPr="00627222">
        <w:rPr>
          <w:rFonts w:ascii="Times New Roman" w:hAnsi="Times New Roman" w:cs="Times New Roman"/>
          <w:sz w:val="24"/>
          <w:szCs w:val="24"/>
        </w:rPr>
        <w:t xml:space="preserve"> y el análisis de la situación actual del sistema de abastecimiento, se identificó como problema central la deficiente calidad y continuidad del servicio de agua potable en los hogares del barrio </w:t>
      </w:r>
      <w:proofErr w:type="spellStart"/>
      <w:r w:rsidRPr="00627222">
        <w:rPr>
          <w:rFonts w:ascii="Times New Roman" w:hAnsi="Times New Roman" w:cs="Times New Roman"/>
          <w:sz w:val="24"/>
          <w:szCs w:val="24"/>
        </w:rPr>
        <w:t>Carigán</w:t>
      </w:r>
      <w:proofErr w:type="spellEnd"/>
      <w:r w:rsidRPr="00627222">
        <w:rPr>
          <w:rFonts w:ascii="Times New Roman" w:hAnsi="Times New Roman" w:cs="Times New Roman"/>
          <w:sz w:val="24"/>
          <w:szCs w:val="24"/>
        </w:rPr>
        <w:t>, ciudad de Loja</w:t>
      </w:r>
      <w:r>
        <w:rPr>
          <w:rFonts w:ascii="Times New Roman" w:hAnsi="Times New Roman" w:cs="Times New Roman"/>
          <w:sz w:val="24"/>
          <w:szCs w:val="24"/>
        </w:rPr>
        <w:t>, evidenciados en la Figura 2</w:t>
      </w:r>
      <w:r w:rsidRPr="00627222">
        <w:rPr>
          <w:rFonts w:ascii="Times New Roman" w:hAnsi="Times New Roman" w:cs="Times New Roman"/>
          <w:sz w:val="24"/>
          <w:szCs w:val="24"/>
        </w:rPr>
        <w:t>.</w:t>
      </w:r>
    </w:p>
    <w:p w14:paraId="09A2CCA3"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Esta problemática se origina principalmente por el deterioro de la red de distribución de agua potable, asociado a problemas en el diseño de las tuberías, el cumplimiento de su vida útil, la vulnerabilidad del terreno ante lluvias y deslizamientos y el desconocimiento sobre mejoras en las instalaciones internas.</w:t>
      </w:r>
    </w:p>
    <w:p w14:paraId="6CD86201" w14:textId="2821E7F4" w:rsidR="00700B94" w:rsidRP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lastRenderedPageBreak/>
        <w:t>Como consecuencia, se presentan interrupciones frecuentes del servicio, almacenamiento del agua en recipientes inadecuados, incremento de los gastos familiares por compra de agua en bidones o contratación de cisternas, mayor riesgo de enfermedades y una creciente inconformidad de la población con las instituciones responsables.</w:t>
      </w:r>
    </w:p>
    <w:p w14:paraId="4434AFEE" w14:textId="77777777" w:rsidR="00700B94" w:rsidRPr="00627222" w:rsidRDefault="00700B94" w:rsidP="00700B9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Figura 2</w:t>
      </w:r>
    </w:p>
    <w:p w14:paraId="344E2922" w14:textId="77777777" w:rsidR="00700B94" w:rsidRDefault="00700B94" w:rsidP="00700B94">
      <w:pPr>
        <w:spacing w:after="0" w:line="360" w:lineRule="auto"/>
        <w:jc w:val="both"/>
        <w:rPr>
          <w:rFonts w:ascii="Times New Roman" w:hAnsi="Times New Roman" w:cs="Times New Roman"/>
          <w:i/>
          <w:iCs/>
          <w:sz w:val="24"/>
          <w:szCs w:val="24"/>
        </w:rPr>
      </w:pPr>
      <w:r w:rsidRPr="00627222">
        <w:rPr>
          <w:rFonts w:ascii="Times New Roman" w:hAnsi="Times New Roman" w:cs="Times New Roman"/>
          <w:i/>
          <w:iCs/>
          <w:sz w:val="24"/>
          <w:szCs w:val="24"/>
        </w:rPr>
        <w:t>Árbol de problemas</w:t>
      </w:r>
    </w:p>
    <w:p w14:paraId="358CD7DE" w14:textId="77777777" w:rsidR="00700B94" w:rsidRPr="00627222" w:rsidRDefault="00700B94" w:rsidP="00700B94">
      <w:pPr>
        <w:jc w:val="both"/>
        <w:rPr>
          <w:rFonts w:ascii="Times New Roman" w:hAnsi="Times New Roman" w:cs="Times New Roman"/>
          <w:i/>
          <w:iCs/>
          <w:sz w:val="24"/>
          <w:szCs w:val="24"/>
        </w:rPr>
      </w:pPr>
      <w:r>
        <w:rPr>
          <w:noProof/>
        </w:rPr>
        <w:drawing>
          <wp:inline distT="0" distB="0" distL="0" distR="0" wp14:anchorId="594AB025" wp14:editId="21545BCD">
            <wp:extent cx="5725668" cy="27432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08" t="16805" r="1078" b="16897"/>
                    <a:stretch/>
                  </pic:blipFill>
                  <pic:spPr bwMode="auto">
                    <a:xfrm>
                      <a:off x="0" y="0"/>
                      <a:ext cx="5763154" cy="2761160"/>
                    </a:xfrm>
                    <a:prstGeom prst="rect">
                      <a:avLst/>
                    </a:prstGeom>
                    <a:noFill/>
                    <a:ln>
                      <a:noFill/>
                    </a:ln>
                    <a:extLst>
                      <a:ext uri="{53640926-AAD7-44D8-BBD7-CCE9431645EC}">
                        <a14:shadowObscured xmlns:a14="http://schemas.microsoft.com/office/drawing/2010/main"/>
                      </a:ext>
                    </a:extLst>
                  </pic:spPr>
                </pic:pic>
              </a:graphicData>
            </a:graphic>
          </wp:inline>
        </w:drawing>
      </w:r>
    </w:p>
    <w:p w14:paraId="7742234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 objetivos</w:t>
      </w:r>
    </w:p>
    <w:p w14:paraId="3F51685D" w14:textId="77777777" w:rsidR="00700B94" w:rsidRDefault="00700B94" w:rsidP="00700B94">
      <w:pPr>
        <w:spacing w:after="0" w:line="360" w:lineRule="auto"/>
        <w:jc w:val="both"/>
        <w:rPr>
          <w:rFonts w:ascii="Times New Roman" w:hAnsi="Times New Roman" w:cs="Times New Roman"/>
          <w:sz w:val="24"/>
          <w:szCs w:val="24"/>
        </w:rPr>
      </w:pPr>
      <w:r w:rsidRPr="00FD66B3">
        <w:rPr>
          <w:rFonts w:ascii="Times New Roman" w:hAnsi="Times New Roman" w:cs="Times New Roman"/>
          <w:sz w:val="24"/>
          <w:szCs w:val="24"/>
        </w:rPr>
        <w:t xml:space="preserve">El análisis de objetivos consiste en convertir las situaciones negativas identificadas en el árbol de problemas en situaciones deseadas, expresadas de manera positiva. Este proceso permite definir el estado futuro que se espera alcanzar con la intervención propuesta, tal como se muestra en la Figura </w:t>
      </w:r>
      <w:r>
        <w:rPr>
          <w:rFonts w:ascii="Times New Roman" w:hAnsi="Times New Roman" w:cs="Times New Roman"/>
          <w:sz w:val="24"/>
          <w:szCs w:val="24"/>
        </w:rPr>
        <w:t>3</w:t>
      </w:r>
      <w:r w:rsidRPr="00FD66B3">
        <w:rPr>
          <w:rFonts w:ascii="Times New Roman" w:hAnsi="Times New Roman" w:cs="Times New Roman"/>
          <w:sz w:val="24"/>
          <w:szCs w:val="24"/>
        </w:rPr>
        <w:t>.</w:t>
      </w:r>
    </w:p>
    <w:p w14:paraId="311D8988" w14:textId="77777777"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Figura </w:t>
      </w:r>
      <w:r>
        <w:rPr>
          <w:rFonts w:ascii="Times New Roman" w:hAnsi="Times New Roman" w:cs="Times New Roman"/>
          <w:b/>
          <w:bCs/>
          <w:sz w:val="24"/>
          <w:szCs w:val="24"/>
        </w:rPr>
        <w:t>3</w:t>
      </w:r>
    </w:p>
    <w:p w14:paraId="553206C3"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 xml:space="preserve">Árbol de objetivos </w:t>
      </w:r>
    </w:p>
    <w:p w14:paraId="1C490C3D" w14:textId="6076C225" w:rsidR="00700B94" w:rsidRPr="00700B94" w:rsidRDefault="00700B94" w:rsidP="00700B94">
      <w:pPr>
        <w:rPr>
          <w:rFonts w:ascii="Times New Roman" w:hAnsi="Times New Roman" w:cs="Times New Roman"/>
          <w:i/>
          <w:iCs/>
          <w:sz w:val="24"/>
          <w:szCs w:val="24"/>
        </w:rPr>
      </w:pPr>
      <w:r>
        <w:rPr>
          <w:noProof/>
        </w:rPr>
        <w:lastRenderedPageBreak/>
        <w:drawing>
          <wp:inline distT="0" distB="0" distL="0" distR="0" wp14:anchorId="3C529194" wp14:editId="46A7A6E5">
            <wp:extent cx="5691505" cy="2690446"/>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10" t="12316" r="1507" b="12192"/>
                    <a:stretch/>
                  </pic:blipFill>
                  <pic:spPr bwMode="auto">
                    <a:xfrm>
                      <a:off x="0" y="0"/>
                      <a:ext cx="5707582" cy="2698046"/>
                    </a:xfrm>
                    <a:prstGeom prst="rect">
                      <a:avLst/>
                    </a:prstGeom>
                    <a:noFill/>
                    <a:ln>
                      <a:noFill/>
                    </a:ln>
                    <a:extLst>
                      <a:ext uri="{53640926-AAD7-44D8-BBD7-CCE9431645EC}">
                        <a14:shadowObscured xmlns:a14="http://schemas.microsoft.com/office/drawing/2010/main"/>
                      </a:ext>
                    </a:extLst>
                  </pic:spPr>
                </pic:pic>
              </a:graphicData>
            </a:graphic>
          </wp:inline>
        </w:drawing>
      </w:r>
    </w:p>
    <w:p w14:paraId="39673031" w14:textId="77777777" w:rsidR="00700B94" w:rsidRDefault="00700B94" w:rsidP="00700B94">
      <w:pPr>
        <w:pStyle w:val="Prrafodelista"/>
        <w:numPr>
          <w:ilvl w:val="0"/>
          <w:numId w:val="2"/>
        </w:numPr>
        <w:spacing w:after="0"/>
        <w:rPr>
          <w:rFonts w:ascii="Times New Roman" w:hAnsi="Times New Roman" w:cs="Times New Roman"/>
          <w:b/>
          <w:bCs/>
          <w:sz w:val="24"/>
          <w:szCs w:val="24"/>
        </w:rPr>
      </w:pPr>
      <w:r>
        <w:rPr>
          <w:rFonts w:ascii="Times New Roman" w:hAnsi="Times New Roman" w:cs="Times New Roman"/>
          <w:b/>
          <w:bCs/>
          <w:sz w:val="24"/>
          <w:szCs w:val="24"/>
        </w:rPr>
        <w:t>Identificación de alternativas de solución al problema</w:t>
      </w:r>
    </w:p>
    <w:p w14:paraId="46B08BD6" w14:textId="77777777" w:rsidR="00700B94" w:rsidRDefault="00700B94" w:rsidP="00700B94">
      <w:pPr>
        <w:spacing w:after="0"/>
        <w:rPr>
          <w:rFonts w:ascii="Times New Roman" w:hAnsi="Times New Roman" w:cs="Times New Roman"/>
          <w:sz w:val="24"/>
          <w:szCs w:val="24"/>
        </w:rPr>
      </w:pPr>
      <w:r w:rsidRPr="00FD66B3">
        <w:rPr>
          <w:rFonts w:ascii="Times New Roman" w:hAnsi="Times New Roman" w:cs="Times New Roman"/>
          <w:sz w:val="24"/>
          <w:szCs w:val="24"/>
        </w:rPr>
        <w:t>A partir de las causas identificadas se plantean las acciones</w:t>
      </w:r>
      <w:r>
        <w:rPr>
          <w:rFonts w:ascii="Times New Roman" w:hAnsi="Times New Roman" w:cs="Times New Roman"/>
          <w:sz w:val="24"/>
          <w:szCs w:val="24"/>
        </w:rPr>
        <w:t xml:space="preserve"> detalladas en la Tabla 5.</w:t>
      </w:r>
    </w:p>
    <w:p w14:paraId="7DF167E1" w14:textId="77777777"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Tabla </w:t>
      </w:r>
      <w:r>
        <w:rPr>
          <w:rFonts w:ascii="Times New Roman" w:hAnsi="Times New Roman" w:cs="Times New Roman"/>
          <w:b/>
          <w:bCs/>
          <w:sz w:val="24"/>
          <w:szCs w:val="24"/>
        </w:rPr>
        <w:t>5</w:t>
      </w:r>
    </w:p>
    <w:p w14:paraId="312B2C75"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Alternativas de solución</w:t>
      </w:r>
    </w:p>
    <w:tbl>
      <w:tblPr>
        <w:tblStyle w:val="Tablaconcuadrcula"/>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700B94" w:rsidRPr="00FD66B3" w14:paraId="175CCFD8" w14:textId="77777777" w:rsidTr="00CD6FCB">
        <w:trPr>
          <w:trHeight w:val="152"/>
        </w:trPr>
        <w:tc>
          <w:tcPr>
            <w:tcW w:w="2198" w:type="pct"/>
            <w:tcBorders>
              <w:top w:val="single" w:sz="4" w:space="0" w:color="auto"/>
              <w:bottom w:val="single" w:sz="4" w:space="0" w:color="auto"/>
            </w:tcBorders>
            <w:hideMark/>
          </w:tcPr>
          <w:p w14:paraId="605558F2"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Causa</w:t>
            </w:r>
          </w:p>
        </w:tc>
        <w:tc>
          <w:tcPr>
            <w:tcW w:w="2802" w:type="pct"/>
            <w:tcBorders>
              <w:top w:val="single" w:sz="4" w:space="0" w:color="auto"/>
              <w:bottom w:val="single" w:sz="4" w:space="0" w:color="auto"/>
            </w:tcBorders>
            <w:hideMark/>
          </w:tcPr>
          <w:p w14:paraId="454230F4"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Acción propuesta</w:t>
            </w:r>
          </w:p>
        </w:tc>
      </w:tr>
      <w:tr w:rsidR="00700B94" w:rsidRPr="00FD66B3" w14:paraId="58BA1B35" w14:textId="77777777" w:rsidTr="00CD6FCB">
        <w:trPr>
          <w:trHeight w:val="159"/>
        </w:trPr>
        <w:tc>
          <w:tcPr>
            <w:tcW w:w="2198" w:type="pct"/>
            <w:tcBorders>
              <w:top w:val="single" w:sz="4" w:space="0" w:color="auto"/>
              <w:bottom w:val="single" w:sz="4" w:space="0" w:color="auto"/>
            </w:tcBorders>
            <w:vAlign w:val="center"/>
            <w:hideMark/>
          </w:tcPr>
          <w:p w14:paraId="5E9E44B8"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Problemas en el diseño de tuberías</w:t>
            </w:r>
          </w:p>
        </w:tc>
        <w:tc>
          <w:tcPr>
            <w:tcW w:w="2802" w:type="pct"/>
            <w:tcBorders>
              <w:top w:val="single" w:sz="4" w:space="0" w:color="auto"/>
              <w:bottom w:val="single" w:sz="4" w:space="0" w:color="auto"/>
            </w:tcBorders>
            <w:vAlign w:val="center"/>
            <w:hideMark/>
          </w:tcPr>
          <w:p w14:paraId="78BF29F9"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Actualización del diseño hidráulico del sistema</w:t>
            </w:r>
          </w:p>
        </w:tc>
      </w:tr>
      <w:tr w:rsidR="00700B94" w:rsidRPr="00FD66B3" w14:paraId="02598C42" w14:textId="77777777" w:rsidTr="00CD6FCB">
        <w:trPr>
          <w:trHeight w:val="146"/>
        </w:trPr>
        <w:tc>
          <w:tcPr>
            <w:tcW w:w="2198" w:type="pct"/>
            <w:tcBorders>
              <w:top w:val="single" w:sz="4" w:space="0" w:color="auto"/>
              <w:bottom w:val="single" w:sz="4" w:space="0" w:color="auto"/>
            </w:tcBorders>
            <w:vAlign w:val="center"/>
            <w:hideMark/>
          </w:tcPr>
          <w:p w14:paraId="76B2B3DE"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Vida útil expirada de las tuberías</w:t>
            </w:r>
          </w:p>
        </w:tc>
        <w:tc>
          <w:tcPr>
            <w:tcW w:w="2802" w:type="pct"/>
            <w:tcBorders>
              <w:top w:val="single" w:sz="4" w:space="0" w:color="auto"/>
              <w:bottom w:val="single" w:sz="4" w:space="0" w:color="auto"/>
            </w:tcBorders>
            <w:vAlign w:val="center"/>
            <w:hideMark/>
          </w:tcPr>
          <w:p w14:paraId="40AB2FE7"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Reposición de las redes deterioradas</w:t>
            </w:r>
          </w:p>
        </w:tc>
      </w:tr>
      <w:tr w:rsidR="00700B94" w:rsidRPr="00FD66B3" w14:paraId="0E30DC73" w14:textId="77777777" w:rsidTr="00CD6FCB">
        <w:trPr>
          <w:trHeight w:val="432"/>
        </w:trPr>
        <w:tc>
          <w:tcPr>
            <w:tcW w:w="2198" w:type="pct"/>
            <w:tcBorders>
              <w:top w:val="single" w:sz="4" w:space="0" w:color="auto"/>
              <w:bottom w:val="single" w:sz="4" w:space="0" w:color="auto"/>
            </w:tcBorders>
            <w:vAlign w:val="center"/>
            <w:hideMark/>
          </w:tcPr>
          <w:p w14:paraId="40668390"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Vulnerabilidad frente a lluvias y deslizamientos</w:t>
            </w:r>
          </w:p>
        </w:tc>
        <w:tc>
          <w:tcPr>
            <w:tcW w:w="2802" w:type="pct"/>
            <w:tcBorders>
              <w:top w:val="single" w:sz="4" w:space="0" w:color="auto"/>
              <w:bottom w:val="single" w:sz="4" w:space="0" w:color="auto"/>
            </w:tcBorders>
            <w:vAlign w:val="center"/>
            <w:hideMark/>
          </w:tcPr>
          <w:p w14:paraId="37D1FF03"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Protección y estabilización de sectores críticos</w:t>
            </w:r>
          </w:p>
        </w:tc>
      </w:tr>
      <w:tr w:rsidR="00700B94" w:rsidRPr="00FD66B3" w14:paraId="683C6687" w14:textId="77777777" w:rsidTr="00CD6FCB">
        <w:trPr>
          <w:trHeight w:val="143"/>
        </w:trPr>
        <w:tc>
          <w:tcPr>
            <w:tcW w:w="2198" w:type="pct"/>
            <w:tcBorders>
              <w:top w:val="single" w:sz="4" w:space="0" w:color="auto"/>
              <w:bottom w:val="single" w:sz="4" w:space="0" w:color="auto"/>
            </w:tcBorders>
            <w:vAlign w:val="center"/>
            <w:hideMark/>
          </w:tcPr>
          <w:p w14:paraId="0385F0C3"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Desconocimiento sobre redes internas</w:t>
            </w:r>
          </w:p>
        </w:tc>
        <w:tc>
          <w:tcPr>
            <w:tcW w:w="2802" w:type="pct"/>
            <w:tcBorders>
              <w:top w:val="single" w:sz="4" w:space="0" w:color="auto"/>
              <w:bottom w:val="single" w:sz="4" w:space="0" w:color="auto"/>
            </w:tcBorders>
            <w:vAlign w:val="center"/>
            <w:hideMark/>
          </w:tcPr>
          <w:p w14:paraId="4472192B"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Programas de educación y capacitación comunitaria</w:t>
            </w:r>
          </w:p>
        </w:tc>
      </w:tr>
    </w:tbl>
    <w:p w14:paraId="70363610" w14:textId="77777777" w:rsidR="00700B94" w:rsidRDefault="00700B94" w:rsidP="00700B94">
      <w:pPr>
        <w:spacing w:before="240" w:after="0" w:line="360" w:lineRule="auto"/>
        <w:rPr>
          <w:rFonts w:ascii="Times New Roman" w:hAnsi="Times New Roman" w:cs="Times New Roman"/>
          <w:sz w:val="24"/>
          <w:szCs w:val="24"/>
        </w:rPr>
      </w:pPr>
      <w:r w:rsidRPr="00FD66B3">
        <w:rPr>
          <w:rFonts w:ascii="Times New Roman" w:hAnsi="Times New Roman" w:cs="Times New Roman"/>
          <w:sz w:val="24"/>
          <w:szCs w:val="24"/>
        </w:rPr>
        <w:t xml:space="preserve">Con base en estas acciones </w:t>
      </w:r>
      <w:r>
        <w:rPr>
          <w:rFonts w:ascii="Times New Roman" w:hAnsi="Times New Roman" w:cs="Times New Roman"/>
          <w:sz w:val="24"/>
          <w:szCs w:val="24"/>
        </w:rPr>
        <w:t>se han identificado</w:t>
      </w:r>
      <w:r w:rsidRPr="00FD66B3">
        <w:rPr>
          <w:rFonts w:ascii="Times New Roman" w:hAnsi="Times New Roman" w:cs="Times New Roman"/>
          <w:sz w:val="24"/>
          <w:szCs w:val="24"/>
        </w:rPr>
        <w:t xml:space="preserve"> las siguientes alternativas:</w:t>
      </w:r>
    </w:p>
    <w:p w14:paraId="6AC4E8A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1</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integral de la red de distribución</w:t>
      </w:r>
    </w:p>
    <w:p w14:paraId="1F1EAE7B"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Sustitución de tuberías deterioradas.</w:t>
      </w:r>
    </w:p>
    <w:p w14:paraId="77186DB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del diseño hidráulico.</w:t>
      </w:r>
    </w:p>
    <w:p w14:paraId="7F36C951"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Construcción de obras de protección en zonas vulnerables.</w:t>
      </w:r>
    </w:p>
    <w:p w14:paraId="73D62AB9"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Instalación de válvulas y accesorios.</w:t>
      </w:r>
    </w:p>
    <w:p w14:paraId="7A31F69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Capacitación a los usuarios sobre uso y mantenimiento de las conexiones domiciliarias.</w:t>
      </w:r>
    </w:p>
    <w:p w14:paraId="69CEC52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2</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parcial del sistema</w:t>
      </w:r>
    </w:p>
    <w:p w14:paraId="3C6EDE42"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Reposición únicamente de los tramos más deteriorados.</w:t>
      </w:r>
    </w:p>
    <w:p w14:paraId="04516970"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puntual de sectores críticos.</w:t>
      </w:r>
    </w:p>
    <w:p w14:paraId="4246B0E6"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Campañas de concientización para los usuarios.</w:t>
      </w:r>
    </w:p>
    <w:p w14:paraId="2CFD3EC6"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3</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Medidas temporales de abastecimiento</w:t>
      </w:r>
    </w:p>
    <w:p w14:paraId="0A5DF5E5"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Suministro mediante tanqueros.</w:t>
      </w:r>
    </w:p>
    <w:p w14:paraId="51AEFC00"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Mantenimiento correctivo de emergencia.</w:t>
      </w:r>
    </w:p>
    <w:p w14:paraId="4106737A" w14:textId="77777777" w:rsidR="00700B94" w:rsidRDefault="00700B94" w:rsidP="00700B94">
      <w:pPr>
        <w:pStyle w:val="Prrafodelista"/>
        <w:numPr>
          <w:ilvl w:val="0"/>
          <w:numId w:val="5"/>
        </w:numPr>
        <w:spacing w:line="360" w:lineRule="auto"/>
        <w:rPr>
          <w:rFonts w:ascii="Times New Roman" w:hAnsi="Times New Roman" w:cs="Times New Roman"/>
          <w:sz w:val="24"/>
          <w:szCs w:val="24"/>
        </w:rPr>
      </w:pPr>
      <w:r w:rsidRPr="00CB02E3">
        <w:rPr>
          <w:rFonts w:ascii="Times New Roman" w:hAnsi="Times New Roman" w:cs="Times New Roman"/>
          <w:sz w:val="24"/>
          <w:szCs w:val="24"/>
        </w:rPr>
        <w:lastRenderedPageBreak/>
        <w:t>Acciones de educación sanitaria.</w:t>
      </w:r>
    </w:p>
    <w:p w14:paraId="2F88E33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sidRPr="00FD66B3">
        <w:rPr>
          <w:rFonts w:ascii="Times New Roman" w:hAnsi="Times New Roman" w:cs="Times New Roman"/>
          <w:b/>
          <w:bCs/>
          <w:sz w:val="24"/>
          <w:szCs w:val="24"/>
        </w:rPr>
        <w:t>Selección de la alternativa óptima</w:t>
      </w:r>
    </w:p>
    <w:p w14:paraId="318285C9" w14:textId="77777777" w:rsidR="00700B94" w:rsidRPr="00CB02E3" w:rsidRDefault="00700B94" w:rsidP="00700B94">
      <w:pPr>
        <w:spacing w:line="360" w:lineRule="auto"/>
        <w:jc w:val="both"/>
        <w:rPr>
          <w:rFonts w:ascii="Times New Roman" w:hAnsi="Times New Roman" w:cs="Times New Roman"/>
          <w:sz w:val="24"/>
          <w:szCs w:val="24"/>
        </w:rPr>
      </w:pPr>
      <w:r w:rsidRPr="00CB02E3">
        <w:rPr>
          <w:rFonts w:ascii="Times New Roman" w:hAnsi="Times New Roman" w:cs="Times New Roman"/>
          <w:sz w:val="24"/>
          <w:szCs w:val="24"/>
        </w:rPr>
        <w:t>Dado que las alternativas no constituyen una solución temporal y no resuelven las causas estructurales del problema</w:t>
      </w:r>
      <w:r>
        <w:rPr>
          <w:rFonts w:ascii="Times New Roman" w:hAnsi="Times New Roman" w:cs="Times New Roman"/>
          <w:sz w:val="24"/>
          <w:szCs w:val="24"/>
        </w:rPr>
        <w:t xml:space="preserve">, se </w:t>
      </w:r>
      <w:r w:rsidRPr="00CB02E3">
        <w:rPr>
          <w:rFonts w:ascii="Times New Roman" w:hAnsi="Times New Roman" w:cs="Times New Roman"/>
          <w:sz w:val="24"/>
          <w:szCs w:val="24"/>
        </w:rPr>
        <w:t xml:space="preserve">determina que la </w:t>
      </w:r>
      <w:r>
        <w:rPr>
          <w:rFonts w:ascii="Times New Roman" w:hAnsi="Times New Roman" w:cs="Times New Roman"/>
          <w:sz w:val="24"/>
          <w:szCs w:val="24"/>
        </w:rPr>
        <w:t>a</w:t>
      </w:r>
      <w:r w:rsidRPr="00CB02E3">
        <w:rPr>
          <w:rFonts w:ascii="Times New Roman" w:hAnsi="Times New Roman" w:cs="Times New Roman"/>
          <w:sz w:val="24"/>
          <w:szCs w:val="24"/>
        </w:rPr>
        <w:t>lternativa 1</w:t>
      </w:r>
      <w:r>
        <w:rPr>
          <w:rFonts w:ascii="Times New Roman" w:hAnsi="Times New Roman" w:cs="Times New Roman"/>
          <w:sz w:val="24"/>
          <w:szCs w:val="24"/>
        </w:rPr>
        <w:t xml:space="preserve"> </w:t>
      </w:r>
      <w:r w:rsidRPr="00CB02E3">
        <w:rPr>
          <w:rFonts w:ascii="Times New Roman" w:hAnsi="Times New Roman" w:cs="Times New Roman"/>
          <w:sz w:val="24"/>
          <w:szCs w:val="24"/>
        </w:rPr>
        <w:t>debido a que permite solucionar las causas estructurales del problema, garantizar la continuidad y calidad del servicio, reducir los riesgos sanitarios y mejorar las condiciones de vida de la población beneficiaria, asegurando además una mayor sostenibilidad técnica y económica en el largo plazo.</w:t>
      </w:r>
    </w:p>
    <w:p w14:paraId="76033043" w14:textId="5946DCD9" w:rsidR="00700B94" w:rsidRPr="00700B94" w:rsidRDefault="00700B94" w:rsidP="00700B94">
      <w:pPr>
        <w:pStyle w:val="Prrafodelista"/>
        <w:numPr>
          <w:ilvl w:val="0"/>
          <w:numId w:val="2"/>
        </w:numPr>
        <w:spacing w:after="0"/>
        <w:rPr>
          <w:rFonts w:ascii="Times New Roman" w:hAnsi="Times New Roman" w:cs="Times New Roman"/>
          <w:b/>
          <w:bCs/>
          <w:sz w:val="24"/>
          <w:szCs w:val="24"/>
        </w:rPr>
      </w:pPr>
      <w:r w:rsidRPr="00700B94">
        <w:rPr>
          <w:rFonts w:ascii="Times New Roman" w:hAnsi="Times New Roman" w:cs="Times New Roman"/>
          <w:b/>
          <w:bCs/>
          <w:sz w:val="24"/>
          <w:szCs w:val="24"/>
        </w:rPr>
        <w:t>Medios de verificación</w:t>
      </w:r>
    </w:p>
    <w:p w14:paraId="735F8148"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 xml:space="preserve">Los medios de verificación son las fuentes de información que permiten comprobar el cumplimiento de los indicadores establecidos en la Matriz de Marco Lógico. A través de documentos, registros, informes técnicos y otros mecanismos de control, es posible evaluar el avance de las actividades y el logro de los objetivos del proyecto. La </w:t>
      </w:r>
      <w:r>
        <w:rPr>
          <w:rFonts w:ascii="Times New Roman" w:hAnsi="Times New Roman" w:cs="Times New Roman"/>
          <w:sz w:val="24"/>
          <w:szCs w:val="24"/>
        </w:rPr>
        <w:t>Tabla 6</w:t>
      </w:r>
      <w:r w:rsidRPr="006C7579">
        <w:rPr>
          <w:rFonts w:ascii="Times New Roman" w:hAnsi="Times New Roman" w:cs="Times New Roman"/>
          <w:sz w:val="24"/>
          <w:szCs w:val="24"/>
        </w:rPr>
        <w:t xml:space="preserve"> presenta los medios de verificación definidos para cada nivel de la matriz.</w:t>
      </w:r>
    </w:p>
    <w:p w14:paraId="31EFAC9B" w14:textId="77777777" w:rsidR="00700B94" w:rsidRDefault="00700B94" w:rsidP="00700B94">
      <w:pPr>
        <w:spacing w:after="0"/>
        <w:rPr>
          <w:rFonts w:ascii="Times New Roman" w:hAnsi="Times New Roman" w:cs="Times New Roman"/>
          <w:b/>
          <w:bCs/>
          <w:sz w:val="24"/>
          <w:szCs w:val="24"/>
        </w:rPr>
      </w:pPr>
      <w:r>
        <w:rPr>
          <w:rFonts w:ascii="Times New Roman" w:hAnsi="Times New Roman" w:cs="Times New Roman"/>
          <w:b/>
          <w:bCs/>
          <w:sz w:val="24"/>
          <w:szCs w:val="24"/>
        </w:rPr>
        <w:t>Tabla 6</w:t>
      </w:r>
    </w:p>
    <w:p w14:paraId="52BD7D1D" w14:textId="77777777" w:rsidR="00700B94" w:rsidRPr="006C7579"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Medios de verificación</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4722"/>
      </w:tblGrid>
      <w:tr w:rsidR="00700B94" w:rsidRPr="005D4729" w14:paraId="5E1928D7" w14:textId="77777777" w:rsidTr="00CD6FCB">
        <w:trPr>
          <w:trHeight w:val="93"/>
        </w:trPr>
        <w:tc>
          <w:tcPr>
            <w:tcW w:w="2384" w:type="pct"/>
            <w:tcBorders>
              <w:top w:val="single" w:sz="4" w:space="0" w:color="auto"/>
              <w:bottom w:val="single" w:sz="4" w:space="0" w:color="auto"/>
            </w:tcBorders>
            <w:vAlign w:val="center"/>
            <w:hideMark/>
          </w:tcPr>
          <w:p w14:paraId="4A75B453"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2616" w:type="pct"/>
            <w:tcBorders>
              <w:top w:val="single" w:sz="4" w:space="0" w:color="auto"/>
              <w:bottom w:val="single" w:sz="4" w:space="0" w:color="auto"/>
            </w:tcBorders>
            <w:vAlign w:val="center"/>
            <w:hideMark/>
          </w:tcPr>
          <w:p w14:paraId="2093B87C"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r>
      <w:tr w:rsidR="00700B94" w:rsidRPr="005D4729" w14:paraId="4097D05E" w14:textId="77777777" w:rsidTr="00CD6FCB">
        <w:trPr>
          <w:trHeight w:val="1573"/>
        </w:trPr>
        <w:tc>
          <w:tcPr>
            <w:tcW w:w="2384" w:type="pct"/>
            <w:tcBorders>
              <w:top w:val="single" w:sz="4" w:space="0" w:color="auto"/>
              <w:bottom w:val="single" w:sz="4" w:space="0" w:color="auto"/>
            </w:tcBorders>
            <w:vAlign w:val="center"/>
            <w:hideMark/>
          </w:tcPr>
          <w:p w14:paraId="06409800"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7713EDF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rPr>
              <w:t xml:space="preserve">Mejorar la calidad de vida de las familias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 xml:space="preserve"> mediante el acceso a un servicio de agua potable continuo, seguro y de calidad.</w:t>
            </w:r>
          </w:p>
        </w:tc>
        <w:tc>
          <w:tcPr>
            <w:tcW w:w="2616" w:type="pct"/>
            <w:tcBorders>
              <w:top w:val="single" w:sz="4" w:space="0" w:color="auto"/>
              <w:bottom w:val="single" w:sz="4" w:space="0" w:color="auto"/>
            </w:tcBorders>
            <w:vAlign w:val="center"/>
          </w:tcPr>
          <w:p w14:paraId="529C54B9"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 xml:space="preserve">Encuestas de satisfacción aplicadas a los hogares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w:t>
            </w:r>
          </w:p>
          <w:p w14:paraId="526B2821"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73EF5B8B"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r>
      <w:tr w:rsidR="00700B94" w:rsidRPr="005D4729" w14:paraId="71DB6C25" w14:textId="77777777" w:rsidTr="00CD6FCB">
        <w:trPr>
          <w:trHeight w:val="1529"/>
        </w:trPr>
        <w:tc>
          <w:tcPr>
            <w:tcW w:w="2384" w:type="pct"/>
            <w:tcBorders>
              <w:top w:val="single" w:sz="4" w:space="0" w:color="auto"/>
              <w:bottom w:val="single" w:sz="4" w:space="0" w:color="auto"/>
            </w:tcBorders>
            <w:vAlign w:val="center"/>
            <w:hideMark/>
          </w:tcPr>
          <w:p w14:paraId="1B217D25"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6ECAA37E" w14:textId="77777777" w:rsidR="00700B94" w:rsidRPr="001650B8" w:rsidRDefault="00700B94" w:rsidP="00CD6FCB">
            <w:pPr>
              <w:jc w:val="both"/>
              <w:rPr>
                <w:rFonts w:ascii="Times New Roman" w:eastAsia="Times New Roman" w:hAnsi="Times New Roman" w:cs="Times New Roman"/>
              </w:rPr>
            </w:pPr>
            <w:r w:rsidRPr="005D4729">
              <w:rPr>
                <w:rFonts w:ascii="Times New Roman" w:eastAsia="Times New Roman" w:hAnsi="Times New Roman" w:cs="Times New Roman"/>
              </w:rPr>
              <w:t xml:space="preserve">Mejorar la red de distribución de agua potable del barrio </w:t>
            </w:r>
            <w:proofErr w:type="spellStart"/>
            <w:r w:rsidRPr="005D4729">
              <w:rPr>
                <w:rFonts w:ascii="Times New Roman" w:eastAsia="Times New Roman" w:hAnsi="Times New Roman" w:cs="Times New Roman"/>
              </w:rPr>
              <w:t>Carigán</w:t>
            </w:r>
            <w:proofErr w:type="spellEnd"/>
            <w:r w:rsidRPr="005D4729">
              <w:rPr>
                <w:rFonts w:ascii="Times New Roman" w:eastAsia="Times New Roman" w:hAnsi="Times New Roman" w:cs="Times New Roman"/>
              </w:rPr>
              <w:t xml:space="preserve"> mediante la reparación y renovación de la infraestructura, para reducir las roturas y garantizar la continuidad y calidad del servicio.</w:t>
            </w:r>
          </w:p>
          <w:p w14:paraId="6EEF1BAC" w14:textId="77777777" w:rsidR="00700B94" w:rsidRPr="005D4729" w:rsidRDefault="00700B94" w:rsidP="00CD6FCB">
            <w:pPr>
              <w:jc w:val="both"/>
              <w:rPr>
                <w:rFonts w:ascii="Times New Roman" w:eastAsia="Times New Roman" w:hAnsi="Times New Roman" w:cs="Times New Roman"/>
                <w:b/>
                <w:bCs/>
              </w:rPr>
            </w:pPr>
          </w:p>
          <w:p w14:paraId="66057BE9" w14:textId="77777777" w:rsidR="00700B94" w:rsidRPr="005D4729" w:rsidRDefault="00700B94" w:rsidP="00CD6FCB">
            <w:pPr>
              <w:jc w:val="both"/>
              <w:rPr>
                <w:rFonts w:ascii="Times New Roman" w:eastAsia="Times New Roman" w:hAnsi="Times New Roman" w:cs="Times New Roman"/>
                <w:b/>
                <w:bCs/>
              </w:rPr>
            </w:pPr>
          </w:p>
        </w:tc>
        <w:tc>
          <w:tcPr>
            <w:tcW w:w="2616" w:type="pct"/>
            <w:tcBorders>
              <w:top w:val="single" w:sz="4" w:space="0" w:color="auto"/>
              <w:bottom w:val="single" w:sz="4" w:space="0" w:color="auto"/>
            </w:tcBorders>
            <w:vAlign w:val="center"/>
          </w:tcPr>
          <w:p w14:paraId="7B6F7F2B"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7F6E998A"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51054C53"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534DFC78"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r>
      <w:tr w:rsidR="00700B94" w:rsidRPr="005D4729" w14:paraId="18A8476D" w14:textId="77777777" w:rsidTr="00CD6FCB">
        <w:trPr>
          <w:trHeight w:val="646"/>
        </w:trPr>
        <w:tc>
          <w:tcPr>
            <w:tcW w:w="2384" w:type="pct"/>
            <w:tcBorders>
              <w:top w:val="single" w:sz="4" w:space="0" w:color="auto"/>
              <w:bottom w:val="single" w:sz="4" w:space="0" w:color="auto"/>
            </w:tcBorders>
            <w:vAlign w:val="center"/>
            <w:hideMark/>
          </w:tcPr>
          <w:p w14:paraId="09D0BE8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w:t>
            </w:r>
          </w:p>
          <w:p w14:paraId="28292678" w14:textId="77777777" w:rsidR="00700B94" w:rsidRPr="005D4729" w:rsidRDefault="00700B94" w:rsidP="00CD6FCB">
            <w:pPr>
              <w:pStyle w:val="Prrafodelista"/>
              <w:numPr>
                <w:ilvl w:val="0"/>
                <w:numId w:val="20"/>
              </w:numPr>
              <w:jc w:val="both"/>
              <w:rPr>
                <w:rFonts w:ascii="Times New Roman" w:eastAsia="Times New Roman" w:hAnsi="Times New Roman" w:cs="Times New Roman"/>
                <w:b/>
                <w:bCs/>
              </w:rPr>
            </w:pPr>
            <w:r w:rsidRPr="005D4729">
              <w:rPr>
                <w:rFonts w:ascii="Times New Roman" w:eastAsia="Times New Roman" w:hAnsi="Times New Roman" w:cs="Times New Roman"/>
              </w:rPr>
              <w:t>Red de distribución de agua potable renovada y en buen estado.</w:t>
            </w:r>
          </w:p>
        </w:tc>
        <w:tc>
          <w:tcPr>
            <w:tcW w:w="2616" w:type="pct"/>
            <w:tcBorders>
              <w:top w:val="single" w:sz="4" w:space="0" w:color="auto"/>
              <w:bottom w:val="single" w:sz="4" w:space="0" w:color="auto"/>
            </w:tcBorders>
            <w:vAlign w:val="center"/>
          </w:tcPr>
          <w:p w14:paraId="4DB587A2"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48213AF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3DE05C97"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634CE98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Registro fotográfico de los tramos renovados.</w:t>
            </w:r>
          </w:p>
        </w:tc>
      </w:tr>
      <w:tr w:rsidR="00700B94" w:rsidRPr="005D4729" w14:paraId="03D9E59F" w14:textId="77777777" w:rsidTr="00CD6FCB">
        <w:trPr>
          <w:trHeight w:val="416"/>
        </w:trPr>
        <w:tc>
          <w:tcPr>
            <w:tcW w:w="2384" w:type="pct"/>
            <w:tcBorders>
              <w:top w:val="single" w:sz="4" w:space="0" w:color="auto"/>
            </w:tcBorders>
            <w:vAlign w:val="center"/>
            <w:hideMark/>
          </w:tcPr>
          <w:p w14:paraId="0AC8D07B"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ACTIVIDADES:</w:t>
            </w:r>
          </w:p>
          <w:p w14:paraId="54F2B4C8"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7E0E3C09"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03222E3E"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5154B57F"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lastRenderedPageBreak/>
              <w:t>Campañas de concientización para el cambio de la red interna de agua potable.</w:t>
            </w:r>
          </w:p>
          <w:p w14:paraId="39C3B317" w14:textId="77777777" w:rsidR="00700B94" w:rsidRPr="005D4729" w:rsidRDefault="00700B94" w:rsidP="00CD6FCB">
            <w:pPr>
              <w:pStyle w:val="Prrafodelista"/>
              <w:ind w:left="360"/>
              <w:jc w:val="both"/>
              <w:rPr>
                <w:rFonts w:ascii="Times New Roman" w:eastAsia="Times New Roman" w:hAnsi="Times New Roman" w:cs="Times New Roman"/>
                <w:b/>
                <w:bCs/>
              </w:rPr>
            </w:pPr>
          </w:p>
        </w:tc>
        <w:tc>
          <w:tcPr>
            <w:tcW w:w="2616" w:type="pct"/>
            <w:tcBorders>
              <w:top w:val="single" w:sz="4" w:space="0" w:color="auto"/>
            </w:tcBorders>
            <w:vAlign w:val="center"/>
          </w:tcPr>
          <w:p w14:paraId="23BA3DB1"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lastRenderedPageBreak/>
              <w:t>A1.1:</w:t>
            </w:r>
            <w:r w:rsidRPr="005D4729">
              <w:rPr>
                <w:rFonts w:ascii="Times New Roman" w:hAnsi="Times New Roman" w:cs="Times New Roman"/>
              </w:rPr>
              <w:t xml:space="preserve"> Informe técnico del diseño hidráulico aprobado por UMAPAL.</w:t>
            </w:r>
          </w:p>
          <w:p w14:paraId="3ADD7BF4"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5DE91283"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1780162" w14:textId="77777777" w:rsidR="00700B94" w:rsidRPr="005D4729" w:rsidRDefault="00700B94" w:rsidP="00CD6FCB">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r>
    </w:tbl>
    <w:p w14:paraId="35D03276" w14:textId="77777777" w:rsidR="00700B94" w:rsidRPr="00700B94" w:rsidRDefault="00700B94" w:rsidP="00700B94">
      <w:pPr>
        <w:spacing w:before="240" w:after="0" w:line="240" w:lineRule="auto"/>
        <w:rPr>
          <w:rFonts w:ascii="Times New Roman" w:hAnsi="Times New Roman" w:cs="Times New Roman"/>
          <w:sz w:val="24"/>
          <w:szCs w:val="24"/>
        </w:rPr>
      </w:pPr>
    </w:p>
    <w:sectPr w:rsidR="00700B94" w:rsidRPr="00700B94" w:rsidSect="00627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0E47"/>
    <w:multiLevelType w:val="hybridMultilevel"/>
    <w:tmpl w:val="C46A945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F0B3F2A"/>
    <w:multiLevelType w:val="hybridMultilevel"/>
    <w:tmpl w:val="FBFA4398"/>
    <w:lvl w:ilvl="0" w:tplc="B1B623B8">
      <w:start w:val="1"/>
      <w:numFmt w:val="lowerLetter"/>
      <w:lvlText w:val="%1)"/>
      <w:lvlJc w:val="left"/>
      <w:pPr>
        <w:ind w:left="360" w:hanging="360"/>
      </w:pPr>
      <w:rPr>
        <w:rFonts w:hint="default"/>
        <w:b/>
        <w:bCs/>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 w15:restartNumberingAfterBreak="0">
    <w:nsid w:val="11134576"/>
    <w:multiLevelType w:val="hybridMultilevel"/>
    <w:tmpl w:val="235A865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16E5E6E"/>
    <w:multiLevelType w:val="hybridMultilevel"/>
    <w:tmpl w:val="D812D14C"/>
    <w:lvl w:ilvl="0" w:tplc="D6E0F076">
      <w:start w:val="1"/>
      <w:numFmt w:val="upperRoman"/>
      <w:lvlText w:val="%1."/>
      <w:lvlJc w:val="left"/>
      <w:pPr>
        <w:ind w:left="-578" w:hanging="720"/>
      </w:pPr>
      <w:rPr>
        <w:rFonts w:ascii="Times New Roman" w:eastAsiaTheme="minorHAnsi" w:hAnsi="Times New Roman" w:cs="Times New Roman"/>
      </w:rPr>
    </w:lvl>
    <w:lvl w:ilvl="1" w:tplc="300A0019" w:tentative="1">
      <w:start w:val="1"/>
      <w:numFmt w:val="lowerLetter"/>
      <w:lvlText w:val="%2."/>
      <w:lvlJc w:val="left"/>
      <w:pPr>
        <w:ind w:left="-218" w:hanging="360"/>
      </w:pPr>
    </w:lvl>
    <w:lvl w:ilvl="2" w:tplc="300A001B" w:tentative="1">
      <w:start w:val="1"/>
      <w:numFmt w:val="lowerRoman"/>
      <w:lvlText w:val="%3."/>
      <w:lvlJc w:val="right"/>
      <w:pPr>
        <w:ind w:left="502" w:hanging="180"/>
      </w:pPr>
    </w:lvl>
    <w:lvl w:ilvl="3" w:tplc="300A000F" w:tentative="1">
      <w:start w:val="1"/>
      <w:numFmt w:val="decimal"/>
      <w:lvlText w:val="%4."/>
      <w:lvlJc w:val="left"/>
      <w:pPr>
        <w:ind w:left="1222" w:hanging="360"/>
      </w:pPr>
    </w:lvl>
    <w:lvl w:ilvl="4" w:tplc="300A0019" w:tentative="1">
      <w:start w:val="1"/>
      <w:numFmt w:val="lowerLetter"/>
      <w:lvlText w:val="%5."/>
      <w:lvlJc w:val="left"/>
      <w:pPr>
        <w:ind w:left="1942" w:hanging="360"/>
      </w:pPr>
    </w:lvl>
    <w:lvl w:ilvl="5" w:tplc="300A001B" w:tentative="1">
      <w:start w:val="1"/>
      <w:numFmt w:val="lowerRoman"/>
      <w:lvlText w:val="%6."/>
      <w:lvlJc w:val="right"/>
      <w:pPr>
        <w:ind w:left="2662" w:hanging="180"/>
      </w:pPr>
    </w:lvl>
    <w:lvl w:ilvl="6" w:tplc="300A000F" w:tentative="1">
      <w:start w:val="1"/>
      <w:numFmt w:val="decimal"/>
      <w:lvlText w:val="%7."/>
      <w:lvlJc w:val="left"/>
      <w:pPr>
        <w:ind w:left="3382" w:hanging="360"/>
      </w:pPr>
    </w:lvl>
    <w:lvl w:ilvl="7" w:tplc="300A0019" w:tentative="1">
      <w:start w:val="1"/>
      <w:numFmt w:val="lowerLetter"/>
      <w:lvlText w:val="%8."/>
      <w:lvlJc w:val="left"/>
      <w:pPr>
        <w:ind w:left="4102" w:hanging="360"/>
      </w:pPr>
    </w:lvl>
    <w:lvl w:ilvl="8" w:tplc="300A001B" w:tentative="1">
      <w:start w:val="1"/>
      <w:numFmt w:val="lowerRoman"/>
      <w:lvlText w:val="%9."/>
      <w:lvlJc w:val="right"/>
      <w:pPr>
        <w:ind w:left="4822" w:hanging="180"/>
      </w:pPr>
    </w:lvl>
  </w:abstractNum>
  <w:abstractNum w:abstractNumId="4" w15:restartNumberingAfterBreak="0">
    <w:nsid w:val="16CD70BD"/>
    <w:multiLevelType w:val="hybridMultilevel"/>
    <w:tmpl w:val="E3FAA4E4"/>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5" w15:restartNumberingAfterBreak="0">
    <w:nsid w:val="185101D7"/>
    <w:multiLevelType w:val="hybridMultilevel"/>
    <w:tmpl w:val="0448BFB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1DFD2900"/>
    <w:multiLevelType w:val="hybridMultilevel"/>
    <w:tmpl w:val="70E2EA4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09B0CB2"/>
    <w:multiLevelType w:val="hybridMultilevel"/>
    <w:tmpl w:val="353E1D5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2164359F"/>
    <w:multiLevelType w:val="multilevel"/>
    <w:tmpl w:val="168AEE8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1D5108B"/>
    <w:multiLevelType w:val="hybridMultilevel"/>
    <w:tmpl w:val="B3149E5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2512557B"/>
    <w:multiLevelType w:val="hybridMultilevel"/>
    <w:tmpl w:val="3CB0A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8E2D0E"/>
    <w:multiLevelType w:val="hybridMultilevel"/>
    <w:tmpl w:val="9C8E59EC"/>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2" w15:restartNumberingAfterBreak="0">
    <w:nsid w:val="2AE37E41"/>
    <w:multiLevelType w:val="hybridMultilevel"/>
    <w:tmpl w:val="FE827C9C"/>
    <w:lvl w:ilvl="0" w:tplc="300A0013">
      <w:start w:val="1"/>
      <w:numFmt w:val="upperRoman"/>
      <w:lvlText w:val="%1."/>
      <w:lvlJc w:val="righ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13" w15:restartNumberingAfterBreak="0">
    <w:nsid w:val="2B257305"/>
    <w:multiLevelType w:val="hybridMultilevel"/>
    <w:tmpl w:val="F4526F4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2B952145"/>
    <w:multiLevelType w:val="hybridMultilevel"/>
    <w:tmpl w:val="F16A37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32DF4D34"/>
    <w:multiLevelType w:val="hybridMultilevel"/>
    <w:tmpl w:val="70EEE1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35054852"/>
    <w:multiLevelType w:val="hybridMultilevel"/>
    <w:tmpl w:val="E2EC076A"/>
    <w:lvl w:ilvl="0" w:tplc="44DE89DA">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7" w15:restartNumberingAfterBreak="0">
    <w:nsid w:val="37853777"/>
    <w:multiLevelType w:val="hybridMultilevel"/>
    <w:tmpl w:val="1276AA1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37C533F1"/>
    <w:multiLevelType w:val="hybridMultilevel"/>
    <w:tmpl w:val="B2E0C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AA7527B"/>
    <w:multiLevelType w:val="hybridMultilevel"/>
    <w:tmpl w:val="12663B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F931D21"/>
    <w:multiLevelType w:val="hybridMultilevel"/>
    <w:tmpl w:val="7D0CCD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1" w15:restartNumberingAfterBreak="0">
    <w:nsid w:val="4C230E53"/>
    <w:multiLevelType w:val="hybridMultilevel"/>
    <w:tmpl w:val="0AEEB004"/>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2" w15:restartNumberingAfterBreak="0">
    <w:nsid w:val="56D0211E"/>
    <w:multiLevelType w:val="hybridMultilevel"/>
    <w:tmpl w:val="59A2350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E1061BA"/>
    <w:multiLevelType w:val="hybridMultilevel"/>
    <w:tmpl w:val="E4AEA6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5F4B1393"/>
    <w:multiLevelType w:val="multilevel"/>
    <w:tmpl w:val="FC34F8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601979B1"/>
    <w:multiLevelType w:val="hybridMultilevel"/>
    <w:tmpl w:val="A32434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16472EF"/>
    <w:multiLevelType w:val="hybridMultilevel"/>
    <w:tmpl w:val="F520574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7" w15:restartNumberingAfterBreak="0">
    <w:nsid w:val="65C6258C"/>
    <w:multiLevelType w:val="hybridMultilevel"/>
    <w:tmpl w:val="3D02FD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8" w15:restartNumberingAfterBreak="0">
    <w:nsid w:val="6812373A"/>
    <w:multiLevelType w:val="hybridMultilevel"/>
    <w:tmpl w:val="B030C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C4856FE"/>
    <w:multiLevelType w:val="hybridMultilevel"/>
    <w:tmpl w:val="18CA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CDF7453"/>
    <w:multiLevelType w:val="hybridMultilevel"/>
    <w:tmpl w:val="A68E0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50F2131"/>
    <w:multiLevelType w:val="hybridMultilevel"/>
    <w:tmpl w:val="38A0B8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60975F5"/>
    <w:multiLevelType w:val="hybridMultilevel"/>
    <w:tmpl w:val="191A4EF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6417ABC"/>
    <w:multiLevelType w:val="hybridMultilevel"/>
    <w:tmpl w:val="C86A45F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4" w15:restartNumberingAfterBreak="0">
    <w:nsid w:val="769745DD"/>
    <w:multiLevelType w:val="hybridMultilevel"/>
    <w:tmpl w:val="87E86318"/>
    <w:lvl w:ilvl="0" w:tplc="EFC6003C">
      <w:start w:val="1"/>
      <w:numFmt w:val="lowerLetter"/>
      <w:lvlText w:val="%1)"/>
      <w:lvlJc w:val="left"/>
      <w:pPr>
        <w:ind w:left="360" w:hanging="360"/>
      </w:pPr>
      <w:rPr>
        <w:rFonts w:hint="default"/>
        <w:i/>
        <w:iCs/>
      </w:rPr>
    </w:lvl>
    <w:lvl w:ilvl="1" w:tplc="300A0019">
      <w:start w:val="1"/>
      <w:numFmt w:val="lowerLetter"/>
      <w:lvlText w:val="%2."/>
      <w:lvlJc w:val="left"/>
      <w:pPr>
        <w:ind w:left="360" w:hanging="360"/>
      </w:pPr>
    </w:lvl>
    <w:lvl w:ilvl="2" w:tplc="300A001B">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5" w15:restartNumberingAfterBreak="0">
    <w:nsid w:val="7C4073E7"/>
    <w:multiLevelType w:val="hybridMultilevel"/>
    <w:tmpl w:val="746E2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7E6F2E20"/>
    <w:multiLevelType w:val="hybridMultilevel"/>
    <w:tmpl w:val="603A19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7F4C5A68"/>
    <w:multiLevelType w:val="hybridMultilevel"/>
    <w:tmpl w:val="FFBA3C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24"/>
  </w:num>
  <w:num w:numId="2">
    <w:abstractNumId w:val="11"/>
  </w:num>
  <w:num w:numId="3">
    <w:abstractNumId w:val="23"/>
  </w:num>
  <w:num w:numId="4">
    <w:abstractNumId w:val="26"/>
  </w:num>
  <w:num w:numId="5">
    <w:abstractNumId w:val="33"/>
  </w:num>
  <w:num w:numId="6">
    <w:abstractNumId w:val="3"/>
  </w:num>
  <w:num w:numId="7">
    <w:abstractNumId w:val="12"/>
  </w:num>
  <w:num w:numId="8">
    <w:abstractNumId w:val="9"/>
  </w:num>
  <w:num w:numId="9">
    <w:abstractNumId w:val="27"/>
  </w:num>
  <w:num w:numId="10">
    <w:abstractNumId w:val="30"/>
  </w:num>
  <w:num w:numId="11">
    <w:abstractNumId w:val="31"/>
  </w:num>
  <w:num w:numId="12">
    <w:abstractNumId w:val="36"/>
  </w:num>
  <w:num w:numId="13">
    <w:abstractNumId w:val="25"/>
  </w:num>
  <w:num w:numId="14">
    <w:abstractNumId w:val="35"/>
  </w:num>
  <w:num w:numId="15">
    <w:abstractNumId w:val="16"/>
  </w:num>
  <w:num w:numId="16">
    <w:abstractNumId w:val="21"/>
  </w:num>
  <w:num w:numId="17">
    <w:abstractNumId w:val="1"/>
  </w:num>
  <w:num w:numId="18">
    <w:abstractNumId w:val="4"/>
  </w:num>
  <w:num w:numId="19">
    <w:abstractNumId w:val="8"/>
  </w:num>
  <w:num w:numId="20">
    <w:abstractNumId w:val="20"/>
  </w:num>
  <w:num w:numId="21">
    <w:abstractNumId w:val="2"/>
  </w:num>
  <w:num w:numId="22">
    <w:abstractNumId w:val="32"/>
  </w:num>
  <w:num w:numId="23">
    <w:abstractNumId w:val="22"/>
  </w:num>
  <w:num w:numId="24">
    <w:abstractNumId w:val="5"/>
  </w:num>
  <w:num w:numId="25">
    <w:abstractNumId w:val="17"/>
  </w:num>
  <w:num w:numId="26">
    <w:abstractNumId w:val="10"/>
  </w:num>
  <w:num w:numId="27">
    <w:abstractNumId w:val="29"/>
  </w:num>
  <w:num w:numId="28">
    <w:abstractNumId w:val="13"/>
  </w:num>
  <w:num w:numId="29">
    <w:abstractNumId w:val="15"/>
  </w:num>
  <w:num w:numId="30">
    <w:abstractNumId w:val="19"/>
  </w:num>
  <w:num w:numId="31">
    <w:abstractNumId w:val="37"/>
  </w:num>
  <w:num w:numId="32">
    <w:abstractNumId w:val="14"/>
  </w:num>
  <w:num w:numId="33">
    <w:abstractNumId w:val="7"/>
  </w:num>
  <w:num w:numId="34">
    <w:abstractNumId w:val="0"/>
  </w:num>
  <w:num w:numId="35">
    <w:abstractNumId w:val="18"/>
  </w:num>
  <w:num w:numId="36">
    <w:abstractNumId w:val="28"/>
  </w:num>
  <w:num w:numId="37">
    <w:abstractNumId w:val="6"/>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22"/>
    <w:rsid w:val="00027B54"/>
    <w:rsid w:val="001650B8"/>
    <w:rsid w:val="001C73B5"/>
    <w:rsid w:val="001E6E45"/>
    <w:rsid w:val="003179F5"/>
    <w:rsid w:val="003517DA"/>
    <w:rsid w:val="003C13F7"/>
    <w:rsid w:val="00486D7A"/>
    <w:rsid w:val="00532CA5"/>
    <w:rsid w:val="00577E1D"/>
    <w:rsid w:val="00583D29"/>
    <w:rsid w:val="005D4729"/>
    <w:rsid w:val="00627222"/>
    <w:rsid w:val="006C5910"/>
    <w:rsid w:val="006C7579"/>
    <w:rsid w:val="00700B94"/>
    <w:rsid w:val="008F67F9"/>
    <w:rsid w:val="009E2AEF"/>
    <w:rsid w:val="00A01152"/>
    <w:rsid w:val="00A02BAF"/>
    <w:rsid w:val="00A342BD"/>
    <w:rsid w:val="00A54237"/>
    <w:rsid w:val="00A843EE"/>
    <w:rsid w:val="00BA46DA"/>
    <w:rsid w:val="00BD4E1B"/>
    <w:rsid w:val="00BE2B9B"/>
    <w:rsid w:val="00C256D8"/>
    <w:rsid w:val="00C31D4E"/>
    <w:rsid w:val="00C7138F"/>
    <w:rsid w:val="00C74371"/>
    <w:rsid w:val="00C82448"/>
    <w:rsid w:val="00CB02E3"/>
    <w:rsid w:val="00D9743C"/>
    <w:rsid w:val="00DA0412"/>
    <w:rsid w:val="00FA5A7B"/>
    <w:rsid w:val="00FD3B9C"/>
    <w:rsid w:val="00FD66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8C83"/>
  <w15:chartTrackingRefBased/>
  <w15:docId w15:val="{BD3C5110-403A-413B-908A-D3330000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7222"/>
    <w:pPr>
      <w:ind w:left="720"/>
      <w:contextualSpacing/>
    </w:pPr>
  </w:style>
  <w:style w:type="table" w:styleId="Tablaconcuadrcula">
    <w:name w:val="Table Grid"/>
    <w:basedOn w:val="Tablanormal"/>
    <w:uiPriority w:val="59"/>
    <w:rsid w:val="0062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027B5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4729"/>
    <w:rPr>
      <w:b/>
      <w:bCs/>
    </w:rPr>
  </w:style>
  <w:style w:type="table" w:customStyle="1" w:styleId="Tablaconcuadrcula2">
    <w:name w:val="Tabla con cuadrícula2"/>
    <w:basedOn w:val="Tablanormal"/>
    <w:next w:val="Tablaconcuadrcula"/>
    <w:uiPriority w:val="39"/>
    <w:rsid w:val="00532CA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532CA5"/>
  </w:style>
  <w:style w:type="character" w:customStyle="1" w:styleId="mpunct">
    <w:name w:val="mpunct"/>
    <w:basedOn w:val="Fuentedeprrafopredeter"/>
    <w:rsid w:val="00532CA5"/>
  </w:style>
  <w:style w:type="table" w:customStyle="1" w:styleId="NormalGrid">
    <w:name w:val="Normal Grid"/>
    <w:basedOn w:val="Tablanormal"/>
    <w:uiPriority w:val="39"/>
    <w:rsid w:val="001C73B5"/>
    <w:pPr>
      <w:spacing w:after="0" w:line="240" w:lineRule="auto"/>
    </w:pPr>
    <w:rPr>
      <w:rFonts w:ascii="Georgia"/>
      <w:sz w:val="21"/>
      <w:lang w:val="es-E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585">
      <w:bodyDiv w:val="1"/>
      <w:marLeft w:val="0"/>
      <w:marRight w:val="0"/>
      <w:marTop w:val="0"/>
      <w:marBottom w:val="0"/>
      <w:divBdr>
        <w:top w:val="none" w:sz="0" w:space="0" w:color="auto"/>
        <w:left w:val="none" w:sz="0" w:space="0" w:color="auto"/>
        <w:bottom w:val="none" w:sz="0" w:space="0" w:color="auto"/>
        <w:right w:val="none" w:sz="0" w:space="0" w:color="auto"/>
      </w:divBdr>
    </w:div>
    <w:div w:id="10843043">
      <w:bodyDiv w:val="1"/>
      <w:marLeft w:val="0"/>
      <w:marRight w:val="0"/>
      <w:marTop w:val="0"/>
      <w:marBottom w:val="0"/>
      <w:divBdr>
        <w:top w:val="none" w:sz="0" w:space="0" w:color="auto"/>
        <w:left w:val="none" w:sz="0" w:space="0" w:color="auto"/>
        <w:bottom w:val="none" w:sz="0" w:space="0" w:color="auto"/>
        <w:right w:val="none" w:sz="0" w:space="0" w:color="auto"/>
      </w:divBdr>
    </w:div>
    <w:div w:id="28144291">
      <w:bodyDiv w:val="1"/>
      <w:marLeft w:val="0"/>
      <w:marRight w:val="0"/>
      <w:marTop w:val="0"/>
      <w:marBottom w:val="0"/>
      <w:divBdr>
        <w:top w:val="none" w:sz="0" w:space="0" w:color="auto"/>
        <w:left w:val="none" w:sz="0" w:space="0" w:color="auto"/>
        <w:bottom w:val="none" w:sz="0" w:space="0" w:color="auto"/>
        <w:right w:val="none" w:sz="0" w:space="0" w:color="auto"/>
      </w:divBdr>
    </w:div>
    <w:div w:id="330959886">
      <w:bodyDiv w:val="1"/>
      <w:marLeft w:val="0"/>
      <w:marRight w:val="0"/>
      <w:marTop w:val="0"/>
      <w:marBottom w:val="0"/>
      <w:divBdr>
        <w:top w:val="none" w:sz="0" w:space="0" w:color="auto"/>
        <w:left w:val="none" w:sz="0" w:space="0" w:color="auto"/>
        <w:bottom w:val="none" w:sz="0" w:space="0" w:color="auto"/>
        <w:right w:val="none" w:sz="0" w:space="0" w:color="auto"/>
      </w:divBdr>
    </w:div>
    <w:div w:id="867522903">
      <w:bodyDiv w:val="1"/>
      <w:marLeft w:val="0"/>
      <w:marRight w:val="0"/>
      <w:marTop w:val="0"/>
      <w:marBottom w:val="0"/>
      <w:divBdr>
        <w:top w:val="none" w:sz="0" w:space="0" w:color="auto"/>
        <w:left w:val="none" w:sz="0" w:space="0" w:color="auto"/>
        <w:bottom w:val="none" w:sz="0" w:space="0" w:color="auto"/>
        <w:right w:val="none" w:sz="0" w:space="0" w:color="auto"/>
      </w:divBdr>
    </w:div>
    <w:div w:id="960260302">
      <w:bodyDiv w:val="1"/>
      <w:marLeft w:val="0"/>
      <w:marRight w:val="0"/>
      <w:marTop w:val="0"/>
      <w:marBottom w:val="0"/>
      <w:divBdr>
        <w:top w:val="none" w:sz="0" w:space="0" w:color="auto"/>
        <w:left w:val="none" w:sz="0" w:space="0" w:color="auto"/>
        <w:bottom w:val="none" w:sz="0" w:space="0" w:color="auto"/>
        <w:right w:val="none" w:sz="0" w:space="0" w:color="auto"/>
      </w:divBdr>
    </w:div>
    <w:div w:id="1036126292">
      <w:bodyDiv w:val="1"/>
      <w:marLeft w:val="0"/>
      <w:marRight w:val="0"/>
      <w:marTop w:val="0"/>
      <w:marBottom w:val="0"/>
      <w:divBdr>
        <w:top w:val="none" w:sz="0" w:space="0" w:color="auto"/>
        <w:left w:val="none" w:sz="0" w:space="0" w:color="auto"/>
        <w:bottom w:val="none" w:sz="0" w:space="0" w:color="auto"/>
        <w:right w:val="none" w:sz="0" w:space="0" w:color="auto"/>
      </w:divBdr>
    </w:div>
    <w:div w:id="1155728453">
      <w:bodyDiv w:val="1"/>
      <w:marLeft w:val="0"/>
      <w:marRight w:val="0"/>
      <w:marTop w:val="0"/>
      <w:marBottom w:val="0"/>
      <w:divBdr>
        <w:top w:val="none" w:sz="0" w:space="0" w:color="auto"/>
        <w:left w:val="none" w:sz="0" w:space="0" w:color="auto"/>
        <w:bottom w:val="none" w:sz="0" w:space="0" w:color="auto"/>
        <w:right w:val="none" w:sz="0" w:space="0" w:color="auto"/>
      </w:divBdr>
    </w:div>
    <w:div w:id="1208685479">
      <w:bodyDiv w:val="1"/>
      <w:marLeft w:val="0"/>
      <w:marRight w:val="0"/>
      <w:marTop w:val="0"/>
      <w:marBottom w:val="0"/>
      <w:divBdr>
        <w:top w:val="none" w:sz="0" w:space="0" w:color="auto"/>
        <w:left w:val="none" w:sz="0" w:space="0" w:color="auto"/>
        <w:bottom w:val="none" w:sz="0" w:space="0" w:color="auto"/>
        <w:right w:val="none" w:sz="0" w:space="0" w:color="auto"/>
      </w:divBdr>
    </w:div>
    <w:div w:id="1356031435">
      <w:bodyDiv w:val="1"/>
      <w:marLeft w:val="0"/>
      <w:marRight w:val="0"/>
      <w:marTop w:val="0"/>
      <w:marBottom w:val="0"/>
      <w:divBdr>
        <w:top w:val="none" w:sz="0" w:space="0" w:color="auto"/>
        <w:left w:val="none" w:sz="0" w:space="0" w:color="auto"/>
        <w:bottom w:val="none" w:sz="0" w:space="0" w:color="auto"/>
        <w:right w:val="none" w:sz="0" w:space="0" w:color="auto"/>
      </w:divBdr>
    </w:div>
    <w:div w:id="1474174775">
      <w:bodyDiv w:val="1"/>
      <w:marLeft w:val="0"/>
      <w:marRight w:val="0"/>
      <w:marTop w:val="0"/>
      <w:marBottom w:val="0"/>
      <w:divBdr>
        <w:top w:val="none" w:sz="0" w:space="0" w:color="auto"/>
        <w:left w:val="none" w:sz="0" w:space="0" w:color="auto"/>
        <w:bottom w:val="none" w:sz="0" w:space="0" w:color="auto"/>
        <w:right w:val="none" w:sz="0" w:space="0" w:color="auto"/>
      </w:divBdr>
    </w:div>
    <w:div w:id="206683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3CE4C-982D-40C9-96E5-C91FA6F90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36</Pages>
  <Words>11687</Words>
  <Characters>64279</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dc:creator>
  <cp:keywords/>
  <dc:description/>
  <cp:lastModifiedBy>Abel Espinoza</cp:lastModifiedBy>
  <cp:revision>8</cp:revision>
  <cp:lastPrinted>2026-06-21T04:53:00Z</cp:lastPrinted>
  <dcterms:created xsi:type="dcterms:W3CDTF">2026-06-21T04:58:00Z</dcterms:created>
  <dcterms:modified xsi:type="dcterms:W3CDTF">2026-07-06T16:45:00Z</dcterms:modified>
</cp:coreProperties>
</file>