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000" w:rsidRPr="00B76000" w:rsidRDefault="00B76000" w:rsidP="00B76000">
      <w:pPr>
        <w:shd w:val="clear" w:color="auto" w:fill="FFFFFF"/>
        <w:spacing w:after="0" w:line="240" w:lineRule="auto"/>
        <w:outlineLvl w:val="0"/>
        <w:rPr>
          <w:rFonts w:ascii="Arial" w:eastAsia="Times New Roman" w:hAnsi="Arial" w:cs="Arial"/>
          <w:color w:val="01488C"/>
          <w:kern w:val="36"/>
          <w:sz w:val="60"/>
          <w:szCs w:val="60"/>
          <w:lang w:eastAsia="en-ID"/>
        </w:rPr>
      </w:pPr>
      <w:r w:rsidRPr="00B76000">
        <w:rPr>
          <w:rFonts w:ascii="Arial" w:eastAsia="Times New Roman" w:hAnsi="Arial" w:cs="Arial"/>
          <w:color w:val="01488C"/>
          <w:kern w:val="36"/>
          <w:sz w:val="60"/>
          <w:szCs w:val="60"/>
          <w:lang w:eastAsia="en-ID"/>
        </w:rPr>
        <w:t>Akibat Jika dalam Petitum Gugatan Tidak Dicantumkan Biaya Perkara</w:t>
      </w:r>
    </w:p>
    <w:p w:rsidR="00B76000" w:rsidRPr="00B76000" w:rsidRDefault="00B76000" w:rsidP="00B76000">
      <w:pPr>
        <w:shd w:val="clear" w:color="auto" w:fill="FFFFFF"/>
        <w:spacing w:after="0" w:line="240" w:lineRule="auto"/>
        <w:rPr>
          <w:rFonts w:ascii="Helvetica" w:eastAsia="Times New Roman" w:hAnsi="Helvetica" w:cs="Helvetica"/>
          <w:color w:val="222222"/>
          <w:sz w:val="24"/>
          <w:szCs w:val="24"/>
          <w:lang w:eastAsia="en-ID"/>
        </w:rPr>
      </w:pPr>
      <w:r>
        <w:rPr>
          <w:rFonts w:ascii="Helvetica" w:eastAsia="Times New Roman" w:hAnsi="Helvetica" w:cs="Helvetica"/>
          <w:noProof/>
          <w:color w:val="222222"/>
          <w:sz w:val="24"/>
          <w:szCs w:val="24"/>
          <w:lang w:eastAsia="en-ID"/>
        </w:rPr>
        <mc:AlternateContent>
          <mc:Choice Requires="wps">
            <w:drawing>
              <wp:inline distT="0" distB="0" distL="0" distR="0">
                <wp:extent cx="762000" cy="762000"/>
                <wp:effectExtent l="0" t="0" r="0" b="0"/>
                <wp:docPr id="3" name="Rectangle 3" descr="https://www.hukumonline.com/klinik/detail/ulasan/lt5c1ba43d752b3/akibat-jika-dalam-petitum-gugatan-tidak-dicantumkan-biaya-perka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https://www.hukumonline.com/klinik/detail/ulasan/lt5c1ba43d752b3/akibat-jika-dalam-petitum-gugatan-tidak-dicantumkan-biaya-perkara" style="width:60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" filled="f" stroked="f">
                <o:lock v:ext="edit" aspectratio="t"/>
                <w10:anchorlock/>
              </v:rect>
            </w:pict>
          </mc:Fallback>
        </mc:AlternateContent>
      </w:r>
    </w:p>
    <w:p w:rsidR="00B76000" w:rsidRPr="00B76000" w:rsidRDefault="00B76000" w:rsidP="00B76000">
      <w:pPr>
        <w:shd w:val="clear" w:color="auto" w:fill="FFFFFF"/>
        <w:spacing w:after="0" w:line="240" w:lineRule="auto"/>
        <w:rPr>
          <w:rFonts w:ascii="Helvetica" w:eastAsia="Times New Roman" w:hAnsi="Helvetica" w:cs="Helvetica"/>
          <w:color w:val="222222"/>
          <w:sz w:val="24"/>
          <w:szCs w:val="24"/>
          <w:lang w:eastAsia="en-ID"/>
        </w:rPr>
      </w:pPr>
      <w:hyperlink r:id="rId6" w:tgtFrame="_blank" w:tooltip="Anselmus Malofiks, S.H." w:history="1">
        <w:r w:rsidRPr="00B76000">
          <w:rPr>
            <w:rFonts w:ascii="Helvetica" w:eastAsia="Times New Roman" w:hAnsi="Helvetica" w:cs="Helvetica"/>
            <w:b/>
            <w:bCs/>
            <w:color w:val="333333"/>
            <w:sz w:val="24"/>
            <w:szCs w:val="24"/>
            <w:lang w:eastAsia="en-ID"/>
          </w:rPr>
          <w:t>Anselmus Malofiks, S.H.</w:t>
        </w:r>
      </w:hyperlink>
      <w:r w:rsidRPr="00B76000">
        <w:rPr>
          <w:rFonts w:ascii="Helvetica" w:eastAsia="Times New Roman" w:hAnsi="Helvetica" w:cs="Helvetica"/>
          <w:color w:val="222222"/>
          <w:sz w:val="24"/>
          <w:szCs w:val="24"/>
          <w:lang w:eastAsia="en-ID"/>
        </w:rPr>
        <w:br/>
      </w:r>
      <w:hyperlink r:id="rId7" w:tgtFrame="_blank" w:tooltip="Kategori : Hukum Perdata" w:history="1">
        <w:r w:rsidRPr="00B76000">
          <w:rPr>
            <w:rFonts w:ascii="Helvetica" w:eastAsia="Times New Roman" w:hAnsi="Helvetica" w:cs="Helvetica"/>
            <w:color w:val="FFFFFF"/>
            <w:sz w:val="24"/>
            <w:szCs w:val="24"/>
            <w:u w:val="single"/>
            <w:shd w:val="clear" w:color="auto" w:fill="687B90"/>
            <w:lang w:eastAsia="en-ID"/>
          </w:rPr>
          <w:t>Hukum Perdata</w:t>
        </w:r>
      </w:hyperlink>
      <w:r w:rsidRPr="00B76000">
        <w:rPr>
          <w:rFonts w:ascii="Helvetica" w:eastAsia="Times New Roman" w:hAnsi="Helvetica" w:cs="Helvetica"/>
          <w:color w:val="222222"/>
          <w:sz w:val="24"/>
          <w:szCs w:val="24"/>
          <w:lang w:eastAsia="en-ID"/>
        </w:rPr>
        <w:br/>
      </w:r>
      <w:hyperlink r:id="rId8" w:tgtFrame="_blank" w:tooltip="Lembaga Bantuan Hukum Mawar Saron" w:history="1">
        <w:r w:rsidRPr="00B76000">
          <w:rPr>
            <w:rFonts w:ascii="Helvetica" w:eastAsia="Times New Roman" w:hAnsi="Helvetica" w:cs="Helvetica"/>
            <w:color w:val="666666"/>
            <w:sz w:val="24"/>
            <w:szCs w:val="24"/>
            <w:u w:val="single"/>
            <w:lang w:eastAsia="en-ID"/>
          </w:rPr>
          <w:t>Lembaga Bantuan Hukum Mawar Saron</w:t>
        </w:r>
      </w:hyperlink>
    </w:p>
    <w:p w:rsidR="00B76000" w:rsidRPr="00B76000" w:rsidRDefault="00B76000" w:rsidP="00B76000">
      <w:pPr>
        <w:shd w:val="clear" w:color="auto" w:fill="FFFFFF"/>
        <w:spacing w:after="0" w:line="240" w:lineRule="auto"/>
        <w:rPr>
          <w:rFonts w:ascii="Helvetica" w:eastAsia="Times New Roman" w:hAnsi="Helvetica" w:cs="Helvetica"/>
          <w:color w:val="222222"/>
          <w:sz w:val="24"/>
          <w:szCs w:val="24"/>
          <w:lang w:eastAsia="en-ID"/>
        </w:rPr>
      </w:pPr>
      <w:r>
        <w:rPr>
          <w:rFonts w:ascii="Helvetica" w:eastAsia="Times New Roman" w:hAnsi="Helvetica" w:cs="Helvetica"/>
          <w:noProof/>
          <w:color w:val="222222"/>
          <w:sz w:val="24"/>
          <w:szCs w:val="24"/>
          <w:lang w:eastAsia="en-ID"/>
        </w:rPr>
        <w:drawing>
          <wp:inline distT="0" distB="0" distL="0" distR="0">
            <wp:extent cx="5715000" cy="3810000"/>
            <wp:effectExtent l="0" t="0" r="0" b="0"/>
            <wp:docPr id="2" name="Picture 2" descr="Akibat Jika dalam Petitum Gugatan Tidak Dicantumkan Biaya Per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kibat Jika dalam Petitum Gugatan Tidak Dicantumkan Biaya Perk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B76000" w:rsidRPr="00B76000" w:rsidRDefault="00B76000" w:rsidP="00B76000">
      <w:pPr>
        <w:shd w:val="clear" w:color="auto" w:fill="FFFFFF"/>
        <w:spacing w:after="120" w:line="291" w:lineRule="atLeast"/>
        <w:outlineLvl w:val="3"/>
        <w:rPr>
          <w:rFonts w:ascii="Arial" w:eastAsia="Times New Roman" w:hAnsi="Arial" w:cs="Arial"/>
          <w:b/>
          <w:bCs/>
          <w:color w:val="222222"/>
          <w:sz w:val="27"/>
          <w:szCs w:val="27"/>
          <w:lang w:eastAsia="en-ID"/>
        </w:rPr>
      </w:pPr>
      <w:r w:rsidRPr="00B76000">
        <w:rPr>
          <w:rFonts w:ascii="Arial" w:eastAsia="Times New Roman" w:hAnsi="Arial" w:cs="Arial"/>
          <w:b/>
          <w:bCs/>
          <w:color w:val="222222"/>
          <w:sz w:val="27"/>
          <w:szCs w:val="27"/>
          <w:lang w:eastAsia="en-ID"/>
        </w:rPr>
        <w:t>Pertanyaan</w:t>
      </w:r>
    </w:p>
    <w:p w:rsidR="00B76000" w:rsidRPr="00B76000" w:rsidRDefault="00B76000" w:rsidP="00B76000">
      <w:pPr>
        <w:shd w:val="clear" w:color="auto" w:fill="FFFFFF"/>
        <w:spacing w:after="300" w:line="240" w:lineRule="auto"/>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Apakah gugatan yang tidak mencantumkan permintaan untuk pembebanan biaya perkara menjadi </w:t>
      </w:r>
      <w:r w:rsidRPr="00B76000">
        <w:rPr>
          <w:rFonts w:ascii="Arial" w:eastAsia="Times New Roman" w:hAnsi="Arial" w:cs="Arial"/>
          <w:i/>
          <w:iCs/>
          <w:color w:val="222222"/>
          <w:sz w:val="24"/>
          <w:szCs w:val="24"/>
          <w:lang w:eastAsia="en-ID"/>
        </w:rPr>
        <w:t>obscuur libe</w:t>
      </w:r>
      <w:r w:rsidRPr="00B76000">
        <w:rPr>
          <w:rFonts w:ascii="Arial" w:eastAsia="Times New Roman" w:hAnsi="Arial" w:cs="Arial"/>
          <w:color w:val="222222"/>
          <w:sz w:val="24"/>
          <w:szCs w:val="24"/>
          <w:lang w:eastAsia="en-ID"/>
        </w:rPr>
        <w:t>l? Lalu apakah bila Majelis Hakim memutuskan untuk membebankan biaya perkara kepada penggugat atau tergugat, putusan tersebut akan menjadi </w:t>
      </w:r>
      <w:r w:rsidRPr="00B76000">
        <w:rPr>
          <w:rFonts w:ascii="Arial" w:eastAsia="Times New Roman" w:hAnsi="Arial" w:cs="Arial"/>
          <w:i/>
          <w:iCs/>
          <w:color w:val="222222"/>
          <w:sz w:val="24"/>
          <w:szCs w:val="24"/>
          <w:lang w:eastAsia="en-ID"/>
        </w:rPr>
        <w:t>ultra petita</w:t>
      </w:r>
      <w:r w:rsidRPr="00B76000">
        <w:rPr>
          <w:rFonts w:ascii="Arial" w:eastAsia="Times New Roman" w:hAnsi="Arial" w:cs="Arial"/>
          <w:color w:val="222222"/>
          <w:sz w:val="24"/>
          <w:szCs w:val="24"/>
          <w:lang w:eastAsia="en-ID"/>
        </w:rPr>
        <w:t>? Terima kasih.  </w:t>
      </w:r>
    </w:p>
    <w:p w:rsidR="00B76000" w:rsidRPr="00B76000" w:rsidRDefault="00B76000" w:rsidP="00B76000">
      <w:pPr>
        <w:shd w:val="clear" w:color="auto" w:fill="EAEAEA"/>
        <w:spacing w:after="120" w:line="291" w:lineRule="atLeast"/>
        <w:outlineLvl w:val="3"/>
        <w:rPr>
          <w:rFonts w:ascii="Arial" w:eastAsia="Times New Roman" w:hAnsi="Arial" w:cs="Arial"/>
          <w:b/>
          <w:bCs/>
          <w:color w:val="222222"/>
          <w:sz w:val="27"/>
          <w:szCs w:val="27"/>
          <w:lang w:eastAsia="en-ID"/>
        </w:rPr>
      </w:pPr>
      <w:r w:rsidRPr="00B76000">
        <w:rPr>
          <w:rFonts w:ascii="Arial" w:eastAsia="Times New Roman" w:hAnsi="Arial" w:cs="Arial"/>
          <w:b/>
          <w:bCs/>
          <w:color w:val="222222"/>
          <w:sz w:val="27"/>
          <w:szCs w:val="27"/>
          <w:lang w:eastAsia="en-ID"/>
        </w:rPr>
        <w:t>Ulasan Lengkap</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Sebelum menjawab pertanyaan Anda secara lebih mendalam, ada baiknya dijelaskan terlebih dahulu apa itu gugatan dan apa hubungannya gugatan tersebut dengan </w:t>
      </w:r>
      <w:r w:rsidRPr="00B76000">
        <w:rPr>
          <w:rFonts w:ascii="Helvetica" w:eastAsia="Times New Roman" w:hAnsi="Helvetica" w:cs="Helvetica"/>
          <w:i/>
          <w:iCs/>
          <w:color w:val="222222"/>
          <w:sz w:val="24"/>
          <w:szCs w:val="24"/>
          <w:lang w:eastAsia="en-ID"/>
        </w:rPr>
        <w:t>obscuur libel </w:t>
      </w:r>
      <w:r w:rsidRPr="00B76000">
        <w:rPr>
          <w:rFonts w:ascii="Helvetica" w:eastAsia="Times New Roman" w:hAnsi="Helvetica" w:cs="Helvetica"/>
          <w:color w:val="222222"/>
          <w:sz w:val="24"/>
          <w:szCs w:val="24"/>
          <w:lang w:eastAsia="en-ID"/>
        </w:rPr>
        <w:t>sesuai dengan pertanyaan Anda di atas.</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b/>
          <w:bCs/>
          <w:color w:val="222222"/>
          <w:sz w:val="24"/>
          <w:szCs w:val="24"/>
          <w:lang w:eastAsia="en-ID"/>
        </w:rPr>
        <w:lastRenderedPageBreak/>
        <w:t>Syarat Gugatan Perdata</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Gugatan menurut </w:t>
      </w:r>
      <w:r w:rsidRPr="00B76000">
        <w:rPr>
          <w:rFonts w:ascii="Helvetica" w:eastAsia="Times New Roman" w:hAnsi="Helvetica" w:cs="Helvetica"/>
          <w:b/>
          <w:bCs/>
          <w:color w:val="222222"/>
          <w:sz w:val="24"/>
          <w:szCs w:val="24"/>
          <w:lang w:eastAsia="en-ID"/>
        </w:rPr>
        <w:t>Sudikno Mertokusumo</w:t>
      </w:r>
      <w:r w:rsidRPr="00B76000">
        <w:rPr>
          <w:rFonts w:ascii="Helvetica" w:eastAsia="Times New Roman" w:hAnsi="Helvetica" w:cs="Helvetica"/>
          <w:color w:val="222222"/>
          <w:sz w:val="24"/>
          <w:szCs w:val="24"/>
          <w:lang w:eastAsia="en-ID"/>
        </w:rPr>
        <w:t> dalam bukunya </w:t>
      </w:r>
      <w:r w:rsidRPr="00B76000">
        <w:rPr>
          <w:rFonts w:ascii="Helvetica" w:eastAsia="Times New Roman" w:hAnsi="Helvetica" w:cs="Helvetica"/>
          <w:i/>
          <w:iCs/>
          <w:color w:val="222222"/>
          <w:sz w:val="24"/>
          <w:szCs w:val="24"/>
          <w:lang w:eastAsia="en-ID"/>
        </w:rPr>
        <w:t>Hukum Acara Perdata Indonesia </w:t>
      </w:r>
      <w:r w:rsidRPr="00B76000">
        <w:rPr>
          <w:rFonts w:ascii="Helvetica" w:eastAsia="Times New Roman" w:hAnsi="Helvetica" w:cs="Helvetica"/>
          <w:color w:val="222222"/>
          <w:sz w:val="24"/>
          <w:szCs w:val="24"/>
          <w:lang w:eastAsia="en-ID"/>
        </w:rPr>
        <w:t>adalah tuntutan hak yang mengandung sengketa. </w:t>
      </w:r>
      <w:r w:rsidRPr="00B76000">
        <w:rPr>
          <w:rFonts w:ascii="Helvetica" w:eastAsia="Times New Roman" w:hAnsi="Helvetica" w:cs="Helvetica"/>
          <w:b/>
          <w:bCs/>
          <w:color w:val="222222"/>
          <w:sz w:val="24"/>
          <w:szCs w:val="24"/>
          <w:lang w:eastAsia="en-ID"/>
        </w:rPr>
        <w:t>Secara sederhana gugatan itu berisi mengenai tuntutan hak dari pihak yang berkepentingan untuk mendapatkan perlindungan hukum karena dirinya menderita kerugian akibat perbuatan pihak lain.</w:t>
      </w:r>
    </w:p>
    <w:p w:rsidR="00B76000" w:rsidRPr="00B76000" w:rsidRDefault="00B76000" w:rsidP="00B76000">
      <w:pPr>
        <w:shd w:val="clear" w:color="auto" w:fill="EAEAEA"/>
        <w:spacing w:after="0" w:line="240" w:lineRule="auto"/>
        <w:jc w:val="center"/>
        <w:rPr>
          <w:rFonts w:ascii="Helvetica" w:eastAsia="Times New Roman" w:hAnsi="Helvetica" w:cs="Helvetica"/>
          <w:color w:val="222222"/>
          <w:sz w:val="24"/>
          <w:szCs w:val="24"/>
          <w:lang w:eastAsia="en-ID"/>
        </w:rPr>
      </w:pP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Kemudian </w:t>
      </w:r>
      <w:r w:rsidRPr="00B76000">
        <w:rPr>
          <w:rFonts w:ascii="Helvetica" w:eastAsia="Times New Roman" w:hAnsi="Helvetica" w:cs="Helvetica"/>
          <w:b/>
          <w:bCs/>
          <w:color w:val="222222"/>
          <w:sz w:val="24"/>
          <w:szCs w:val="24"/>
          <w:lang w:eastAsia="en-ID"/>
        </w:rPr>
        <w:t>Yahya Harahap</w:t>
      </w:r>
      <w:r w:rsidRPr="00B76000">
        <w:rPr>
          <w:rFonts w:ascii="Helvetica" w:eastAsia="Times New Roman" w:hAnsi="Helvetica" w:cs="Helvetica"/>
          <w:color w:val="222222"/>
          <w:sz w:val="24"/>
          <w:szCs w:val="24"/>
          <w:lang w:eastAsia="en-ID"/>
        </w:rPr>
        <w:t> dalam bukunya </w:t>
      </w:r>
      <w:r w:rsidRPr="00B76000">
        <w:rPr>
          <w:rFonts w:ascii="Helvetica" w:eastAsia="Times New Roman" w:hAnsi="Helvetica" w:cs="Helvetica"/>
          <w:i/>
          <w:iCs/>
          <w:color w:val="222222"/>
          <w:sz w:val="24"/>
          <w:szCs w:val="24"/>
          <w:lang w:eastAsia="en-ID"/>
        </w:rPr>
        <w:t>Hukum Acara Perdata: tentang Gugatan, Persidangan, Penyitaan, Pembuktian, dan Putusan Pengadilan </w:t>
      </w:r>
      <w:r w:rsidRPr="00B76000">
        <w:rPr>
          <w:rFonts w:ascii="Helvetica" w:eastAsia="Times New Roman" w:hAnsi="Helvetica" w:cs="Helvetica"/>
          <w:color w:val="222222"/>
          <w:sz w:val="24"/>
          <w:szCs w:val="24"/>
          <w:lang w:eastAsia="en-ID"/>
        </w:rPr>
        <w:t>(hal. 47) mendefinisikan</w:t>
      </w:r>
      <w:r w:rsidRPr="00B76000">
        <w:rPr>
          <w:rFonts w:ascii="Helvetica" w:eastAsia="Times New Roman" w:hAnsi="Helvetica" w:cs="Helvetica"/>
          <w:i/>
          <w:iCs/>
          <w:color w:val="222222"/>
          <w:sz w:val="24"/>
          <w:szCs w:val="24"/>
          <w:lang w:eastAsia="en-ID"/>
        </w:rPr>
        <w:t> </w:t>
      </w:r>
      <w:r w:rsidRPr="00B76000">
        <w:rPr>
          <w:rFonts w:ascii="Helvetica" w:eastAsia="Times New Roman" w:hAnsi="Helvetica" w:cs="Helvetica"/>
          <w:color w:val="222222"/>
          <w:sz w:val="24"/>
          <w:szCs w:val="24"/>
          <w:lang w:eastAsia="en-ID"/>
        </w:rPr>
        <w:t>gugatan perdata sebagai gugatan yang mengandung sengketa di antara para pihak yang berperkara dengan posisi para pihak:</w:t>
      </w:r>
    </w:p>
    <w:p w:rsidR="00B76000" w:rsidRPr="00B76000" w:rsidRDefault="00B76000" w:rsidP="00B76000">
      <w:pPr>
        <w:numPr>
          <w:ilvl w:val="0"/>
          <w:numId w:val="1"/>
        </w:numPr>
        <w:shd w:val="clear" w:color="auto" w:fill="EAEAEA"/>
        <w:spacing w:after="0" w:line="240" w:lineRule="auto"/>
        <w:ind w:left="4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Yang mengajukan penyelesaian sengketa disebut sebagai penggugat (</w:t>
      </w:r>
      <w:r w:rsidRPr="00B76000">
        <w:rPr>
          <w:rFonts w:ascii="Arial" w:eastAsia="Times New Roman" w:hAnsi="Arial" w:cs="Arial"/>
          <w:i/>
          <w:iCs/>
          <w:color w:val="222222"/>
          <w:sz w:val="24"/>
          <w:szCs w:val="24"/>
          <w:lang w:eastAsia="en-ID"/>
        </w:rPr>
        <w:t>plaintiff</w:t>
      </w:r>
      <w:r w:rsidRPr="00B76000">
        <w:rPr>
          <w:rFonts w:ascii="Arial" w:eastAsia="Times New Roman" w:hAnsi="Arial" w:cs="Arial"/>
          <w:color w:val="222222"/>
          <w:sz w:val="24"/>
          <w:szCs w:val="24"/>
          <w:lang w:eastAsia="en-ID"/>
        </w:rPr>
        <w:t>);</w:t>
      </w:r>
    </w:p>
    <w:p w:rsidR="00B76000" w:rsidRPr="00B76000" w:rsidRDefault="00B76000" w:rsidP="00B76000">
      <w:pPr>
        <w:numPr>
          <w:ilvl w:val="0"/>
          <w:numId w:val="1"/>
        </w:numPr>
        <w:shd w:val="clear" w:color="auto" w:fill="EAEAEA"/>
        <w:spacing w:after="0" w:line="240" w:lineRule="auto"/>
        <w:ind w:left="4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Yang ditarik sebagai lawan berkedudukan sebagai tergugat (</w:t>
      </w:r>
      <w:r w:rsidRPr="00B76000">
        <w:rPr>
          <w:rFonts w:ascii="Arial" w:eastAsia="Times New Roman" w:hAnsi="Arial" w:cs="Arial"/>
          <w:i/>
          <w:iCs/>
          <w:color w:val="222222"/>
          <w:sz w:val="24"/>
          <w:szCs w:val="24"/>
          <w:lang w:eastAsia="en-ID"/>
        </w:rPr>
        <w:t>defendant)</w:t>
      </w:r>
      <w:r w:rsidRPr="00B76000">
        <w:rPr>
          <w:rFonts w:ascii="Arial" w:eastAsia="Times New Roman" w:hAnsi="Arial" w:cs="Arial"/>
          <w:color w:val="222222"/>
          <w:sz w:val="24"/>
          <w:szCs w:val="24"/>
          <w:lang w:eastAsia="en-ID"/>
        </w:rPr>
        <w: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Dalam teknik penyusunan gugatan harus benar-benar diperhatikan mengenai persyaratan gugatan tersebut yakni </w:t>
      </w:r>
      <w:r w:rsidRPr="00B76000">
        <w:rPr>
          <w:rFonts w:ascii="Helvetica" w:eastAsia="Times New Roman" w:hAnsi="Helvetica" w:cs="Helvetica"/>
          <w:color w:val="222222"/>
          <w:sz w:val="24"/>
          <w:szCs w:val="24"/>
          <w:u w:val="single"/>
          <w:lang w:eastAsia="en-ID"/>
        </w:rPr>
        <w:t>syarat formil</w:t>
      </w:r>
      <w:r w:rsidRPr="00B76000">
        <w:rPr>
          <w:rFonts w:ascii="Helvetica" w:eastAsia="Times New Roman" w:hAnsi="Helvetica" w:cs="Helvetica"/>
          <w:color w:val="222222"/>
          <w:sz w:val="24"/>
          <w:szCs w:val="24"/>
          <w:lang w:eastAsia="en-ID"/>
        </w:rPr>
        <w:t> dan </w:t>
      </w:r>
      <w:r w:rsidRPr="00B76000">
        <w:rPr>
          <w:rFonts w:ascii="Helvetica" w:eastAsia="Times New Roman" w:hAnsi="Helvetica" w:cs="Helvetica"/>
          <w:color w:val="222222"/>
          <w:sz w:val="24"/>
          <w:szCs w:val="24"/>
          <w:u w:val="single"/>
          <w:lang w:eastAsia="en-ID"/>
        </w:rPr>
        <w:t>syarat materiil</w:t>
      </w:r>
      <w:r w:rsidRPr="00B76000">
        <w:rPr>
          <w:rFonts w:ascii="Helvetica" w:eastAsia="Times New Roman" w:hAnsi="Helvetica" w:cs="Helvetica"/>
          <w:color w:val="222222"/>
          <w:sz w:val="24"/>
          <w:szCs w:val="24"/>
          <w:lang w:eastAsia="en-ID"/>
        </w:rPr>
        <w:t> sesuai dengan </w:t>
      </w:r>
      <w:r w:rsidRPr="00B76000">
        <w:rPr>
          <w:rFonts w:ascii="Helvetica" w:eastAsia="Times New Roman" w:hAnsi="Helvetica" w:cs="Helvetica"/>
          <w:b/>
          <w:bCs/>
          <w:color w:val="222222"/>
          <w:sz w:val="24"/>
          <w:szCs w:val="24"/>
          <w:lang w:eastAsia="en-ID"/>
        </w:rPr>
        <w:t>Pasal 8 nomor 3 Rv (</w:t>
      </w:r>
      <w:r w:rsidRPr="00B76000">
        <w:rPr>
          <w:rFonts w:ascii="Helvetica" w:eastAsia="Times New Roman" w:hAnsi="Helvetica" w:cs="Helvetica"/>
          <w:b/>
          <w:bCs/>
          <w:i/>
          <w:iCs/>
          <w:color w:val="222222"/>
          <w:sz w:val="24"/>
          <w:szCs w:val="24"/>
          <w:shd w:val="clear" w:color="auto" w:fill="FFFFFF"/>
          <w:lang w:eastAsia="en-ID"/>
        </w:rPr>
        <w:t>Reglement of de Rechtsvordering</w:t>
      </w:r>
      <w:r w:rsidRPr="00B76000">
        <w:rPr>
          <w:rFonts w:ascii="Helvetica" w:eastAsia="Times New Roman" w:hAnsi="Helvetica" w:cs="Helvetica"/>
          <w:b/>
          <w:bCs/>
          <w:color w:val="222222"/>
          <w:sz w:val="24"/>
          <w:szCs w:val="24"/>
          <w:shd w:val="clear" w:color="auto" w:fill="FFFFFF"/>
          <w:lang w:eastAsia="en-ID"/>
        </w:rPr>
        <w:t>)</w:t>
      </w:r>
      <w:r w:rsidRPr="00B76000">
        <w:rPr>
          <w:rFonts w:ascii="Helvetica" w:eastAsia="Times New Roman" w:hAnsi="Helvetica" w:cs="Helvetica"/>
          <w:color w:val="222222"/>
          <w:sz w:val="24"/>
          <w:szCs w:val="24"/>
          <w:shd w:val="clear" w:color="auto" w:fill="FFFFFF"/>
          <w:lang w:eastAsia="en-ID"/>
        </w:rPr>
        <w:t>. Apabila suatu gugatan mengandung kecacatan baik formil maupun materiil, maka gugatan tersebut akan ditolak atau tidak dapat diterima</w:t>
      </w:r>
      <w:r w:rsidRPr="00B76000">
        <w:rPr>
          <w:rFonts w:ascii="Helvetica" w:eastAsia="Times New Roman" w:hAnsi="Helvetica" w:cs="Helvetica"/>
          <w:color w:val="222222"/>
          <w:sz w:val="24"/>
          <w:szCs w:val="24"/>
          <w:lang w:eastAsia="en-ID"/>
        </w:rPr>
        <w: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Lebih lanjut Yahya harahap (hal. 51-67) menjelaskan bahwa hal-hal yang penting dirumuskan dalam gugatan adalah sebagai berikut:</w:t>
      </w:r>
    </w:p>
    <w:p w:rsidR="00B76000" w:rsidRPr="00B76000" w:rsidRDefault="00B76000" w:rsidP="00B76000">
      <w:pPr>
        <w:numPr>
          <w:ilvl w:val="0"/>
          <w:numId w:val="2"/>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Syarat formil      : gugatan didaftarkan di Pengadilan Negeri sesuai dengan kewenangan relatif, diberi tanggal, ditandatangani oleh penggugat atau kuasanya, serta adanya identitas para pihak.</w:t>
      </w:r>
    </w:p>
    <w:p w:rsidR="00B76000" w:rsidRPr="00B76000" w:rsidRDefault="00B76000" w:rsidP="00B76000">
      <w:pPr>
        <w:numPr>
          <w:ilvl w:val="0"/>
          <w:numId w:val="2"/>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Syarat Materil     : dasar gugatan atau dasar tuntutan (</w:t>
      </w:r>
      <w:r w:rsidRPr="00B76000">
        <w:rPr>
          <w:rFonts w:ascii="Arial" w:eastAsia="Times New Roman" w:hAnsi="Arial" w:cs="Arial"/>
          <w:i/>
          <w:iCs/>
          <w:color w:val="222222"/>
          <w:sz w:val="24"/>
          <w:szCs w:val="24"/>
          <w:lang w:eastAsia="en-ID"/>
        </w:rPr>
        <w:t>fundamentum petendi</w:t>
      </w:r>
      <w:r w:rsidRPr="00B76000">
        <w:rPr>
          <w:rFonts w:ascii="Arial" w:eastAsia="Times New Roman" w:hAnsi="Arial" w:cs="Arial"/>
          <w:color w:val="222222"/>
          <w:sz w:val="24"/>
          <w:szCs w:val="24"/>
          <w:lang w:eastAsia="en-ID"/>
        </w:rPr>
        <w:t>), dan tuntutan (</w:t>
      </w:r>
      <w:r w:rsidRPr="00B76000">
        <w:rPr>
          <w:rFonts w:ascii="Arial" w:eastAsia="Times New Roman" w:hAnsi="Arial" w:cs="Arial"/>
          <w:i/>
          <w:iCs/>
          <w:color w:val="222222"/>
          <w:sz w:val="24"/>
          <w:szCs w:val="24"/>
          <w:lang w:eastAsia="en-ID"/>
        </w:rPr>
        <w:t>petitum</w:t>
      </w:r>
      <w:r w:rsidRPr="00B76000">
        <w:rPr>
          <w:rFonts w:ascii="Arial" w:eastAsia="Times New Roman" w:hAnsi="Arial" w:cs="Arial"/>
          <w:color w:val="222222"/>
          <w:sz w:val="24"/>
          <w:szCs w:val="24"/>
          <w:lang w:eastAsia="en-ID"/>
        </w:rPr>
        <w:t>) penggugat yang nantinya diputuskan oleh hakim berdasarkan gugatan atau dasar tuntutan tersebut.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b/>
          <w:bCs/>
          <w:color w:val="222222"/>
          <w:sz w:val="24"/>
          <w:szCs w:val="24"/>
          <w:lang w:eastAsia="en-ID"/>
        </w:rPr>
        <w:t>Gugatan </w:t>
      </w:r>
      <w:r w:rsidRPr="00B76000">
        <w:rPr>
          <w:rFonts w:ascii="Helvetica" w:eastAsia="Times New Roman" w:hAnsi="Helvetica" w:cs="Helvetica"/>
          <w:b/>
          <w:bCs/>
          <w:i/>
          <w:iCs/>
          <w:color w:val="222222"/>
          <w:sz w:val="24"/>
          <w:szCs w:val="24"/>
          <w:lang w:eastAsia="en-ID"/>
        </w:rPr>
        <w:t>Obscuur Libel</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Setelah mengetahui apa itu gugatan dan syarat-syarat apa saja yang harus dipenuhi agar gugatan tidak cacat secara hukum, maka selanjutnya dijelaskan hubungannya surat gugatan tersebut dengan </w:t>
      </w:r>
      <w:r w:rsidRPr="00B76000">
        <w:rPr>
          <w:rFonts w:ascii="Helvetica" w:eastAsia="Times New Roman" w:hAnsi="Helvetica" w:cs="Helvetica"/>
          <w:i/>
          <w:iCs/>
          <w:color w:val="222222"/>
          <w:sz w:val="24"/>
          <w:szCs w:val="24"/>
          <w:lang w:eastAsia="en-ID"/>
        </w:rPr>
        <w:t>obscuur libel</w:t>
      </w:r>
      <w:r w:rsidRPr="00B76000">
        <w:rPr>
          <w:rFonts w:ascii="Helvetica" w:eastAsia="Times New Roman" w:hAnsi="Helvetica" w:cs="Helvetica"/>
          <w:color w:val="222222"/>
          <w:sz w:val="24"/>
          <w:szCs w:val="24"/>
          <w:lang w:eastAsia="en-ID"/>
        </w:rPr>
        <w: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Hubungan antara gugatan dengan gugatan yang </w:t>
      </w:r>
      <w:r w:rsidRPr="00B76000">
        <w:rPr>
          <w:rFonts w:ascii="Helvetica" w:eastAsia="Times New Roman" w:hAnsi="Helvetica" w:cs="Helvetica"/>
          <w:i/>
          <w:iCs/>
          <w:color w:val="222222"/>
          <w:sz w:val="24"/>
          <w:szCs w:val="24"/>
          <w:lang w:eastAsia="en-ID"/>
        </w:rPr>
        <w:t>obscuur libel </w:t>
      </w:r>
      <w:r w:rsidRPr="00B76000">
        <w:rPr>
          <w:rFonts w:ascii="Helvetica" w:eastAsia="Times New Roman" w:hAnsi="Helvetica" w:cs="Helvetica"/>
          <w:color w:val="222222"/>
          <w:sz w:val="24"/>
          <w:szCs w:val="24"/>
          <w:lang w:eastAsia="en-ID"/>
        </w:rPr>
        <w:t>itu sendiri terletak dari ketidaksesuaian isi fakta hukum yang terjadi</w:t>
      </w:r>
      <w:r w:rsidRPr="00B76000">
        <w:rPr>
          <w:rFonts w:ascii="Helvetica" w:eastAsia="Times New Roman" w:hAnsi="Helvetica" w:cs="Helvetica"/>
          <w:i/>
          <w:iCs/>
          <w:color w:val="222222"/>
          <w:sz w:val="24"/>
          <w:szCs w:val="24"/>
          <w:lang w:eastAsia="en-ID"/>
        </w:rPr>
        <w:t> (fundamentum petendi)</w:t>
      </w:r>
      <w:r w:rsidRPr="00B76000">
        <w:rPr>
          <w:rFonts w:ascii="Helvetica" w:eastAsia="Times New Roman" w:hAnsi="Helvetica" w:cs="Helvetica"/>
          <w:color w:val="222222"/>
          <w:sz w:val="24"/>
          <w:szCs w:val="24"/>
          <w:lang w:eastAsia="en-ID"/>
        </w:rPr>
        <w:t> dengan tuntutan (</w:t>
      </w:r>
      <w:r w:rsidRPr="00B76000">
        <w:rPr>
          <w:rFonts w:ascii="Helvetica" w:eastAsia="Times New Roman" w:hAnsi="Helvetica" w:cs="Helvetica"/>
          <w:i/>
          <w:iCs/>
          <w:color w:val="222222"/>
          <w:sz w:val="24"/>
          <w:szCs w:val="24"/>
          <w:lang w:eastAsia="en-ID"/>
        </w:rPr>
        <w:t>petitum), </w:t>
      </w:r>
      <w:r w:rsidRPr="00B76000">
        <w:rPr>
          <w:rFonts w:ascii="Helvetica" w:eastAsia="Times New Roman" w:hAnsi="Helvetica" w:cs="Helvetica"/>
          <w:color w:val="222222"/>
          <w:sz w:val="24"/>
          <w:szCs w:val="24"/>
          <w:lang w:eastAsia="en-ID"/>
        </w:rPr>
        <w:t>sebab apabila seseorang membuat gugatan yang tidak memenuhi syarat, maka akibatnya adalah gugatan itu disebut sebagai gugatan yang </w:t>
      </w:r>
      <w:r w:rsidRPr="00B76000">
        <w:rPr>
          <w:rFonts w:ascii="Helvetica" w:eastAsia="Times New Roman" w:hAnsi="Helvetica" w:cs="Helvetica"/>
          <w:i/>
          <w:iCs/>
          <w:color w:val="222222"/>
          <w:sz w:val="24"/>
          <w:szCs w:val="24"/>
          <w:lang w:eastAsia="en-ID"/>
        </w:rPr>
        <w:t>obscuur libel </w:t>
      </w:r>
      <w:r w:rsidRPr="00B76000">
        <w:rPr>
          <w:rFonts w:ascii="Helvetica" w:eastAsia="Times New Roman" w:hAnsi="Helvetica" w:cs="Helvetica"/>
          <w:color w:val="222222"/>
          <w:sz w:val="24"/>
          <w:szCs w:val="24"/>
          <w:lang w:eastAsia="en-ID"/>
        </w:rPr>
        <w:t>atau tidak jelas sehingga menyebabkan gugatan “tidak dapat diterima”.</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Merujuk pada artikel </w:t>
      </w:r>
      <w:hyperlink r:id="rId10" w:history="1">
        <w:r w:rsidRPr="00B76000">
          <w:rPr>
            <w:rFonts w:ascii="Helvetica" w:eastAsia="Times New Roman" w:hAnsi="Helvetica" w:cs="Helvetica"/>
            <w:b/>
            <w:bCs/>
            <w:color w:val="0000FF"/>
            <w:sz w:val="24"/>
            <w:szCs w:val="24"/>
            <w:u w:val="single"/>
            <w:lang w:eastAsia="en-ID"/>
          </w:rPr>
          <w:t>Arti Gugatan Dikabulkan, Ditolak, dan Tidak Dapat Diterima</w:t>
        </w:r>
      </w:hyperlink>
      <w:r w:rsidRPr="00B76000">
        <w:rPr>
          <w:rFonts w:ascii="Helvetica" w:eastAsia="Times New Roman" w:hAnsi="Helvetica" w:cs="Helvetica"/>
          <w:b/>
          <w:bCs/>
          <w:color w:val="222222"/>
          <w:sz w:val="24"/>
          <w:szCs w:val="24"/>
          <w:lang w:eastAsia="en-ID"/>
        </w:rPr>
        <w:t>, </w:t>
      </w:r>
      <w:r w:rsidRPr="00B76000">
        <w:rPr>
          <w:rFonts w:ascii="Helvetica" w:eastAsia="Times New Roman" w:hAnsi="Helvetica" w:cs="Helvetica"/>
          <w:color w:val="222222"/>
          <w:sz w:val="24"/>
          <w:szCs w:val="24"/>
          <w:shd w:val="clear" w:color="auto" w:fill="FFFFFF"/>
          <w:lang w:eastAsia="en-ID"/>
        </w:rPr>
        <w:t>Yahya Harahap (hal. 811), menjelaskan bahwa ada berbagai cacat formil yang mungkin melekat pada gugatan, antara lain, gugatan yang ditandatangani kuasa berdasarkan surat kuasa yang tidak memenuhi syarat yang digariskan </w:t>
      </w:r>
      <w:r w:rsidRPr="00B76000">
        <w:rPr>
          <w:rFonts w:ascii="Helvetica" w:eastAsia="Times New Roman" w:hAnsi="Helvetica" w:cs="Helvetica"/>
          <w:b/>
          <w:bCs/>
          <w:color w:val="222222"/>
          <w:sz w:val="24"/>
          <w:szCs w:val="24"/>
          <w:shd w:val="clear" w:color="auto" w:fill="FFFFFF"/>
          <w:lang w:eastAsia="en-ID"/>
        </w:rPr>
        <w:t>Pasal 123 ayat (1) </w:t>
      </w:r>
      <w:hyperlink r:id="rId11" w:history="1">
        <w:r w:rsidRPr="00B76000">
          <w:rPr>
            <w:rFonts w:ascii="Helvetica" w:eastAsia="Times New Roman" w:hAnsi="Helvetica" w:cs="Helvetica"/>
            <w:b/>
            <w:bCs/>
            <w:color w:val="0000FF"/>
            <w:sz w:val="24"/>
            <w:szCs w:val="24"/>
            <w:u w:val="single"/>
            <w:lang w:eastAsia="en-ID"/>
          </w:rPr>
          <w:t>Herzien Inlandsch Reglement</w:t>
        </w:r>
      </w:hyperlink>
      <w:r w:rsidRPr="00B76000">
        <w:rPr>
          <w:rFonts w:ascii="Helvetica" w:eastAsia="Times New Roman" w:hAnsi="Helvetica" w:cs="Helvetica"/>
          <w:i/>
          <w:iCs/>
          <w:color w:val="222222"/>
          <w:sz w:val="24"/>
          <w:szCs w:val="24"/>
          <w:lang w:eastAsia="en-ID"/>
        </w:rPr>
        <w:t> </w:t>
      </w:r>
      <w:r w:rsidRPr="00B76000">
        <w:rPr>
          <w:rFonts w:ascii="Helvetica" w:eastAsia="Times New Roman" w:hAnsi="Helvetica" w:cs="Helvetica"/>
          <w:color w:val="222222"/>
          <w:sz w:val="24"/>
          <w:szCs w:val="24"/>
          <w:lang w:eastAsia="en-ID"/>
        </w:rPr>
        <w:t>(HIR)</w:t>
      </w:r>
      <w:r w:rsidRPr="00B76000">
        <w:rPr>
          <w:rFonts w:ascii="Helvetica" w:eastAsia="Times New Roman" w:hAnsi="Helvetica" w:cs="Helvetica"/>
          <w:color w:val="222222"/>
          <w:sz w:val="24"/>
          <w:szCs w:val="24"/>
          <w:shd w:val="clear" w:color="auto" w:fill="FFFFFF"/>
          <w:lang w:eastAsia="en-ID"/>
        </w:rPr>
        <w:t>. Adapun arti gugatan yang cacat formil menurut Yahya adalah:</w:t>
      </w:r>
    </w:p>
    <w:p w:rsidR="00B76000" w:rsidRPr="00B76000" w:rsidRDefault="00B76000" w:rsidP="00B76000">
      <w:pPr>
        <w:numPr>
          <w:ilvl w:val="0"/>
          <w:numId w:val="3"/>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gugatan tidak memiliki dasar hukum;</w:t>
      </w:r>
    </w:p>
    <w:p w:rsidR="00B76000" w:rsidRPr="00B76000" w:rsidRDefault="00B76000" w:rsidP="00B76000">
      <w:pPr>
        <w:numPr>
          <w:ilvl w:val="0"/>
          <w:numId w:val="3"/>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gugatan error in persona dalam bentuk diskualifikasi atau </w:t>
      </w:r>
      <w:r w:rsidRPr="00B76000">
        <w:rPr>
          <w:rFonts w:ascii="Arial" w:eastAsia="Times New Roman" w:hAnsi="Arial" w:cs="Arial"/>
          <w:i/>
          <w:iCs/>
          <w:color w:val="222222"/>
          <w:sz w:val="24"/>
          <w:szCs w:val="24"/>
          <w:lang w:eastAsia="en-ID"/>
        </w:rPr>
        <w:t>plurium litis consortium</w:t>
      </w:r>
      <w:r w:rsidRPr="00B76000">
        <w:rPr>
          <w:rFonts w:ascii="Arial" w:eastAsia="Times New Roman" w:hAnsi="Arial" w:cs="Arial"/>
          <w:color w:val="222222"/>
          <w:sz w:val="24"/>
          <w:szCs w:val="24"/>
          <w:lang w:eastAsia="en-ID"/>
        </w:rPr>
        <w:t>;</w:t>
      </w:r>
    </w:p>
    <w:p w:rsidR="00B76000" w:rsidRPr="00B76000" w:rsidRDefault="00B76000" w:rsidP="00B76000">
      <w:pPr>
        <w:numPr>
          <w:ilvl w:val="0"/>
          <w:numId w:val="3"/>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u w:val="single"/>
          <w:lang w:eastAsia="en-ID"/>
        </w:rPr>
        <w:lastRenderedPageBreak/>
        <w:t>gugatan mengandung cacat atau </w:t>
      </w:r>
      <w:r w:rsidRPr="00B76000">
        <w:rPr>
          <w:rFonts w:ascii="Arial" w:eastAsia="Times New Roman" w:hAnsi="Arial" w:cs="Arial"/>
          <w:i/>
          <w:iCs/>
          <w:color w:val="222222"/>
          <w:sz w:val="24"/>
          <w:szCs w:val="24"/>
          <w:u w:val="single"/>
          <w:lang w:eastAsia="en-ID"/>
        </w:rPr>
        <w:t>obscuur libel</w:t>
      </w:r>
      <w:r w:rsidRPr="00B76000">
        <w:rPr>
          <w:rFonts w:ascii="Arial" w:eastAsia="Times New Roman" w:hAnsi="Arial" w:cs="Arial"/>
          <w:color w:val="222222"/>
          <w:sz w:val="24"/>
          <w:szCs w:val="24"/>
          <w:lang w:eastAsia="en-ID"/>
        </w:rPr>
        <w:t>; atau</w:t>
      </w:r>
    </w:p>
    <w:p w:rsidR="00B76000" w:rsidRPr="00B76000" w:rsidRDefault="00B76000" w:rsidP="00B76000">
      <w:pPr>
        <w:numPr>
          <w:ilvl w:val="0"/>
          <w:numId w:val="3"/>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gugatan melanggar yurisdiksi (kompetensi) absolute atau relatif dan sebagainya.</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b/>
          <w:bCs/>
          <w:color w:val="222222"/>
          <w:sz w:val="24"/>
          <w:szCs w:val="24"/>
          <w:lang w:eastAsia="en-ID"/>
        </w:rPr>
        <w:t>Apakah Gugatan yang Tidak Mencantumkan Petitum Biaya Perkara Menjadi Gugatan </w:t>
      </w:r>
      <w:r w:rsidRPr="00B76000">
        <w:rPr>
          <w:rFonts w:ascii="Helvetica" w:eastAsia="Times New Roman" w:hAnsi="Helvetica" w:cs="Helvetica"/>
          <w:b/>
          <w:bCs/>
          <w:i/>
          <w:iCs/>
          <w:color w:val="222222"/>
          <w:sz w:val="24"/>
          <w:szCs w:val="24"/>
          <w:lang w:eastAsia="en-ID"/>
        </w:rPr>
        <w:t>Obscuur Libel?</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Untuk menjawab pertanyaan di atas harus dimulai terlebih dahulu dengan penjelasan sifat petitum pembebanan biaya perkara itu sendiri. Menurut Sudikno Mertokusumo (hal.61), seringkali di samping petitum atau tuntutan pokok dapat dijumpai tuntutan tambahan atau pelengkap pada tuntutan pokok yang biasanya disebut sebagai </w:t>
      </w:r>
      <w:r w:rsidRPr="00B76000">
        <w:rPr>
          <w:rFonts w:ascii="Helvetica" w:eastAsia="Times New Roman" w:hAnsi="Helvetica" w:cs="Helvetica"/>
          <w:b/>
          <w:bCs/>
          <w:i/>
          <w:iCs/>
          <w:color w:val="222222"/>
          <w:sz w:val="24"/>
          <w:szCs w:val="24"/>
          <w:lang w:eastAsia="en-ID"/>
        </w:rPr>
        <w:t>tuntutan tambahan</w:t>
      </w:r>
      <w:r w:rsidRPr="00B76000">
        <w:rPr>
          <w:rFonts w:ascii="Helvetica" w:eastAsia="Times New Roman" w:hAnsi="Helvetica" w:cs="Helvetica"/>
          <w:i/>
          <w:iCs/>
          <w:color w:val="222222"/>
          <w:sz w:val="24"/>
          <w:szCs w:val="24"/>
          <w:lang w:eastAsia="en-ID"/>
        </w:rPr>
        <w:t> </w:t>
      </w:r>
      <w:r w:rsidRPr="00B76000">
        <w:rPr>
          <w:rFonts w:ascii="Helvetica" w:eastAsia="Times New Roman" w:hAnsi="Helvetica" w:cs="Helvetica"/>
          <w:color w:val="222222"/>
          <w:sz w:val="24"/>
          <w:szCs w:val="24"/>
          <w:lang w:eastAsia="en-ID"/>
        </w:rPr>
        <w:t>yaitu </w:t>
      </w:r>
      <w:r w:rsidRPr="00B76000">
        <w:rPr>
          <w:rFonts w:ascii="Helvetica" w:eastAsia="Times New Roman" w:hAnsi="Helvetica" w:cs="Helvetica"/>
          <w:b/>
          <w:bCs/>
          <w:color w:val="222222"/>
          <w:sz w:val="24"/>
          <w:szCs w:val="24"/>
          <w:u w:val="single"/>
          <w:lang w:eastAsia="en-ID"/>
        </w:rPr>
        <w:t>tuntutan agar tergugat dihukum membayar biaya perkara.</w:t>
      </w:r>
      <w:r w:rsidRPr="00B76000">
        <w:rPr>
          <w:rFonts w:ascii="Helvetica" w:eastAsia="Times New Roman" w:hAnsi="Helvetica" w:cs="Helvetica"/>
          <w:color w:val="222222"/>
          <w:sz w:val="24"/>
          <w:szCs w:val="24"/>
          <w:lang w:eastAsia="en-ID"/>
        </w:rPr>
        <w:t> Adapun yang dimaksud dengan biaya perkara ialah:</w:t>
      </w:r>
    </w:p>
    <w:p w:rsidR="00B76000" w:rsidRPr="00B76000" w:rsidRDefault="00B76000" w:rsidP="00B76000">
      <w:pPr>
        <w:numPr>
          <w:ilvl w:val="0"/>
          <w:numId w:val="4"/>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Biaya kantor kepaniteraan;</w:t>
      </w:r>
    </w:p>
    <w:p w:rsidR="00B76000" w:rsidRPr="00B76000" w:rsidRDefault="00B76000" w:rsidP="00B76000">
      <w:pPr>
        <w:numPr>
          <w:ilvl w:val="0"/>
          <w:numId w:val="4"/>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Biaya saksi, ahli, dan juru sita;</w:t>
      </w:r>
    </w:p>
    <w:p w:rsidR="00B76000" w:rsidRPr="00B76000" w:rsidRDefault="00B76000" w:rsidP="00B76000">
      <w:pPr>
        <w:numPr>
          <w:ilvl w:val="0"/>
          <w:numId w:val="4"/>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Biaya pemeriksaan setempat dan perbuatan hakim lainnya;</w:t>
      </w:r>
    </w:p>
    <w:p w:rsidR="00B76000" w:rsidRPr="00B76000" w:rsidRDefault="00B76000" w:rsidP="00B76000">
      <w:pPr>
        <w:numPr>
          <w:ilvl w:val="0"/>
          <w:numId w:val="4"/>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Biaya gaji pejabat yang disuruh melakukan pemanggilan pemberitahuan dan segala surat juru sita yang lain;</w:t>
      </w:r>
    </w:p>
    <w:p w:rsidR="00B76000" w:rsidRPr="00B76000" w:rsidRDefault="00B76000" w:rsidP="00B76000">
      <w:pPr>
        <w:numPr>
          <w:ilvl w:val="0"/>
          <w:numId w:val="4"/>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Gaji yang harus dibayar kepada panitera pengadilan atau pejabat lain karena menjalankan putusan hakim.</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Berdasarkan hal tersebut di atas, maka dari itu sifat petitum mengenai pembebanan biaya perkara merupakan suatu </w:t>
      </w:r>
      <w:r w:rsidRPr="00B76000">
        <w:rPr>
          <w:rFonts w:ascii="Helvetica" w:eastAsia="Times New Roman" w:hAnsi="Helvetica" w:cs="Helvetica"/>
          <w:b/>
          <w:bCs/>
          <w:color w:val="222222"/>
          <w:sz w:val="24"/>
          <w:szCs w:val="24"/>
          <w:lang w:eastAsia="en-ID"/>
        </w:rPr>
        <w:t>“tuntutan tambahan”</w:t>
      </w:r>
      <w:r w:rsidRPr="00B76000">
        <w:rPr>
          <w:rFonts w:ascii="Helvetica" w:eastAsia="Times New Roman" w:hAnsi="Helvetica" w:cs="Helvetica"/>
          <w:color w:val="222222"/>
          <w:sz w:val="24"/>
          <w:szCs w:val="24"/>
          <w:lang w:eastAsia="en-ID"/>
        </w:rPr>
        <w:t>. Oleh karena itu, maka surat gugatan yang tidak mencantumkan petitum perihal pembebanan biaya perkara tidaklah </w:t>
      </w:r>
      <w:r w:rsidRPr="00B76000">
        <w:rPr>
          <w:rFonts w:ascii="Helvetica" w:eastAsia="Times New Roman" w:hAnsi="Helvetica" w:cs="Helvetica"/>
          <w:i/>
          <w:iCs/>
          <w:color w:val="222222"/>
          <w:sz w:val="24"/>
          <w:szCs w:val="24"/>
          <w:lang w:eastAsia="en-ID"/>
        </w:rPr>
        <w:t>obscuur libel</w:t>
      </w:r>
      <w:r w:rsidRPr="00B76000">
        <w:rPr>
          <w:rFonts w:ascii="Helvetica" w:eastAsia="Times New Roman" w:hAnsi="Helvetica" w:cs="Helvetica"/>
          <w:color w:val="222222"/>
          <w:sz w:val="24"/>
          <w:szCs w:val="24"/>
          <w:lang w:eastAsia="en-ID"/>
        </w:rPr>
        <w:t>. Hal itu didukung dengan bunyi </w:t>
      </w:r>
      <w:r w:rsidRPr="00B76000">
        <w:rPr>
          <w:rFonts w:ascii="Helvetica" w:eastAsia="Times New Roman" w:hAnsi="Helvetica" w:cs="Helvetica"/>
          <w:b/>
          <w:bCs/>
          <w:color w:val="222222"/>
          <w:sz w:val="24"/>
          <w:szCs w:val="24"/>
          <w:lang w:eastAsia="en-ID"/>
        </w:rPr>
        <w:t>Pasal 183 HIR </w:t>
      </w:r>
      <w:r w:rsidRPr="00B76000">
        <w:rPr>
          <w:rFonts w:ascii="Helvetica" w:eastAsia="Times New Roman" w:hAnsi="Helvetica" w:cs="Helvetica"/>
          <w:color w:val="222222"/>
          <w:sz w:val="24"/>
          <w:szCs w:val="24"/>
          <w:lang w:eastAsia="en-ID"/>
        </w:rPr>
        <w:t>yakni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i/>
          <w:iCs/>
          <w:color w:val="222222"/>
          <w:sz w:val="24"/>
          <w:szCs w:val="24"/>
          <w:lang w:eastAsia="en-ID"/>
        </w:rPr>
        <w:t>Banyaknya biaya perkara, yang dijatuhkan pada salah satu pihak harus disebutkan dalam keputusan.</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Oleh karena berdasarkan kententuan Pasal 183 HIR banyaknya biaya perkara yang dijatuhkan kepada pihak yang kalah (baik penggugat atau tergugat) harus disebutkan dalam keputusan, maka dari itu menurut hemat kami, tidak dicantumkan pembebanan biaya perkara pada gugatan tidak serta merta membuat suatu surat gugatan </w:t>
      </w:r>
      <w:r w:rsidRPr="00B76000">
        <w:rPr>
          <w:rFonts w:ascii="Helvetica" w:eastAsia="Times New Roman" w:hAnsi="Helvetica" w:cs="Helvetica"/>
          <w:i/>
          <w:iCs/>
          <w:color w:val="222222"/>
          <w:sz w:val="24"/>
          <w:szCs w:val="24"/>
          <w:lang w:eastAsia="en-ID"/>
        </w:rPr>
        <w:t>obscuur libel.</w:t>
      </w:r>
      <w:r w:rsidRPr="00B76000">
        <w:rPr>
          <w:rFonts w:ascii="Helvetica" w:eastAsia="Times New Roman" w:hAnsi="Helvetica" w:cs="Helvetica"/>
          <w:color w:val="222222"/>
          <w:sz w:val="24"/>
          <w:szCs w:val="24"/>
          <w:lang w:eastAsia="en-ID"/>
        </w:rPr>
        <w:t> Mengenai biaya perkara tersebut baru wajib disebutkan dalam putusan hakim.</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Dalam praktiknya, pada bagian petitum gugatan dicantumkan pembebanan biaya perkara yang harus dibayarkan oleh pihak yang kalah sesuai sesuai ketentuan dalam </w:t>
      </w:r>
      <w:r w:rsidRPr="00B76000">
        <w:rPr>
          <w:rFonts w:ascii="Helvetica" w:eastAsia="Times New Roman" w:hAnsi="Helvetica" w:cs="Helvetica"/>
          <w:b/>
          <w:bCs/>
          <w:color w:val="222222"/>
          <w:sz w:val="24"/>
          <w:szCs w:val="24"/>
          <w:u w:val="single"/>
          <w:lang w:eastAsia="en-ID"/>
        </w:rPr>
        <w:t>Pasal 181 ayat (1) HIR</w:t>
      </w:r>
      <w:r w:rsidRPr="00B76000">
        <w:rPr>
          <w:rFonts w:ascii="Helvetica" w:eastAsia="Times New Roman" w:hAnsi="Helvetica" w:cs="Helvetica"/>
          <w:color w:val="222222"/>
          <w:sz w:val="24"/>
          <w:szCs w:val="24"/>
          <w:lang w:eastAsia="en-ID"/>
        </w:rPr>
        <w:t> yakni:</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i/>
          <w:iCs/>
          <w:color w:val="222222"/>
          <w:sz w:val="24"/>
          <w:szCs w:val="24"/>
          <w:lang w:eastAsia="en-ID"/>
        </w:rPr>
        <w:t>Barang siapa, yang dikalahkan dengan keputusan akan dihukum membayar biaya perkara. Akan tetapi semua atau sebagian biaya perkara itu dapat diperhitungkan antara: laki isteri, keluarga sedarah dalam turunan yang lurus, saudara laki-laki dan saudara perempuan atau keluarga semenda, lagi pula jika dua belah fihak masing-masing dikalahkan dalam beberapa hal.</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Setelah mengetahui hubungan antara pembebanan biaya perkara dalam petitum gugatan bukanlah </w:t>
      </w:r>
      <w:r w:rsidRPr="00B76000">
        <w:rPr>
          <w:rFonts w:ascii="Helvetica" w:eastAsia="Times New Roman" w:hAnsi="Helvetica" w:cs="Helvetica"/>
          <w:i/>
          <w:iCs/>
          <w:color w:val="222222"/>
          <w:sz w:val="24"/>
          <w:szCs w:val="24"/>
          <w:lang w:eastAsia="en-ID"/>
        </w:rPr>
        <w:t>obscuur libel</w:t>
      </w:r>
      <w:r w:rsidRPr="00B76000">
        <w:rPr>
          <w:rFonts w:ascii="Helvetica" w:eastAsia="Times New Roman" w:hAnsi="Helvetica" w:cs="Helvetica"/>
          <w:color w:val="222222"/>
          <w:sz w:val="24"/>
          <w:szCs w:val="24"/>
          <w:lang w:eastAsia="en-ID"/>
        </w:rPr>
        <w:t>, maka terkait dengan pertanyaan Anda mengenai putusan majelis hakim merupakan </w:t>
      </w:r>
      <w:r w:rsidRPr="00B76000">
        <w:rPr>
          <w:rFonts w:ascii="Helvetica" w:eastAsia="Times New Roman" w:hAnsi="Helvetica" w:cs="Helvetica"/>
          <w:i/>
          <w:iCs/>
          <w:color w:val="222222"/>
          <w:sz w:val="24"/>
          <w:szCs w:val="24"/>
          <w:lang w:eastAsia="en-ID"/>
        </w:rPr>
        <w:t>ultra petita</w:t>
      </w:r>
      <w:r w:rsidRPr="00B76000">
        <w:rPr>
          <w:rFonts w:ascii="Helvetica" w:eastAsia="Times New Roman" w:hAnsi="Helvetica" w:cs="Helvetica"/>
          <w:color w:val="222222"/>
          <w:sz w:val="24"/>
          <w:szCs w:val="24"/>
          <w:lang w:eastAsia="en-ID"/>
        </w:rPr>
        <w:t> karena memutus untuk membebankan biaya perkara dalam gugatan juga sudah terjawab berdasarkan ketentuan Pasal 181 dan 183 HIR di atas.</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lastRenderedPageBreak/>
        <w:t>Selengkapnya mengenai biaya perkara Anda dapat simak artikel </w:t>
      </w:r>
      <w:hyperlink r:id="rId12" w:history="1">
        <w:r w:rsidRPr="00B76000">
          <w:rPr>
            <w:rFonts w:ascii="Helvetica" w:eastAsia="Times New Roman" w:hAnsi="Helvetica" w:cs="Helvetica"/>
            <w:b/>
            <w:bCs/>
            <w:color w:val="0000FF"/>
            <w:sz w:val="24"/>
            <w:szCs w:val="24"/>
            <w:u w:val="single"/>
            <w:lang w:eastAsia="en-ID"/>
          </w:rPr>
          <w:t>Siapa yang Membayar Biaya Perkara Jika Gugatan Dikabulkan Sebagian?</w:t>
        </w:r>
      </w:hyperlink>
      <w:r w:rsidRPr="00B76000">
        <w:rPr>
          <w:rFonts w:ascii="Helvetica" w:eastAsia="Times New Roman" w:hAnsi="Helvetica" w:cs="Helvetica"/>
          <w:color w:val="222222"/>
          <w:sz w:val="24"/>
          <w:szCs w:val="24"/>
          <w:lang w:eastAsia="en-ID"/>
        </w:rPr>
        <w: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Sebelum memahami lebih lanjut mengenai putusan majelis hakim terkait pencantuman biaya perkara dalam petitum gugatan bukan merupakan </w:t>
      </w:r>
      <w:r w:rsidRPr="00B76000">
        <w:rPr>
          <w:rFonts w:ascii="Helvetica" w:eastAsia="Times New Roman" w:hAnsi="Helvetica" w:cs="Helvetica"/>
          <w:i/>
          <w:iCs/>
          <w:color w:val="222222"/>
          <w:sz w:val="24"/>
          <w:szCs w:val="24"/>
          <w:lang w:eastAsia="en-ID"/>
        </w:rPr>
        <w:t>ultra petita</w:t>
      </w:r>
      <w:r w:rsidRPr="00B76000">
        <w:rPr>
          <w:rFonts w:ascii="Helvetica" w:eastAsia="Times New Roman" w:hAnsi="Helvetica" w:cs="Helvetica"/>
          <w:color w:val="222222"/>
          <w:sz w:val="24"/>
          <w:szCs w:val="24"/>
          <w:lang w:eastAsia="en-ID"/>
        </w:rPr>
        <w:t>, maka pertama kita harus memahami terlebih dahulu apa itu </w:t>
      </w:r>
      <w:r w:rsidRPr="00B76000">
        <w:rPr>
          <w:rFonts w:ascii="Helvetica" w:eastAsia="Times New Roman" w:hAnsi="Helvetica" w:cs="Helvetica"/>
          <w:i/>
          <w:iCs/>
          <w:color w:val="222222"/>
          <w:sz w:val="24"/>
          <w:szCs w:val="24"/>
          <w:lang w:eastAsia="en-ID"/>
        </w:rPr>
        <w:t>ultra petita</w:t>
      </w:r>
      <w:r w:rsidRPr="00B76000">
        <w:rPr>
          <w:rFonts w:ascii="Helvetica" w:eastAsia="Times New Roman" w:hAnsi="Helvetica" w:cs="Helvetica"/>
          <w:color w:val="222222"/>
          <w:sz w:val="24"/>
          <w:szCs w:val="24"/>
          <w:lang w:eastAsia="en-ID"/>
        </w:rPr>
        <w: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Asas </w:t>
      </w:r>
      <w:r w:rsidRPr="00B76000">
        <w:rPr>
          <w:rFonts w:ascii="Helvetica" w:eastAsia="Times New Roman" w:hAnsi="Helvetica" w:cs="Helvetica"/>
          <w:i/>
          <w:iCs/>
          <w:color w:val="222222"/>
          <w:sz w:val="24"/>
          <w:szCs w:val="24"/>
          <w:lang w:eastAsia="en-ID"/>
        </w:rPr>
        <w:t>ultra petita</w:t>
      </w:r>
      <w:r w:rsidRPr="00B76000">
        <w:rPr>
          <w:rFonts w:ascii="Helvetica" w:eastAsia="Times New Roman" w:hAnsi="Helvetica" w:cs="Helvetica"/>
          <w:color w:val="222222"/>
          <w:sz w:val="24"/>
          <w:szCs w:val="24"/>
          <w:lang w:eastAsia="en-ID"/>
        </w:rPr>
        <w:t> atau sering disebut sebagai </w:t>
      </w:r>
      <w:r w:rsidRPr="00B76000">
        <w:rPr>
          <w:rFonts w:ascii="Helvetica" w:eastAsia="Times New Roman" w:hAnsi="Helvetica" w:cs="Helvetica"/>
          <w:i/>
          <w:iCs/>
          <w:color w:val="222222"/>
          <w:sz w:val="24"/>
          <w:szCs w:val="24"/>
          <w:lang w:eastAsia="en-ID"/>
        </w:rPr>
        <w:t>asasiu dex non ultra petita atau ultra petita non cognoscitur</w:t>
      </w:r>
      <w:r w:rsidRPr="00B76000">
        <w:rPr>
          <w:rFonts w:ascii="Helvetica" w:eastAsia="Times New Roman" w:hAnsi="Helvetica" w:cs="Helvetica"/>
          <w:color w:val="222222"/>
          <w:sz w:val="24"/>
          <w:szCs w:val="24"/>
          <w:lang w:eastAsia="en-ID"/>
        </w:rPr>
        <w:t> diatur dalam </w:t>
      </w:r>
      <w:r w:rsidRPr="00B76000">
        <w:rPr>
          <w:rFonts w:ascii="Helvetica" w:eastAsia="Times New Roman" w:hAnsi="Helvetica" w:cs="Helvetica"/>
          <w:b/>
          <w:bCs/>
          <w:color w:val="222222"/>
          <w:sz w:val="24"/>
          <w:szCs w:val="24"/>
          <w:lang w:eastAsia="en-ID"/>
        </w:rPr>
        <w:t>Pasal 178 ayat (2) dan ayat (3) HIR serta dalam Pasal 189 ayat (2) dan ayat (3) Rbg jo. Pasal 67 huruf c </w:t>
      </w:r>
      <w:hyperlink r:id="rId13" w:history="1">
        <w:r w:rsidRPr="00B76000">
          <w:rPr>
            <w:rFonts w:ascii="Helvetica" w:eastAsia="Times New Roman" w:hAnsi="Helvetica" w:cs="Helvetica"/>
            <w:b/>
            <w:bCs/>
            <w:color w:val="0000FF"/>
            <w:sz w:val="24"/>
            <w:szCs w:val="24"/>
            <w:u w:val="single"/>
            <w:lang w:eastAsia="en-ID"/>
          </w:rPr>
          <w:t>Undang–Undang Nomor 14 Tahun 1985 tentang Mahkamah Agung</w:t>
        </w:r>
      </w:hyperlink>
      <w:r w:rsidRPr="00B76000">
        <w:rPr>
          <w:rFonts w:ascii="Helvetica" w:eastAsia="Times New Roman" w:hAnsi="Helvetica" w:cs="Helvetica"/>
          <w:color w:val="222222"/>
          <w:sz w:val="24"/>
          <w:szCs w:val="24"/>
          <w:lang w:eastAsia="en-ID"/>
        </w:rPr>
        <w:t> yang artinya jika hakim dalam menjatuhkan putusan atas perkara yang tidak dituntut atau meluluskan lebih dari yang dimintakan (petitum), maka putusan tersebut merupakan putusan yang </w:t>
      </w:r>
      <w:r w:rsidRPr="00B76000">
        <w:rPr>
          <w:rFonts w:ascii="Helvetica" w:eastAsia="Times New Roman" w:hAnsi="Helvetica" w:cs="Helvetica"/>
          <w:i/>
          <w:iCs/>
          <w:color w:val="222222"/>
          <w:sz w:val="24"/>
          <w:szCs w:val="24"/>
          <w:lang w:eastAsia="en-ID"/>
        </w:rPr>
        <w:t>ultra vires</w:t>
      </w:r>
      <w:r w:rsidRPr="00B76000">
        <w:rPr>
          <w:rFonts w:ascii="Helvetica" w:eastAsia="Times New Roman" w:hAnsi="Helvetica" w:cs="Helvetica"/>
          <w:color w:val="222222"/>
          <w:sz w:val="24"/>
          <w:szCs w:val="24"/>
          <w:lang w:eastAsia="en-ID"/>
        </w:rPr>
        <w:t> dan harus dinyatakan cacat meskipun putusan tersebut didasarkan pada itikad baik maupun telah sesusai dengan kepentingan umum.</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b/>
          <w:bCs/>
          <w:color w:val="222222"/>
          <w:sz w:val="24"/>
          <w:szCs w:val="24"/>
          <w:lang w:eastAsia="en-ID"/>
        </w:rPr>
        <w:t>Oleh sebab itu, apabila dalam petitum gugatan tidak dicantumkan pembebanan biaya perkara namun majelis makim dalam putusannya membebankan pihak yang kalah untuk membayar biaya perkara, putusan tersebut tidaklah bersifat </w:t>
      </w:r>
      <w:r w:rsidRPr="00B76000">
        <w:rPr>
          <w:rFonts w:ascii="Helvetica" w:eastAsia="Times New Roman" w:hAnsi="Helvetica" w:cs="Helvetica"/>
          <w:b/>
          <w:bCs/>
          <w:i/>
          <w:iCs/>
          <w:color w:val="222222"/>
          <w:sz w:val="24"/>
          <w:szCs w:val="24"/>
          <w:lang w:eastAsia="en-ID"/>
        </w:rPr>
        <w:t>ultra petita.</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Demikian jawaban kami, semoga bermanfaat.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u w:val="single"/>
          <w:lang w:eastAsia="en-ID"/>
        </w:rPr>
        <w:t>Dasar Hukum</w:t>
      </w:r>
      <w:r w:rsidRPr="00B76000">
        <w:rPr>
          <w:rFonts w:ascii="Helvetica" w:eastAsia="Times New Roman" w:hAnsi="Helvetica" w:cs="Helvetica"/>
          <w:color w:val="222222"/>
          <w:sz w:val="24"/>
          <w:szCs w:val="24"/>
          <w:lang w:eastAsia="en-ID"/>
        </w:rPr>
        <w:t>:</w:t>
      </w:r>
    </w:p>
    <w:p w:rsidR="00B76000" w:rsidRPr="00B76000" w:rsidRDefault="00B76000" w:rsidP="00B76000">
      <w:pPr>
        <w:numPr>
          <w:ilvl w:val="0"/>
          <w:numId w:val="5"/>
        </w:numPr>
        <w:shd w:val="clear" w:color="auto" w:fill="EAEAEA"/>
        <w:spacing w:after="0" w:line="240" w:lineRule="auto"/>
        <w:ind w:left="150"/>
        <w:jc w:val="both"/>
        <w:rPr>
          <w:rFonts w:ascii="Arial" w:eastAsia="Times New Roman" w:hAnsi="Arial" w:cs="Arial"/>
          <w:color w:val="222222"/>
          <w:sz w:val="24"/>
          <w:szCs w:val="24"/>
          <w:lang w:eastAsia="en-ID"/>
        </w:rPr>
      </w:pPr>
      <w:hyperlink r:id="rId14" w:history="1">
        <w:r w:rsidRPr="00B76000">
          <w:rPr>
            <w:rFonts w:ascii="Arial" w:eastAsia="Times New Roman" w:hAnsi="Arial" w:cs="Arial"/>
            <w:color w:val="0000FF"/>
            <w:sz w:val="24"/>
            <w:szCs w:val="24"/>
            <w:u w:val="single"/>
            <w:lang w:eastAsia="en-ID"/>
          </w:rPr>
          <w:t>Herzien Inlandsch Reglement</w:t>
        </w:r>
      </w:hyperlink>
      <w:r w:rsidRPr="00B76000">
        <w:rPr>
          <w:rFonts w:ascii="Arial" w:eastAsia="Times New Roman" w:hAnsi="Arial" w:cs="Arial"/>
          <w:color w:val="0000FF"/>
          <w:sz w:val="24"/>
          <w:szCs w:val="24"/>
          <w:u w:val="single"/>
          <w:lang w:eastAsia="en-ID"/>
        </w:rPr>
        <w:t>;</w:t>
      </w:r>
    </w:p>
    <w:p w:rsidR="00B76000" w:rsidRPr="00B76000" w:rsidRDefault="00B76000" w:rsidP="00B76000">
      <w:pPr>
        <w:numPr>
          <w:ilvl w:val="0"/>
          <w:numId w:val="5"/>
        </w:numPr>
        <w:shd w:val="clear" w:color="auto" w:fill="EAEAEA"/>
        <w:spacing w:after="0" w:line="240" w:lineRule="auto"/>
        <w:ind w:left="150"/>
        <w:jc w:val="both"/>
        <w:rPr>
          <w:rFonts w:ascii="Arial" w:eastAsia="Times New Roman" w:hAnsi="Arial" w:cs="Arial"/>
          <w:color w:val="222222"/>
          <w:sz w:val="24"/>
          <w:szCs w:val="24"/>
          <w:lang w:eastAsia="en-ID"/>
        </w:rPr>
      </w:pPr>
      <w:hyperlink r:id="rId15" w:history="1">
        <w:r w:rsidRPr="00B76000">
          <w:rPr>
            <w:rFonts w:ascii="Arial" w:eastAsia="Times New Roman" w:hAnsi="Arial" w:cs="Arial"/>
            <w:color w:val="0000FF"/>
            <w:sz w:val="24"/>
            <w:szCs w:val="24"/>
            <w:u w:val="single"/>
            <w:lang w:eastAsia="en-ID"/>
          </w:rPr>
          <w:t>Undang-Undang Nomor 14 Tahun 1985 tentang Mahkamah Agung</w:t>
        </w:r>
      </w:hyperlink>
      <w:r w:rsidRPr="00B76000">
        <w:rPr>
          <w:rFonts w:ascii="Arial" w:eastAsia="Times New Roman" w:hAnsi="Arial" w:cs="Arial"/>
          <w:color w:val="222222"/>
          <w:sz w:val="24"/>
          <w:szCs w:val="24"/>
          <w:lang w:eastAsia="en-ID"/>
        </w:rPr>
        <w:t> sebagaimana telah diubah oleh </w:t>
      </w:r>
      <w:hyperlink r:id="rId16" w:history="1">
        <w:r w:rsidRPr="00B76000">
          <w:rPr>
            <w:rFonts w:ascii="Arial" w:eastAsia="Times New Roman" w:hAnsi="Arial" w:cs="Arial"/>
            <w:color w:val="0000FF"/>
            <w:sz w:val="24"/>
            <w:szCs w:val="24"/>
            <w:u w:val="single"/>
            <w:lang w:eastAsia="en-ID"/>
          </w:rPr>
          <w:t>Undang-Undang Nomor 5 Tahun 2004 tentang Perubahan Atas Undang-Undang Nomor 14 Tahun 1985 tentang Mahkamah Agung</w:t>
        </w:r>
      </w:hyperlink>
      <w:r w:rsidRPr="00B76000">
        <w:rPr>
          <w:rFonts w:ascii="Arial" w:eastAsia="Times New Roman" w:hAnsi="Arial" w:cs="Arial"/>
          <w:color w:val="222222"/>
          <w:sz w:val="24"/>
          <w:szCs w:val="24"/>
          <w:lang w:eastAsia="en-ID"/>
        </w:rPr>
        <w:t> dan terakhir kali diubah oleh </w:t>
      </w:r>
      <w:hyperlink r:id="rId17" w:history="1">
        <w:r w:rsidRPr="00B76000">
          <w:rPr>
            <w:rFonts w:ascii="Arial" w:eastAsia="Times New Roman" w:hAnsi="Arial" w:cs="Arial"/>
            <w:color w:val="0000FF"/>
            <w:sz w:val="24"/>
            <w:szCs w:val="24"/>
            <w:u w:val="single"/>
            <w:lang w:eastAsia="en-ID"/>
          </w:rPr>
          <w:t>Undang-Undang Nomor 3 Tahun 2009 tentang Perubahan Kedua Atas Undang-Undang Nomor 14 Tahun 1985 tentang Mahkamah Agung</w:t>
        </w:r>
      </w:hyperlink>
      <w:r w:rsidRPr="00B76000">
        <w:rPr>
          <w:rFonts w:ascii="Arial" w:eastAsia="Times New Roman" w:hAnsi="Arial" w:cs="Arial"/>
          <w:color w:val="222222"/>
          <w:sz w:val="24"/>
          <w:szCs w:val="24"/>
          <w:lang w:eastAsia="en-ID"/>
        </w:rPr>
        <w:t>.</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u w:val="single"/>
          <w:lang w:eastAsia="en-ID"/>
        </w:rPr>
        <w:t>Referensi</w:t>
      </w:r>
      <w:r w:rsidRPr="00B76000">
        <w:rPr>
          <w:rFonts w:ascii="Helvetica" w:eastAsia="Times New Roman" w:hAnsi="Helvetica" w:cs="Helvetica"/>
          <w:color w:val="222222"/>
          <w:sz w:val="24"/>
          <w:szCs w:val="24"/>
          <w:lang w:eastAsia="en-ID"/>
        </w:rPr>
        <w:t>:</w:t>
      </w:r>
    </w:p>
    <w:p w:rsidR="00B76000" w:rsidRPr="00B76000" w:rsidRDefault="00B76000" w:rsidP="00B76000">
      <w:pPr>
        <w:numPr>
          <w:ilvl w:val="0"/>
          <w:numId w:val="6"/>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Sudikno Mertokusumo. 1977. </w:t>
      </w:r>
      <w:r w:rsidRPr="00B76000">
        <w:rPr>
          <w:rFonts w:ascii="Arial" w:eastAsia="Times New Roman" w:hAnsi="Arial" w:cs="Arial"/>
          <w:i/>
          <w:iCs/>
          <w:color w:val="222222"/>
          <w:sz w:val="24"/>
          <w:szCs w:val="24"/>
          <w:lang w:eastAsia="en-ID"/>
        </w:rPr>
        <w:t>Hukum Acara Perdata Indonesia. </w:t>
      </w:r>
      <w:r w:rsidRPr="00B76000">
        <w:rPr>
          <w:rFonts w:ascii="Arial" w:eastAsia="Times New Roman" w:hAnsi="Arial" w:cs="Arial"/>
          <w:color w:val="222222"/>
          <w:sz w:val="24"/>
          <w:szCs w:val="24"/>
          <w:lang w:eastAsia="en-ID"/>
        </w:rPr>
        <w:t>Yogyakarta: Liberty;</w:t>
      </w:r>
    </w:p>
    <w:p w:rsidR="00B76000" w:rsidRPr="00B76000" w:rsidRDefault="00B76000" w:rsidP="00B76000">
      <w:pPr>
        <w:numPr>
          <w:ilvl w:val="0"/>
          <w:numId w:val="6"/>
        </w:numPr>
        <w:shd w:val="clear" w:color="auto" w:fill="EAEAEA"/>
        <w:spacing w:after="0" w:line="240" w:lineRule="auto"/>
        <w:ind w:left="150"/>
        <w:jc w:val="both"/>
        <w:rPr>
          <w:rFonts w:ascii="Arial" w:eastAsia="Times New Roman" w:hAnsi="Arial" w:cs="Arial"/>
          <w:color w:val="222222"/>
          <w:sz w:val="24"/>
          <w:szCs w:val="24"/>
          <w:lang w:eastAsia="en-ID"/>
        </w:rPr>
      </w:pPr>
      <w:r w:rsidRPr="00B76000">
        <w:rPr>
          <w:rFonts w:ascii="Arial" w:eastAsia="Times New Roman" w:hAnsi="Arial" w:cs="Arial"/>
          <w:color w:val="222222"/>
          <w:sz w:val="24"/>
          <w:szCs w:val="24"/>
          <w:lang w:eastAsia="en-ID"/>
        </w:rPr>
        <w:t>Yahya Harahap. 2016. </w:t>
      </w:r>
      <w:r w:rsidRPr="00B76000">
        <w:rPr>
          <w:rFonts w:ascii="Arial" w:eastAsia="Times New Roman" w:hAnsi="Arial" w:cs="Arial"/>
          <w:i/>
          <w:iCs/>
          <w:color w:val="222222"/>
          <w:sz w:val="24"/>
          <w:szCs w:val="24"/>
          <w:lang w:eastAsia="en-ID"/>
        </w:rPr>
        <w:t>Hukum Acara Perdata Tentang Gugatan, Persidangan, Penyitaan, Pembuktian, dan Putusan Pengadilan</w:t>
      </w:r>
      <w:r w:rsidRPr="00B76000">
        <w:rPr>
          <w:rFonts w:ascii="Arial" w:eastAsia="Times New Roman" w:hAnsi="Arial" w:cs="Arial"/>
          <w:color w:val="222222"/>
          <w:sz w:val="24"/>
          <w:szCs w:val="24"/>
          <w:lang w:eastAsia="en-ID"/>
        </w:rPr>
        <w:t>. Jakarta: Sinar Grafika.</w:t>
      </w:r>
    </w:p>
    <w:p w:rsidR="00B76000" w:rsidRPr="00B76000" w:rsidRDefault="00B76000" w:rsidP="00B76000">
      <w:pPr>
        <w:shd w:val="clear" w:color="auto" w:fill="EAEAEA"/>
        <w:spacing w:after="0" w:line="240" w:lineRule="auto"/>
        <w:jc w:val="both"/>
        <w:rPr>
          <w:rFonts w:ascii="Helvetica" w:eastAsia="Times New Roman" w:hAnsi="Helvetica" w:cs="Helvetica"/>
          <w:color w:val="222222"/>
          <w:sz w:val="24"/>
          <w:szCs w:val="24"/>
          <w:lang w:eastAsia="en-ID"/>
        </w:rPr>
      </w:pPr>
      <w:r w:rsidRPr="00B76000">
        <w:rPr>
          <w:rFonts w:ascii="Helvetica" w:eastAsia="Times New Roman" w:hAnsi="Helvetica" w:cs="Helvetica"/>
          <w:color w:val="222222"/>
          <w:sz w:val="24"/>
          <w:szCs w:val="24"/>
          <w:lang w:eastAsia="en-ID"/>
        </w:rPr>
        <w:t> </w:t>
      </w:r>
    </w:p>
    <w:p w:rsidR="00BA5386" w:rsidRDefault="00BA5386">
      <w:bookmarkStart w:id="0" w:name="_GoBack"/>
      <w:bookmarkEnd w:id="0"/>
    </w:p>
    <w:sectPr w:rsidR="00BA5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C7404"/>
    <w:multiLevelType w:val="multilevel"/>
    <w:tmpl w:val="0866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6115EE"/>
    <w:multiLevelType w:val="multilevel"/>
    <w:tmpl w:val="DDF4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CB7D1A"/>
    <w:multiLevelType w:val="multilevel"/>
    <w:tmpl w:val="4F5E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C04123"/>
    <w:multiLevelType w:val="multilevel"/>
    <w:tmpl w:val="5588CC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66551B1C"/>
    <w:multiLevelType w:val="multilevel"/>
    <w:tmpl w:val="5F5E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F03C20"/>
    <w:multiLevelType w:val="multilevel"/>
    <w:tmpl w:val="CAD4DF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000"/>
    <w:rsid w:val="00B37A16"/>
    <w:rsid w:val="00B76000"/>
    <w:rsid w:val="00BA53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760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4">
    <w:name w:val="heading 4"/>
    <w:basedOn w:val="Normal"/>
    <w:link w:val="Heading4Char"/>
    <w:uiPriority w:val="9"/>
    <w:qFormat/>
    <w:rsid w:val="00B76000"/>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000"/>
    <w:rPr>
      <w:rFonts w:ascii="Times New Roman" w:eastAsia="Times New Roman" w:hAnsi="Times New Roman" w:cs="Times New Roman"/>
      <w:b/>
      <w:bCs/>
      <w:kern w:val="36"/>
      <w:sz w:val="48"/>
      <w:szCs w:val="48"/>
      <w:lang w:eastAsia="en-ID"/>
    </w:rPr>
  </w:style>
  <w:style w:type="character" w:customStyle="1" w:styleId="Heading4Char">
    <w:name w:val="Heading 4 Char"/>
    <w:basedOn w:val="DefaultParagraphFont"/>
    <w:link w:val="Heading4"/>
    <w:uiPriority w:val="9"/>
    <w:rsid w:val="00B76000"/>
    <w:rPr>
      <w:rFonts w:ascii="Times New Roman" w:eastAsia="Times New Roman" w:hAnsi="Times New Roman" w:cs="Times New Roman"/>
      <w:b/>
      <w:bCs/>
      <w:sz w:val="24"/>
      <w:szCs w:val="24"/>
      <w:lang w:eastAsia="en-ID"/>
    </w:rPr>
  </w:style>
  <w:style w:type="character" w:styleId="Hyperlink">
    <w:name w:val="Hyperlink"/>
    <w:basedOn w:val="DefaultParagraphFont"/>
    <w:uiPriority w:val="99"/>
    <w:semiHidden/>
    <w:unhideWhenUsed/>
    <w:rsid w:val="00B76000"/>
    <w:rPr>
      <w:color w:val="0000FF"/>
      <w:u w:val="single"/>
    </w:rPr>
  </w:style>
  <w:style w:type="character" w:styleId="Strong">
    <w:name w:val="Strong"/>
    <w:basedOn w:val="DefaultParagraphFont"/>
    <w:uiPriority w:val="22"/>
    <w:qFormat/>
    <w:rsid w:val="00B76000"/>
    <w:rPr>
      <w:b/>
      <w:bCs/>
    </w:rPr>
  </w:style>
  <w:style w:type="paragraph" w:styleId="NormalWeb">
    <w:name w:val="Normal (Web)"/>
    <w:basedOn w:val="Normal"/>
    <w:uiPriority w:val="99"/>
    <w:semiHidden/>
    <w:unhideWhenUsed/>
    <w:rsid w:val="00B7600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B76000"/>
    <w:rPr>
      <w:i/>
      <w:iCs/>
    </w:rPr>
  </w:style>
  <w:style w:type="paragraph" w:styleId="BalloonText">
    <w:name w:val="Balloon Text"/>
    <w:basedOn w:val="Normal"/>
    <w:link w:val="BalloonTextChar"/>
    <w:uiPriority w:val="99"/>
    <w:semiHidden/>
    <w:unhideWhenUsed/>
    <w:rsid w:val="00B76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760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4">
    <w:name w:val="heading 4"/>
    <w:basedOn w:val="Normal"/>
    <w:link w:val="Heading4Char"/>
    <w:uiPriority w:val="9"/>
    <w:qFormat/>
    <w:rsid w:val="00B76000"/>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000"/>
    <w:rPr>
      <w:rFonts w:ascii="Times New Roman" w:eastAsia="Times New Roman" w:hAnsi="Times New Roman" w:cs="Times New Roman"/>
      <w:b/>
      <w:bCs/>
      <w:kern w:val="36"/>
      <w:sz w:val="48"/>
      <w:szCs w:val="48"/>
      <w:lang w:eastAsia="en-ID"/>
    </w:rPr>
  </w:style>
  <w:style w:type="character" w:customStyle="1" w:styleId="Heading4Char">
    <w:name w:val="Heading 4 Char"/>
    <w:basedOn w:val="DefaultParagraphFont"/>
    <w:link w:val="Heading4"/>
    <w:uiPriority w:val="9"/>
    <w:rsid w:val="00B76000"/>
    <w:rPr>
      <w:rFonts w:ascii="Times New Roman" w:eastAsia="Times New Roman" w:hAnsi="Times New Roman" w:cs="Times New Roman"/>
      <w:b/>
      <w:bCs/>
      <w:sz w:val="24"/>
      <w:szCs w:val="24"/>
      <w:lang w:eastAsia="en-ID"/>
    </w:rPr>
  </w:style>
  <w:style w:type="character" w:styleId="Hyperlink">
    <w:name w:val="Hyperlink"/>
    <w:basedOn w:val="DefaultParagraphFont"/>
    <w:uiPriority w:val="99"/>
    <w:semiHidden/>
    <w:unhideWhenUsed/>
    <w:rsid w:val="00B76000"/>
    <w:rPr>
      <w:color w:val="0000FF"/>
      <w:u w:val="single"/>
    </w:rPr>
  </w:style>
  <w:style w:type="character" w:styleId="Strong">
    <w:name w:val="Strong"/>
    <w:basedOn w:val="DefaultParagraphFont"/>
    <w:uiPriority w:val="22"/>
    <w:qFormat/>
    <w:rsid w:val="00B76000"/>
    <w:rPr>
      <w:b/>
      <w:bCs/>
    </w:rPr>
  </w:style>
  <w:style w:type="paragraph" w:styleId="NormalWeb">
    <w:name w:val="Normal (Web)"/>
    <w:basedOn w:val="Normal"/>
    <w:uiPriority w:val="99"/>
    <w:semiHidden/>
    <w:unhideWhenUsed/>
    <w:rsid w:val="00B7600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B76000"/>
    <w:rPr>
      <w:i/>
      <w:iCs/>
    </w:rPr>
  </w:style>
  <w:style w:type="paragraph" w:styleId="BalloonText">
    <w:name w:val="Balloon Text"/>
    <w:basedOn w:val="Normal"/>
    <w:link w:val="BalloonTextChar"/>
    <w:uiPriority w:val="99"/>
    <w:semiHidden/>
    <w:unhideWhenUsed/>
    <w:rsid w:val="00B76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1299785">
      <w:bodyDiv w:val="1"/>
      <w:marLeft w:val="0"/>
      <w:marRight w:val="0"/>
      <w:marTop w:val="0"/>
      <w:marBottom w:val="0"/>
      <w:divBdr>
        <w:top w:val="none" w:sz="0" w:space="0" w:color="auto"/>
        <w:left w:val="none" w:sz="0" w:space="0" w:color="auto"/>
        <w:bottom w:val="none" w:sz="0" w:space="0" w:color="auto"/>
        <w:right w:val="none" w:sz="0" w:space="0" w:color="auto"/>
      </w:divBdr>
      <w:divsChild>
        <w:div w:id="264507661">
          <w:marLeft w:val="0"/>
          <w:marRight w:val="0"/>
          <w:marTop w:val="0"/>
          <w:marBottom w:val="0"/>
          <w:divBdr>
            <w:top w:val="none" w:sz="0" w:space="0" w:color="auto"/>
            <w:left w:val="none" w:sz="0" w:space="0" w:color="auto"/>
            <w:bottom w:val="none" w:sz="0" w:space="0" w:color="auto"/>
            <w:right w:val="none" w:sz="0" w:space="0" w:color="auto"/>
          </w:divBdr>
        </w:div>
        <w:div w:id="131677402">
          <w:marLeft w:val="0"/>
          <w:marRight w:val="0"/>
          <w:marTop w:val="150"/>
          <w:marBottom w:val="0"/>
          <w:divBdr>
            <w:top w:val="none" w:sz="0" w:space="0" w:color="auto"/>
            <w:left w:val="none" w:sz="0" w:space="0" w:color="auto"/>
            <w:bottom w:val="none" w:sz="0" w:space="0" w:color="auto"/>
            <w:right w:val="none" w:sz="0" w:space="0" w:color="auto"/>
          </w:divBdr>
          <w:divsChild>
            <w:div w:id="981151269">
              <w:marLeft w:val="0"/>
              <w:marRight w:val="0"/>
              <w:marTop w:val="0"/>
              <w:marBottom w:val="0"/>
              <w:divBdr>
                <w:top w:val="single" w:sz="2" w:space="0" w:color="000000"/>
                <w:left w:val="single" w:sz="2" w:space="11" w:color="000000"/>
                <w:bottom w:val="single" w:sz="2" w:space="0" w:color="000000"/>
                <w:right w:val="single" w:sz="2" w:space="11" w:color="000000"/>
              </w:divBdr>
            </w:div>
            <w:div w:id="1702436025">
              <w:marLeft w:val="0"/>
              <w:marRight w:val="0"/>
              <w:marTop w:val="0"/>
              <w:marBottom w:val="0"/>
              <w:divBdr>
                <w:top w:val="single" w:sz="2" w:space="8" w:color="000000"/>
                <w:left w:val="single" w:sz="2" w:space="0" w:color="000000"/>
                <w:bottom w:val="single" w:sz="2" w:space="0" w:color="000000"/>
                <w:right w:val="single" w:sz="2" w:space="0" w:color="000000"/>
              </w:divBdr>
            </w:div>
          </w:divsChild>
        </w:div>
        <w:div w:id="110173696">
          <w:marLeft w:val="0"/>
          <w:marRight w:val="0"/>
          <w:marTop w:val="0"/>
          <w:marBottom w:val="0"/>
          <w:divBdr>
            <w:top w:val="none" w:sz="0" w:space="0" w:color="auto"/>
            <w:left w:val="none" w:sz="0" w:space="0" w:color="auto"/>
            <w:bottom w:val="none" w:sz="0" w:space="0" w:color="auto"/>
            <w:right w:val="none" w:sz="0" w:space="0" w:color="auto"/>
          </w:divBdr>
        </w:div>
        <w:div w:id="1215242595">
          <w:marLeft w:val="0"/>
          <w:marRight w:val="0"/>
          <w:marTop w:val="300"/>
          <w:marBottom w:val="0"/>
          <w:divBdr>
            <w:top w:val="none" w:sz="0" w:space="0" w:color="auto"/>
            <w:left w:val="none" w:sz="0" w:space="0" w:color="auto"/>
            <w:bottom w:val="none" w:sz="0" w:space="0" w:color="auto"/>
            <w:right w:val="none" w:sz="0" w:space="0" w:color="auto"/>
          </w:divBdr>
          <w:divsChild>
            <w:div w:id="1783304852">
              <w:marLeft w:val="0"/>
              <w:marRight w:val="0"/>
              <w:marTop w:val="0"/>
              <w:marBottom w:val="0"/>
              <w:divBdr>
                <w:top w:val="none" w:sz="0" w:space="0" w:color="auto"/>
                <w:left w:val="none" w:sz="0" w:space="0" w:color="auto"/>
                <w:bottom w:val="none" w:sz="0" w:space="0" w:color="auto"/>
                <w:right w:val="none" w:sz="0" w:space="0" w:color="auto"/>
              </w:divBdr>
            </w:div>
          </w:divsChild>
        </w:div>
        <w:div w:id="1484006993">
          <w:marLeft w:val="0"/>
          <w:marRight w:val="0"/>
          <w:marTop w:val="300"/>
          <w:marBottom w:val="0"/>
          <w:divBdr>
            <w:top w:val="none" w:sz="0" w:space="0" w:color="auto"/>
            <w:left w:val="none" w:sz="0" w:space="0" w:color="auto"/>
            <w:bottom w:val="none" w:sz="0" w:space="0" w:color="auto"/>
            <w:right w:val="none" w:sz="0" w:space="0" w:color="auto"/>
          </w:divBdr>
          <w:divsChild>
            <w:div w:id="1266964492">
              <w:marLeft w:val="150"/>
              <w:marRight w:val="0"/>
              <w:marTop w:val="0"/>
              <w:marBottom w:val="0"/>
              <w:divBdr>
                <w:top w:val="none" w:sz="0" w:space="0" w:color="auto"/>
                <w:left w:val="none" w:sz="0" w:space="0" w:color="auto"/>
                <w:bottom w:val="none" w:sz="0" w:space="0" w:color="auto"/>
                <w:right w:val="none" w:sz="0" w:space="0" w:color="auto"/>
              </w:divBdr>
              <w:divsChild>
                <w:div w:id="1347366142">
                  <w:marLeft w:val="0"/>
                  <w:marRight w:val="0"/>
                  <w:marTop w:val="100"/>
                  <w:marBottom w:val="100"/>
                  <w:divBdr>
                    <w:top w:val="none" w:sz="0" w:space="0" w:color="auto"/>
                    <w:left w:val="none" w:sz="0" w:space="0" w:color="auto"/>
                    <w:bottom w:val="none" w:sz="0" w:space="0" w:color="auto"/>
                    <w:right w:val="none" w:sz="0" w:space="0" w:color="auto"/>
                  </w:divBdr>
                  <w:divsChild>
                    <w:div w:id="1432824310">
                      <w:marLeft w:val="0"/>
                      <w:marRight w:val="0"/>
                      <w:marTop w:val="150"/>
                      <w:marBottom w:val="0"/>
                      <w:divBdr>
                        <w:top w:val="none" w:sz="0" w:space="0" w:color="auto"/>
                        <w:left w:val="none" w:sz="0" w:space="0" w:color="auto"/>
                        <w:bottom w:val="none" w:sz="0" w:space="0" w:color="auto"/>
                        <w:right w:val="none" w:sz="0" w:space="0" w:color="auto"/>
                      </w:divBdr>
                    </w:div>
                    <w:div w:id="1437099773">
                      <w:marLeft w:val="0"/>
                      <w:marRight w:val="0"/>
                      <w:marTop w:val="150"/>
                      <w:marBottom w:val="0"/>
                      <w:divBdr>
                        <w:top w:val="none" w:sz="0" w:space="0" w:color="auto"/>
                        <w:left w:val="none" w:sz="0" w:space="0" w:color="auto"/>
                        <w:bottom w:val="none" w:sz="0" w:space="0" w:color="auto"/>
                        <w:right w:val="none" w:sz="0" w:space="0" w:color="auto"/>
                      </w:divBdr>
                    </w:div>
                    <w:div w:id="723720311">
                      <w:marLeft w:val="0"/>
                      <w:marRight w:val="0"/>
                      <w:marTop w:val="120"/>
                      <w:marBottom w:val="0"/>
                      <w:divBdr>
                        <w:top w:val="none" w:sz="0" w:space="0" w:color="auto"/>
                        <w:left w:val="none" w:sz="0" w:space="0" w:color="auto"/>
                        <w:bottom w:val="none" w:sz="0" w:space="0" w:color="auto"/>
                        <w:right w:val="none" w:sz="0" w:space="0" w:color="auto"/>
                      </w:divBdr>
                    </w:div>
                    <w:div w:id="676884750">
                      <w:marLeft w:val="0"/>
                      <w:marRight w:val="0"/>
                      <w:marTop w:val="300"/>
                      <w:marBottom w:val="300"/>
                      <w:divBdr>
                        <w:top w:val="none" w:sz="0" w:space="0" w:color="auto"/>
                        <w:left w:val="none" w:sz="0" w:space="0" w:color="auto"/>
                        <w:bottom w:val="none" w:sz="0" w:space="0" w:color="auto"/>
                        <w:right w:val="none" w:sz="0" w:space="0" w:color="auto"/>
                      </w:divBdr>
                    </w:div>
                  </w:divsChild>
                </w:div>
                <w:div w:id="1625116029">
                  <w:marLeft w:val="0"/>
                  <w:marRight w:val="0"/>
                  <w:marTop w:val="0"/>
                  <w:marBottom w:val="0"/>
                  <w:divBdr>
                    <w:top w:val="none" w:sz="0" w:space="0" w:color="auto"/>
                    <w:left w:val="none" w:sz="0" w:space="0" w:color="auto"/>
                    <w:bottom w:val="none" w:sz="0" w:space="0" w:color="auto"/>
                    <w:right w:val="none" w:sz="0" w:space="0" w:color="auto"/>
                  </w:divBdr>
                </w:div>
                <w:div w:id="1094669226">
                  <w:marLeft w:val="0"/>
                  <w:marRight w:val="0"/>
                  <w:marTop w:val="0"/>
                  <w:marBottom w:val="0"/>
                  <w:divBdr>
                    <w:top w:val="none" w:sz="0" w:space="0" w:color="auto"/>
                    <w:left w:val="none" w:sz="0" w:space="0" w:color="auto"/>
                    <w:bottom w:val="none" w:sz="0" w:space="0" w:color="auto"/>
                    <w:right w:val="none" w:sz="0" w:space="0" w:color="auto"/>
                  </w:divBdr>
                </w:div>
                <w:div w:id="1423136569">
                  <w:marLeft w:val="0"/>
                  <w:marRight w:val="0"/>
                  <w:marTop w:val="0"/>
                  <w:marBottom w:val="0"/>
                  <w:divBdr>
                    <w:top w:val="none" w:sz="0" w:space="0" w:color="auto"/>
                    <w:left w:val="none" w:sz="0" w:space="0" w:color="auto"/>
                    <w:bottom w:val="none" w:sz="0" w:space="0" w:color="auto"/>
                    <w:right w:val="none" w:sz="0" w:space="0" w:color="auto"/>
                  </w:divBdr>
                </w:div>
                <w:div w:id="1298099471">
                  <w:marLeft w:val="0"/>
                  <w:marRight w:val="0"/>
                  <w:marTop w:val="0"/>
                  <w:marBottom w:val="0"/>
                  <w:divBdr>
                    <w:top w:val="none" w:sz="0" w:space="0" w:color="auto"/>
                    <w:left w:val="none" w:sz="0" w:space="0" w:color="auto"/>
                    <w:bottom w:val="none" w:sz="0" w:space="0" w:color="auto"/>
                    <w:right w:val="none" w:sz="0" w:space="0" w:color="auto"/>
                  </w:divBdr>
                </w:div>
                <w:div w:id="1585652225">
                  <w:marLeft w:val="0"/>
                  <w:marRight w:val="0"/>
                  <w:marTop w:val="0"/>
                  <w:marBottom w:val="0"/>
                  <w:divBdr>
                    <w:top w:val="none" w:sz="0" w:space="0" w:color="auto"/>
                    <w:left w:val="none" w:sz="0" w:space="0" w:color="auto"/>
                    <w:bottom w:val="none" w:sz="0" w:space="0" w:color="auto"/>
                    <w:right w:val="none" w:sz="0" w:space="0" w:color="auto"/>
                  </w:divBdr>
                </w:div>
                <w:div w:id="48191223">
                  <w:marLeft w:val="0"/>
                  <w:marRight w:val="0"/>
                  <w:marTop w:val="0"/>
                  <w:marBottom w:val="0"/>
                  <w:divBdr>
                    <w:top w:val="none" w:sz="0" w:space="0" w:color="auto"/>
                    <w:left w:val="none" w:sz="0" w:space="0" w:color="auto"/>
                    <w:bottom w:val="none" w:sz="0" w:space="0" w:color="auto"/>
                    <w:right w:val="none" w:sz="0" w:space="0" w:color="auto"/>
                  </w:divBdr>
                </w:div>
                <w:div w:id="1483233962">
                  <w:marLeft w:val="0"/>
                  <w:marRight w:val="0"/>
                  <w:marTop w:val="0"/>
                  <w:marBottom w:val="0"/>
                  <w:divBdr>
                    <w:top w:val="none" w:sz="0" w:space="0" w:color="auto"/>
                    <w:left w:val="none" w:sz="0" w:space="0" w:color="auto"/>
                    <w:bottom w:val="none" w:sz="0" w:space="0" w:color="auto"/>
                    <w:right w:val="none" w:sz="0" w:space="0" w:color="auto"/>
                  </w:divBdr>
                </w:div>
                <w:div w:id="1316955172">
                  <w:marLeft w:val="0"/>
                  <w:marRight w:val="0"/>
                  <w:marTop w:val="0"/>
                  <w:marBottom w:val="0"/>
                  <w:divBdr>
                    <w:top w:val="none" w:sz="0" w:space="0" w:color="auto"/>
                    <w:left w:val="none" w:sz="0" w:space="0" w:color="auto"/>
                    <w:bottom w:val="none" w:sz="0" w:space="0" w:color="auto"/>
                    <w:right w:val="none" w:sz="0" w:space="0" w:color="auto"/>
                  </w:divBdr>
                </w:div>
                <w:div w:id="1141582939">
                  <w:marLeft w:val="0"/>
                  <w:marRight w:val="0"/>
                  <w:marTop w:val="0"/>
                  <w:marBottom w:val="0"/>
                  <w:divBdr>
                    <w:top w:val="none" w:sz="0" w:space="0" w:color="auto"/>
                    <w:left w:val="none" w:sz="0" w:space="0" w:color="auto"/>
                    <w:bottom w:val="none" w:sz="0" w:space="0" w:color="auto"/>
                    <w:right w:val="none" w:sz="0" w:space="0" w:color="auto"/>
                  </w:divBdr>
                </w:div>
                <w:div w:id="654719438">
                  <w:marLeft w:val="0"/>
                  <w:marRight w:val="0"/>
                  <w:marTop w:val="0"/>
                  <w:marBottom w:val="0"/>
                  <w:divBdr>
                    <w:top w:val="none" w:sz="0" w:space="0" w:color="auto"/>
                    <w:left w:val="none" w:sz="0" w:space="0" w:color="auto"/>
                    <w:bottom w:val="none" w:sz="0" w:space="0" w:color="auto"/>
                    <w:right w:val="none" w:sz="0" w:space="0" w:color="auto"/>
                  </w:divBdr>
                </w:div>
                <w:div w:id="844706636">
                  <w:marLeft w:val="0"/>
                  <w:marRight w:val="0"/>
                  <w:marTop w:val="0"/>
                  <w:marBottom w:val="0"/>
                  <w:divBdr>
                    <w:top w:val="none" w:sz="0" w:space="0" w:color="auto"/>
                    <w:left w:val="none" w:sz="0" w:space="0" w:color="auto"/>
                    <w:bottom w:val="none" w:sz="0" w:space="0" w:color="auto"/>
                    <w:right w:val="none" w:sz="0" w:space="0" w:color="auto"/>
                  </w:divBdr>
                </w:div>
                <w:div w:id="49967088">
                  <w:marLeft w:val="0"/>
                  <w:marRight w:val="0"/>
                  <w:marTop w:val="0"/>
                  <w:marBottom w:val="0"/>
                  <w:divBdr>
                    <w:top w:val="none" w:sz="0" w:space="0" w:color="auto"/>
                    <w:left w:val="none" w:sz="0" w:space="0" w:color="auto"/>
                    <w:bottom w:val="none" w:sz="0" w:space="0" w:color="auto"/>
                    <w:right w:val="none" w:sz="0" w:space="0" w:color="auto"/>
                  </w:divBdr>
                </w:div>
                <w:div w:id="1778216552">
                  <w:marLeft w:val="0"/>
                  <w:marRight w:val="0"/>
                  <w:marTop w:val="0"/>
                  <w:marBottom w:val="0"/>
                  <w:divBdr>
                    <w:top w:val="none" w:sz="0" w:space="0" w:color="auto"/>
                    <w:left w:val="none" w:sz="0" w:space="0" w:color="auto"/>
                    <w:bottom w:val="none" w:sz="0" w:space="0" w:color="auto"/>
                    <w:right w:val="none" w:sz="0" w:space="0" w:color="auto"/>
                  </w:divBdr>
                </w:div>
                <w:div w:id="611785346">
                  <w:marLeft w:val="600"/>
                  <w:marRight w:val="0"/>
                  <w:marTop w:val="0"/>
                  <w:marBottom w:val="0"/>
                  <w:divBdr>
                    <w:top w:val="none" w:sz="0" w:space="0" w:color="auto"/>
                    <w:left w:val="none" w:sz="0" w:space="0" w:color="auto"/>
                    <w:bottom w:val="none" w:sz="0" w:space="0" w:color="auto"/>
                    <w:right w:val="none" w:sz="0" w:space="0" w:color="auto"/>
                  </w:divBdr>
                </w:div>
                <w:div w:id="100953615">
                  <w:marLeft w:val="600"/>
                  <w:marRight w:val="0"/>
                  <w:marTop w:val="0"/>
                  <w:marBottom w:val="0"/>
                  <w:divBdr>
                    <w:top w:val="none" w:sz="0" w:space="0" w:color="auto"/>
                    <w:left w:val="none" w:sz="0" w:space="0" w:color="auto"/>
                    <w:bottom w:val="none" w:sz="0" w:space="0" w:color="auto"/>
                    <w:right w:val="none" w:sz="0" w:space="0" w:color="auto"/>
                  </w:divBdr>
                </w:div>
                <w:div w:id="304744486">
                  <w:marLeft w:val="0"/>
                  <w:marRight w:val="0"/>
                  <w:marTop w:val="0"/>
                  <w:marBottom w:val="0"/>
                  <w:divBdr>
                    <w:top w:val="none" w:sz="0" w:space="0" w:color="auto"/>
                    <w:left w:val="none" w:sz="0" w:space="0" w:color="auto"/>
                    <w:bottom w:val="none" w:sz="0" w:space="0" w:color="auto"/>
                    <w:right w:val="none" w:sz="0" w:space="0" w:color="auto"/>
                  </w:divBdr>
                </w:div>
                <w:div w:id="624240192">
                  <w:marLeft w:val="0"/>
                  <w:marRight w:val="0"/>
                  <w:marTop w:val="0"/>
                  <w:marBottom w:val="0"/>
                  <w:divBdr>
                    <w:top w:val="none" w:sz="0" w:space="0" w:color="auto"/>
                    <w:left w:val="none" w:sz="0" w:space="0" w:color="auto"/>
                    <w:bottom w:val="none" w:sz="0" w:space="0" w:color="auto"/>
                    <w:right w:val="none" w:sz="0" w:space="0" w:color="auto"/>
                  </w:divBdr>
                </w:div>
                <w:div w:id="1762294418">
                  <w:marLeft w:val="0"/>
                  <w:marRight w:val="0"/>
                  <w:marTop w:val="0"/>
                  <w:marBottom w:val="0"/>
                  <w:divBdr>
                    <w:top w:val="none" w:sz="0" w:space="0" w:color="auto"/>
                    <w:left w:val="none" w:sz="0" w:space="0" w:color="auto"/>
                    <w:bottom w:val="none" w:sz="0" w:space="0" w:color="auto"/>
                    <w:right w:val="none" w:sz="0" w:space="0" w:color="auto"/>
                  </w:divBdr>
                </w:div>
                <w:div w:id="1755857279">
                  <w:marLeft w:val="0"/>
                  <w:marRight w:val="0"/>
                  <w:marTop w:val="0"/>
                  <w:marBottom w:val="0"/>
                  <w:divBdr>
                    <w:top w:val="none" w:sz="0" w:space="0" w:color="auto"/>
                    <w:left w:val="none" w:sz="0" w:space="0" w:color="auto"/>
                    <w:bottom w:val="none" w:sz="0" w:space="0" w:color="auto"/>
                    <w:right w:val="none" w:sz="0" w:space="0" w:color="auto"/>
                  </w:divBdr>
                </w:div>
                <w:div w:id="92919871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kumonline.com/klinik/mitra/lt4ddc7a184bdfe/lembaga-bantuan-hukum-mawar-saron" TargetMode="External"/><Relationship Id="rId13" Type="http://schemas.openxmlformats.org/officeDocument/2006/relationships/hyperlink" Target="https://www.hukumonline.com/pusatdata/detail/3781/nprt/2/undangundang-nomor-14-tahun-1985"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hukumonline.com/klinik/kategori/lt4a0a9d5a0323e/hukum-perdata" TargetMode="External"/><Relationship Id="rId12" Type="http://schemas.openxmlformats.org/officeDocument/2006/relationships/hyperlink" Target="https://www.hukumonline.com/klinik/detail/lt590a832027619/siapa-yang-membayar-biaya-perkara-jika-gugatan-dikabulkan-sebagian/" TargetMode="External"/><Relationship Id="rId17" Type="http://schemas.openxmlformats.org/officeDocument/2006/relationships/hyperlink" Target="https://www.hukumonline.com/pusatdata/detail/28864/nprt/1060/undangundang-nomor-3-tahun-2009" TargetMode="External"/><Relationship Id="rId2" Type="http://schemas.openxmlformats.org/officeDocument/2006/relationships/styles" Target="styles.xml"/><Relationship Id="rId16" Type="http://schemas.openxmlformats.org/officeDocument/2006/relationships/hyperlink" Target="https://www.hukumonline.com/pusatdata/detail/17917/nprt/2/undangundang-nomor-5-tahun-2004" TargetMode="External"/><Relationship Id="rId1" Type="http://schemas.openxmlformats.org/officeDocument/2006/relationships/numbering" Target="numbering.xml"/><Relationship Id="rId6" Type="http://schemas.openxmlformats.org/officeDocument/2006/relationships/hyperlink" Target="https://www.hukumonline.com/klinik/penjawab/lt59df0735428f0/mitra/lt4ddc7a184bdfe/anselmus-malofiks--sh" TargetMode="External"/><Relationship Id="rId11" Type="http://schemas.openxmlformats.org/officeDocument/2006/relationships/hyperlink" Target="https://www.hukumonline.com/pusatdata/detail/27228/nprt/2/herzien-inlandsch-reglement-(h.i.r)-(s.-1941-44)-reglemen-indonesia-yang-diperbaharui-(r.i.b.)" TargetMode="External"/><Relationship Id="rId5" Type="http://schemas.openxmlformats.org/officeDocument/2006/relationships/webSettings" Target="webSettings.xml"/><Relationship Id="rId15" Type="http://schemas.openxmlformats.org/officeDocument/2006/relationships/hyperlink" Target="https://www.hukumonline.com/pusatdata/detail/3781/nprt/2/undangundang-nomor-14-tahun-1985" TargetMode="External"/><Relationship Id="rId10" Type="http://schemas.openxmlformats.org/officeDocument/2006/relationships/hyperlink" Target="https://www.hukumonline.com/klinik/detail/cl3157/arti-gugatan-dikabulkan,-ditolak,-dan-tidak-dapat-diterim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hukumonline.com/pusatdata/detail/27228/nprt/2/herzien-inlandsch-reglement-(h.i.r)-(s.-1941-44)-reglemen-indonesia-yang-diperbaharui-(r.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ikin</dc:creator>
  <cp:lastModifiedBy>ikin</cp:lastModifiedBy>
  <cp:revision>1</cp:revision>
  <dcterms:created xsi:type="dcterms:W3CDTF">2021-01-05T00:14:00Z</dcterms:created>
  <dcterms:modified xsi:type="dcterms:W3CDTF">2021-01-05T09:09:00Z</dcterms:modified>
</cp:coreProperties>
</file>