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Edward Madden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26 Maple Street,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0871652522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958614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03/04/2025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Filling White Composite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31/03/2025 09:30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$80.00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$80.00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$12.00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$92.00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