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John Smith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45 Oak Street,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0838212554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527681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Bridge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13:30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$600.00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9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$180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$780.00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$117.00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$897.00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