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Detaillierte Projektdokumentation: Country Destabilization Prototype</w:t>
      </w:r>
    </w:p>
    <w:p>
      <w:pPr>
        <w:spacing w:after="120"/>
      </w:pPr>
      <w:r>
        <w:t xml:space="preserve">Stand: Branch hermes/vmodel-assessment, Commit-Kontext nach Function-Level-Traceability-Hardening.  </w:t>
        <w:br/>
        <w:t>Zielgruppe: Engineering, Requirements/MBSD, Analyse-Methodik, Review und Weiterentwicklung.</w:t>
      </w:r>
    </w:p>
    <w:p>
      <w:pPr>
        <w:pStyle w:val="Heading1"/>
      </w:pPr>
      <w:r>
        <w:t>1. Executive Summary</w:t>
      </w:r>
    </w:p>
    <w:p>
      <w:pPr>
        <w:spacing w:after="120"/>
      </w:pPr>
      <w:r>
        <w:t>Der Country Destabilization Prototype ist ein requirements-getrieben entwickelter Analyseprototyp zur Erkennung kurzfristiger Auffaelligkeiten in Medien-, Ereignis- und Kontextdaten. Er soll moegliche Hinweise auf politische oder gesellschaftliche Destabilisierung sichtbar machen und analystenfreundlich aufbereiten. Das System ist kein operatives Warnsystem, keine vollautomatische Lagebewertung und kein Black-Box-ML-Modell. Es ist ein modularer, erklaerbarer und stark tracebarer Software-Prototyp, der heterogene Datenquellen in strukturierte Indikatoren, Plots, Exporte und Review-Artefakte ueberfuehrt.</w:t>
      </w:r>
    </w:p>
    <w:p>
      <w:pPr>
        <w:spacing w:after="120"/>
      </w:pPr>
      <w:r>
        <w:t>Der aktuelle Stand kombiniert:</w:t>
      </w:r>
    </w:p>
    <w:p>
      <w:pPr>
        <w:spacing w:after="120"/>
      </w:pPr>
      <w:r>
        <w:t>- einen klassischen Clusterpfad fuer tension, escalation und vulnerability,</w:t>
        <w:br/>
        <w:t>- einen additiven V3+-Fusionpfad fuer event, narrative, governance, market_food, shock, displacement, structural,</w:t>
        <w:br/>
        <w:t>- historische Rolling-Window-Bewertungen,</w:t>
        <w:br/>
        <w:t>- monatliche historische Fusion,</w:t>
        <w:br/>
        <w:t>- V4.3-Laenderprofile und Ranking-Trajektorien,</w:t>
        <w:br/>
        <w:t>- V4.3.1 Peak-Hardening und Peak-Attribution,</w:t>
        <w:br/>
        <w:t>- V4.3.2 Event-Alignment gegen eine Event-Registry,</w:t>
        <w:br/>
        <w:t>- FastAPI-MVP-Endpunkte fuer Runs, Status und Artefakte,</w:t>
        <w:br/>
        <w:t>- V-Model-Light-/Requirements-as-Code-Governance.</w:t>
      </w:r>
    </w:p>
    <w:p>
      <w:pPr>
        <w:spacing w:after="120"/>
      </w:pPr>
      <w:r>
        <w:t>Der Prototyp ist aktuell sehr weit instrumentiert: 480 Python-Funktionen sind traceability-annotiert; vmodel/traceability/trace_links.yaml enthaelt 2462 Function-Level-Links; 156 Verification-Artefakte sind maschinenlesbar dokumentiert; die letzte vollstaendige Testausfuehrung ergab 120 passed.</w:t>
      </w:r>
    </w:p>
    <w:p>
      <w:pPr>
        <w:pStyle w:val="Heading1"/>
      </w:pPr>
      <w:r>
        <w:t>2. Ziel des Projekts</w:t>
      </w:r>
    </w:p>
    <w:p>
      <w:pPr>
        <w:pStyle w:val="Heading2"/>
      </w:pPr>
      <w:r>
        <w:t>2.1 Fachliches Ziel</w:t>
      </w:r>
    </w:p>
    <w:p>
      <w:pPr>
        <w:spacing w:after="120"/>
      </w:pPr>
      <w:r>
        <w:t>Das fachliche Ziel ist die Erkennung und Darstellung kurzfristiger Destabilisierungssignale. Der Prototyp soll Daten aus verschiedenen Quellen so verdichten, dass Analysten folgende Fragen effizienter bearbeiten koennen:</w:t>
      </w:r>
    </w:p>
    <w:p>
      <w:pPr>
        <w:spacing w:after="120"/>
      </w:pPr>
      <w:r>
        <w:t>1. Gibt es aktuell auffaellige Signale fuer gesellschaftlich-politische Spannung?</w:t>
        <w:br/>
        <w:t>2. Gibt es interne oder externe Eskalationsdynamik?</w:t>
        <w:br/>
        <w:t>3. Gibt es strukturelle Verwundbarkeit, die akute Signale verstaerken kann?</w:t>
        <w:br/>
        <w:t>4. Welche Laender zeigen im Vergleich erhoehte Fusion-Scores?</w:t>
        <w:br/>
        <w:t>5. Welche Layer treiben eine Auffaelligkeit?</w:t>
        <w:br/>
        <w:t>6. Ist ein Peak durch reale Ereignisse plausibel geerdet oder eher modell-/datengetrieben?</w:t>
        <w:br/>
        <w:t>7. Wie belastbar ist ein Ergebnis hinsichtlich Quellenabdeckung, Aktualitaet, Vollstaendigkeit und Konsistenz?</w:t>
      </w:r>
    </w:p>
    <w:p>
      <w:pPr>
        <w:pStyle w:val="Heading2"/>
      </w:pPr>
      <w:r>
        <w:t>2.2 Engineering-Ziel</w:t>
      </w:r>
    </w:p>
    <w:p>
      <w:pPr>
        <w:spacing w:after="120"/>
      </w:pPr>
      <w:r>
        <w:t>Das Engineering-Ziel ist ein nachvollziehbarer, testbarer und weiterentwickelbarer Prototyp. Zentral ist die Trennung zwischen:</w:t>
      </w:r>
    </w:p>
    <w:p>
      <w:pPr>
        <w:spacing w:after="120"/>
      </w:pPr>
      <w:r>
        <w:t>- Rohdaten,</w:t>
        <w:br/>
        <w:t>- Features,</w:t>
        <w:br/>
        <w:t>- Scores,</w:t>
        <w:br/>
        <w:t>- Fusion- und Validation-Logik,</w:t>
        <w:br/>
        <w:t>- Reporting,</w:t>
        <w:br/>
        <w:t>- API,</w:t>
        <w:br/>
        <w:t>- Governance.</w:t>
      </w:r>
    </w:p>
    <w:p>
      <w:pPr>
        <w:spacing w:after="120"/>
      </w:pPr>
      <w:r>
        <w:t>Das Projekt folgt dem Grundsatz: Implementierung ist Evidenz, nicht Autoritaet. Anforderungen, Methodenregeln, Algorithmen, Tests und Code muessen tracebar bleiben.</w:t>
      </w:r>
    </w:p>
    <w:p>
      <w:pPr>
        <w:pStyle w:val="Heading2"/>
      </w:pPr>
      <w:r>
        <w:t>2.3 Nicht-Ziele</w:t>
      </w:r>
    </w:p>
    <w:p>
      <w:pPr>
        <w:spacing w:after="120"/>
      </w:pPr>
      <w:r>
        <w:t>Explizite Nicht-Ziele sind:</w:t>
      </w:r>
    </w:p>
    <w:p>
      <w:pPr>
        <w:spacing w:after="120"/>
      </w:pPr>
      <w:r>
        <w:t>- keine autonome politische Entscheidungsmaschine,</w:t>
        <w:br/>
        <w:t>- keine vollstaendige globale Echtzeitlage,</w:t>
        <w:br/>
        <w:t>- keine Black-Box-Fusion,</w:t>
        <w:br/>
        <w:t>- keine Aussage ueber Kausalitaet im strengen wissenschaftlichen Sinn,</w:t>
        <w:br/>
        <w:t>- keine produktive Hochverfuegbarkeitsarchitektur,</w:t>
        <w:br/>
        <w:t>- keine abschliessend kalibrierte Risiko- oder Prognosewahrscheinlichkeit.</w:t>
      </w:r>
    </w:p>
    <w:p>
      <w:pPr>
        <w:pStyle w:val="Heading1"/>
      </w:pPr>
      <w:r>
        <w:t>3. Aktueller Stand in Zahlen</w:t>
      </w:r>
    </w:p>
    <w:p>
      <w:pPr>
        <w:spacing w:after="120"/>
      </w:pPr>
      <w:r>
        <w:t>| Artefaktklasse | Stand |</w:t>
        <w:br/>
        <w:t>|---|---:|</w:t>
        <w:br/>
        <w:t>| Stakeholder Requirements | 26 |</w:t>
        <w:br/>
        <w:t>| System Requirements | 43 |</w:t>
        <w:br/>
        <w:t>| Software Requirements | 124 |</w:t>
        <w:br/>
        <w:t>| Implementierte Software Requirements | 123 |</w:t>
        <w:br/>
        <w:t>| Retired Software Requirements | 1 |</w:t>
        <w:br/>
        <w:t>| Verification Specifications | 156 |</w:t>
        <w:br/>
        <w:t>| Open Issues gesamt | 46 |</w:t>
        <w:br/>
        <w:t>| Davon offen | 28 |</w:t>
        <w:br/>
        <w:t>| Davon geloest | 18 |</w:t>
        <w:br/>
        <w:t>| Function-Level Trace Links | 2462 |</w:t>
        <w:br/>
        <w:t>| Python-Funktionen | 480 |</w:t>
        <w:br/>
        <w:t>| Python-Klassen | 86 |</w:t>
        <w:br/>
        <w:t>| Letzter Full-Test | 120 passed |</w:t>
      </w:r>
    </w:p>
    <w:p>
      <w:pPr>
        <w:spacing w:after="120"/>
      </w:pPr>
      <w:r>
        <w:t>Wichtige Codebereiche:</w:t>
      </w:r>
    </w:p>
    <w:p>
      <w:pPr>
        <w:spacing w:after="120"/>
      </w:pPr>
      <w:r>
        <w:t>| Bereich | Zweck | Groesse grob |</w:t>
        <w:br/>
        <w:t>|---|---|---:|</w:t>
        <w:br/>
        <w:t>| proto/ | Kernpipeline, Quellen, Scoring, Fusion, Reporting | ca. 17k LOC |</w:t>
        <w:br/>
        <w:t>| api/ | FastAPI-MVP | ca. 1.3k LOC |</w:t>
        <w:br/>
        <w:t>| tests/ | Unit-/Integration-/End-to-End-nahe Tests | ca. 6.5k LOC |</w:t>
        <w:br/>
        <w:t>| tools/ | Review-Bundle, Frontend-/Support-Tools | ca. 1.5k LOC |</w:t>
        <w:br/>
        <w:t>| scripts/ | Scaffold-/Fixture-Generatoren | ca. 0.8k LOC |</w:t>
      </w:r>
    </w:p>
    <w:p>
      <w:pPr>
        <w:pStyle w:val="Heading1"/>
      </w:pPr>
      <w:r>
        <w:t>4. Architekturuebersicht</w:t>
      </w:r>
    </w:p>
    <w:p>
      <w:pPr>
        <w:spacing w:after="120"/>
      </w:pPr>
      <w:r>
        <w:t>Die Architektur ist in Schichten aufgebaut. Datenquellen und Konfiguration werden geladen, in interne Modelle ueberfuehrt, ueber Feature- und Observation-Pfade verdichtet, bewertet und schliesslich als Reports, Plots, Exporte und API-Artefakte bereitgestellt.</w:t>
      </w:r>
    </w:p>
    <w:p>
      <w:r>
        <w:rPr>
          <w:i/>
        </w:rPr>
        <w:t>[Abbildung: Projektarchitektur -&gt; diagrams/architecture_overview.svg]</w:t>
      </w:r>
    </w:p>
    <w:p>
      <w:pPr>
        <w:spacing w:after="120"/>
      </w:pPr>
      <w:r>
        <w:t>Ergaenzend zeigt die folgende Abbildung die organisatorische Repository-Struktur. Dadurch wird sichtbar, wie sich Produktcode, Governance-Artefakte, Tests, Tools, Daten und generierte Outputs zueinander verhalten.</w:t>
      </w:r>
    </w:p>
    <w:p>
      <w:r>
        <w:rPr>
          <w:i/>
        </w:rPr>
        <w:t>[Abbildung: Repository-Struktur -&gt; diagrams/repository_structure.svg]</w:t>
      </w:r>
    </w:p>
    <w:p>
      <w:pPr>
        <w:pStyle w:val="Heading2"/>
      </w:pPr>
      <w:r>
        <w:t>4.1 Wichtige Packages</w:t>
      </w:r>
    </w:p>
    <w:p>
      <w:pPr>
        <w:pStyle w:val="Heading3"/>
      </w:pPr>
      <w:r>
        <w:t>proto.pipeline</w:t>
      </w:r>
    </w:p>
    <w:p>
      <w:pPr>
        <w:spacing w:after="120"/>
      </w:pPr>
      <w:r>
        <w:t>Zentrale Orchestrierung. proto/pipeline/run_proto.py fuehrt den Standardlauf aus. proto/pipeline/config.py validiert die Konfiguration und erzeugt typisierte Config-Objekte.</w:t>
      </w:r>
    </w:p>
    <w:p>
      <w:pPr>
        <w:pStyle w:val="Heading3"/>
      </w:pPr>
      <w:r>
        <w:t>proto.sources</w:t>
      </w:r>
    </w:p>
    <w:p>
      <w:pPr>
        <w:spacing w:after="120"/>
      </w:pPr>
      <w:r>
        <w:t>Quelladapter fuer GDELT, UCDP, Bridge, Context, FAO FFPI, FAO FPMA, UN Comtrade, GDACS, UNHCR, Narrative Input, Governance Input und GDELT Event.</w:t>
      </w:r>
    </w:p>
    <w:p>
      <w:pPr>
        <w:pStyle w:val="Heading3"/>
      </w:pPr>
      <w:r>
        <w:t>proto.features</w:t>
      </w:r>
    </w:p>
    <w:p>
      <w:pPr>
        <w:spacing w:after="120"/>
      </w:pPr>
      <w:r>
        <w:t>Feature-Builders fuer klassische Cluster:</w:t>
      </w:r>
    </w:p>
    <w:p>
      <w:pPr>
        <w:spacing w:after="120"/>
      </w:pPr>
      <w:r>
        <w:t>- gdelt_features.py: Spannungssignale,</w:t>
        <w:br/>
        <w:t>- escalation_features.py: Eskalationssignale,</w:t>
        <w:br/>
        <w:t>- vulnerability_features.py: strukturelle Verwundbarkeit.</w:t>
      </w:r>
    </w:p>
    <w:p>
      <w:pPr>
        <w:pStyle w:val="Heading3"/>
      </w:pPr>
      <w:r>
        <w:t>proto.scoring</w:t>
      </w:r>
    </w:p>
    <w:p>
      <w:pPr>
        <w:spacing w:after="120"/>
      </w:pPr>
      <w:r>
        <w:t>Klassisches Scoring:</w:t>
      </w:r>
    </w:p>
    <w:p>
      <w:pPr>
        <w:spacing w:after="120"/>
      </w:pPr>
      <w:r>
        <w:t>- subscores.py: Subscore-Bildung,</w:t>
        <w:br/>
        <w:t>- cluster_scores.py: Aggregation zu Cluster-Scores,</w:t>
        <w:br/>
        <w:t>- thresholds.py: Stage-Mapping,</w:t>
        <w:br/>
        <w:t>- trend.py: 7d-vs-30d-Trendlogik,</w:t>
        <w:br/>
        <w:t>- confidence.py: klassische Confidence,</w:t>
        <w:br/>
        <w:t>- trend_history.py: historische Rolling-Window-Zeitreihen.</w:t>
      </w:r>
    </w:p>
    <w:p>
      <w:pPr>
        <w:pStyle w:val="Heading3"/>
      </w:pPr>
      <w:r>
        <w:t>proto.observations</w:t>
      </w:r>
    </w:p>
    <w:p>
      <w:pPr>
        <w:spacing w:after="120"/>
      </w:pPr>
      <w:r>
        <w:t>Kanonisches Observation-Schema und Normalisierung fuer neue Quellen. Hier wird die V3+-Quellvielfalt in ein gemeinsames internes Format gebracht.</w:t>
      </w:r>
    </w:p>
    <w:p>
      <w:pPr>
        <w:pStyle w:val="Heading3"/>
      </w:pPr>
      <w:r>
        <w:t>proto.fusion</w:t>
      </w:r>
    </w:p>
    <w:p>
      <w:pPr>
        <w:spacing w:after="120"/>
      </w:pPr>
      <w:r>
        <w:t>Multi-Source-Fusion, Freshness, Confidence und Validation. Besonders wichtig:</w:t>
      </w:r>
    </w:p>
    <w:p>
      <w:pPr>
        <w:spacing w:after="120"/>
      </w:pPr>
      <w:r>
        <w:t>- scoring.py: Source Signals, Group Scores, Total Scores, Historical Fusion,</w:t>
        <w:br/>
        <w:t>- confidence.py: getrennte Confidence-Logik,</w:t>
        <w:br/>
        <w:t>- freshness.py: Freshness-Klassifikation und Decay,</w:t>
        <w:br/>
        <w:t>- validation.py: Ranking-, Peak-, Event-Alignment- und Review-Diagnostik.</w:t>
      </w:r>
    </w:p>
    <w:p>
      <w:pPr>
        <w:pStyle w:val="Heading3"/>
      </w:pPr>
      <w:r>
        <w:t>proto.reporting</w:t>
      </w:r>
    </w:p>
    <w:p>
      <w:pPr>
        <w:spacing w:after="120"/>
      </w:pPr>
      <w:r>
        <w:t>Exports, Plots, Handout, Praesentationslogik. handout.py baut die laengere Markdown-Auswertung; plots.py erzeugt Snapshot-, Historical-, Fusion- und Event-Alignment-Plots.</w:t>
      </w:r>
    </w:p>
    <w:p>
      <w:pPr>
        <w:pStyle w:val="Heading3"/>
      </w:pPr>
      <w:r>
        <w:t>proto.runs</w:t>
      </w:r>
    </w:p>
    <w:p>
      <w:pPr>
        <w:spacing w:after="120"/>
      </w:pPr>
      <w:r>
        <w:t>Run-Metadaten, Vergleich mit vorherigem Lauf, Referenzlauf-Handling und Statuslogik.</w:t>
      </w:r>
    </w:p>
    <w:p>
      <w:pPr>
        <w:pStyle w:val="Heading3"/>
      </w:pPr>
      <w:r>
        <w:t>api/</w:t>
      </w:r>
    </w:p>
    <w:p>
      <w:pPr>
        <w:spacing w:after="120"/>
      </w:pPr>
      <w:r>
        <w:t>FastAPI-MVP fuer:</w:t>
      </w:r>
    </w:p>
    <w:p>
      <w:pPr>
        <w:spacing w:after="120"/>
      </w:pPr>
      <w:r>
        <w:t>- /health,</w:t>
        <w:br/>
        <w:t>- /info,</w:t>
        <w:br/>
        <w:t>- Options und Config Template,</w:t>
        <w:br/>
        <w:t>- Run-Erstellung,</w:t>
        <w:br/>
        <w:t>- Run-Status,</w:t>
        <w:br/>
        <w:t>- Run-Summary,</w:t>
        <w:br/>
        <w:t>- Run-Artefakte,</w:t>
        <w:br/>
        <w:t>- Bundle-/Artifact-Downloads.</w:t>
      </w:r>
    </w:p>
    <w:p>
      <w:pPr>
        <w:pStyle w:val="Heading1"/>
      </w:pPr>
      <w:r>
        <w:t>5. Datenquellen und Eingangsdaten</w:t>
      </w:r>
    </w:p>
    <w:p>
      <w:pPr>
        <w:spacing w:after="120"/>
      </w:pPr>
      <w:r>
        <w:t>Aktuelle Datenquellen im Repository:</w:t>
      </w:r>
    </w:p>
    <w:p>
      <w:pPr>
        <w:spacing w:after="120"/>
      </w:pPr>
      <w:r>
        <w:t>| Quelle | Pfad | Rolle |</w:t>
        <w:br/>
        <w:t>|---|---|---|</w:t>
        <w:br/>
        <w:t>| GDELT | data/gdelt/gdelt_events.csv | Medien-/Eventsignale fuer Spannung und Event-Layer |</w:t>
        <w:br/>
        <w:t>| UCDP | data/ucdp/ucdp_events.csv | Konflikt-/Gewaltereignisse |</w:t>
        <w:br/>
        <w:t>| Bridge | data/bridge/bridge_events.csv | kuratierte Ereignisbruecke |</w:t>
        <w:br/>
        <w:t>| Context | data/context/country_context.csv | strukturelle Kontextdaten |</w:t>
        <w:br/>
        <w:t>| FAO FFPI | data/fao_ffpi/fao_ffpi.csv | Food price index / market_food |</w:t>
        <w:br/>
        <w:t>| FAO FPMA | data/fao_fpma/fao_fpma.csv | Food price monitoring / market_food |</w:t>
        <w:br/>
        <w:t>| UN Comtrade | data/un_comtrade/un_comtrade.csv | structural |</w:t>
        <w:br/>
        <w:t>| GDACS | data/gdacs/gdacs_events.csv | shock |</w:t>
        <w:br/>
        <w:t>| UNHCR | data/unhcr/unhcr_displacement.csv | displacement |</w:t>
        <w:br/>
        <w:t>| Narrative Input | data/narrative_input/narrative_input.csv | narrative |</w:t>
        <w:br/>
        <w:t>| Governance Input | data/governance_input/governance_input.csv | governance |</w:t>
        <w:br/>
        <w:t>| Event Registry | data/validation/event_registry.csv | Event-Alignment |</w:t>
        <w:br/>
        <w:t>| Reference Episodes | data/validation/reference_episodes.csv | Validierung / Plausibilitaet |</w:t>
      </w:r>
    </w:p>
    <w:p>
      <w:pPr>
        <w:spacing w:after="120"/>
      </w:pPr>
      <w:r>
        <w:t>Die folgende Abbildung zeigt die inhaltliche Zuordnung der Quellen zu Layern und Gruppen des Fusionsraums.</w:t>
      </w:r>
    </w:p>
    <w:p>
      <w:r>
        <w:rPr>
          <w:i/>
        </w:rPr>
        <w:t>[Abbildung: Quellen-zu-Layer-Mapping -&gt; diagrams/source_to_layer_mapping.svg]</w:t>
      </w:r>
    </w:p>
    <w:p>
      <w:pPr>
        <w:spacing w:after="120"/>
      </w:pPr>
      <w:r>
        <w:t>Die Konfiguration liegt in config/default.yaml. Sie definiert Laender, Zeitfenster, historische Parameter, Versionen, Output-Pfade, Scoring-Schwellen, V3.1-Quellen, Gruppen, Gewichte, Confidence-Gewichte, Freshness-Modell und Event-Alignment-Schwellen.</w:t>
      </w:r>
    </w:p>
    <w:p>
      <w:pPr>
        <w:pStyle w:val="Heading1"/>
      </w:pPr>
      <w:r>
        <w:t>6. Programmablauf</w:t>
      </w:r>
    </w:p>
    <w:p>
      <w:r>
        <w:rPr>
          <w:i/>
        </w:rPr>
        <w:t>[Abbildung: Programmablauf -&gt; diagrams/program_flow.svg]</w:t>
      </w:r>
    </w:p>
    <w:p>
      <w:pPr>
        <w:spacing w:after="120"/>
      </w:pPr>
      <w:r>
        <w:t>Der Standardlauf arbeitet in dieser Reihenfolge:</w:t>
      </w:r>
    </w:p>
    <w:p>
      <w:pPr>
        <w:spacing w:after="120"/>
      </w:pPr>
      <w:r>
        <w:t>1. Konfiguration laden und validieren.</w:t>
        <w:br/>
        <w:t>2. Rohquellen laden.</w:t>
        <w:br/>
        <w:t>3. Klassische Features erzeugen.</w:t>
        <w:br/>
        <w:t>4. Klassische Subscores und Cluster-Scores berechnen.</w:t>
        <w:br/>
        <w:t>5. Stufen, Trends und Confidence ableiten.</w:t>
        <w:br/>
        <w:t>6. Historische Rolling-Window-Zeitreihen berechnen.</w:t>
        <w:br/>
        <w:t>7. Snapshot aus historischem gueltigem Endpunkt oder dokumentiertem Fallback ableiten.</w:t>
        <w:br/>
        <w:t>8. Neue Quellen in kanonische Observations transformieren.</w:t>
        <w:br/>
        <w:t>9. Fusion Source Signals bilden.</w:t>
        <w:br/>
        <w:t>10. Group Scores und Fusion Total Score berechnen.</w:t>
        <w:br/>
        <w:t>11. Historische monatliche Fusion erzeugen.</w:t>
        <w:br/>
        <w:t>12. Validation-/Freshness-/Responsiveness-Diagnostik berechnen.</w:t>
        <w:br/>
        <w:t>13. V4.3-Laenderprofile und Ranking-Trajektorien erstellen.</w:t>
        <w:br/>
        <w:t>14. V4.3.1-Peaks, Peak-Attribution und Synchronisationsmetriken ableiten.</w:t>
        <w:br/>
        <w:t>15. V4.3.2 Event-Alignment gegen Event-Registry berechnen.</w:t>
        <w:br/>
        <w:t>16. Exporte und Plots schreiben.</w:t>
        <w:br/>
        <w:t>17. Handout und Review-Artefakte erzeugen.</w:t>
        <w:br/>
        <w:t>18. Run-Metadaten und Run-Status speichern.</w:t>
        <w:br/>
        <w:t>19. Vergleich mit vorherigem Run und Referenzrun erzeugen.</w:t>
      </w:r>
    </w:p>
    <w:p>
      <w:pPr>
        <w:pStyle w:val="Heading1"/>
      </w:pPr>
      <w:r>
        <w:t>7. Mathematische und heuristische Ansaetze</w:t>
      </w:r>
    </w:p>
    <w:p>
      <w:r>
        <w:rPr>
          <w:i/>
        </w:rPr>
        <w:t>[Abbildung: Mathematische Modellstruktur -&gt; diagrams/mathematical_model.svg]</w:t>
      </w:r>
    </w:p>
    <w:p>
      <w:pPr>
        <w:pStyle w:val="Heading2"/>
      </w:pPr>
      <w:r>
        <w:t>7.1 Feature- und Subscore-Skalen</w:t>
      </w:r>
    </w:p>
    <w:p>
      <w:pPr>
        <w:spacing w:after="120"/>
      </w:pPr>
      <w:r>
        <w:t>Klassische Features werden auf [0,100] gefuehrt. Die Funktion _clamp_score begrenzt Werte auf diesen Bereich:</w:t>
      </w:r>
    </w:p>
    <w:p>
      <w:pPr>
        <w:spacing w:after="120"/>
      </w:pPr>
      <w:r>
        <w:br/>
        <w:t>clip_{0,100}(x) = \max(0, \min(100, x)).</w:t>
        <w:br/>
      </w:r>
    </w:p>
    <w:p>
      <w:pPr>
        <w:spacing w:after="120"/>
      </w:pPr>
      <w:r>
        <w:t>Die Subscore-Bildung nutzt einfache Mittelwerte. Beispiele:</w:t>
      </w:r>
    </w:p>
    <w:p>
      <w:pPr>
        <w:spacing w:after="120"/>
      </w:pPr>
      <w:r>
        <w:t>- Spannung:</w:t>
        <w:br/>
        <w:t xml:space="preserve">  - protest_signal -&gt; protest_subscore,</w:t>
        <w:br/>
        <w:t xml:space="preserve">  - crisis_discourse_signal -&gt; crisis_subscore,</w:t>
        <w:br/>
        <w:t xml:space="preserve">  - negativity_signal -&gt; negativity_subscore,</w:t>
        <w:br/>
        <w:t xml:space="preserve">  - optional stability_signal -&gt; stability_inverse_subscore = 100 - stability_signal.</w:t>
      </w:r>
    </w:p>
    <w:p>
      <w:pPr>
        <w:spacing w:after="120"/>
      </w:pPr>
      <w:r>
        <w:t>- Eskalation:</w:t>
        <w:br/>
        <w:t xml:space="preserve">  - interne Dynamik aus internal_violence_signal, repression_signal, domestic_attack_signal,</w:t>
        <w:br/>
        <w:t xml:space="preserve">  - externe Dynamik aus war_activity_signal, external_attack_signal, regional_spillover_signal,</w:t>
        <w:br/>
        <w:t xml:space="preserve">  - Peak-Subscore als Maximum,</w:t>
        <w:br/>
        <w:t xml:space="preserve">  - Intensity-Subscore als Mittel aus interner und externer Dynamik.</w:t>
      </w:r>
    </w:p>
    <w:p>
      <w:pPr>
        <w:spacing w:after="120"/>
      </w:pPr>
      <w:r>
        <w:t>- Verwundbarkeit:</w:t>
        <w:br/>
        <w:t xml:space="preserve">  - wirtschaftliche Verwundbarkeit,</w:t>
        <w:br/>
        <w:t xml:space="preserve">  - hybride Verwundbarkeit,</w:t>
        <w:br/>
        <w:t xml:space="preserve">  - Governance-Stress.</w:t>
      </w:r>
    </w:p>
    <w:p>
      <w:pPr>
        <w:pStyle w:val="Heading2"/>
      </w:pPr>
      <w:r>
        <w:t>7.2 Cluster-Score</w:t>
      </w:r>
    </w:p>
    <w:p>
      <w:pPr>
        <w:spacing w:after="120"/>
      </w:pPr>
      <w:r>
        <w:t>Ein Cluster-Score ist der einfache Mittelwert der Subscores:</w:t>
      </w:r>
    </w:p>
    <w:p>
      <w:pPr>
        <w:spacing w:after="120"/>
      </w:pPr>
      <w:r>
        <w:br/>
        <w:t>C_{c,k,t} = \frac{1}{n}\sum_{j=1}^{n} S_{c,k,j,t}.</w:t>
        <w:br/>
      </w:r>
    </w:p>
    <w:p>
      <w:pPr>
        <w:spacing w:after="120"/>
      </w:pPr>
      <w:r>
        <w:t>Die Wahl einer einfachen Aggregation ist bewusst: Sie ist erklaerbar, testbar und fuer einen Prototyp mit begrenzter Kalibriergrundlage robuster als eine schwer begruendbare komplexe Gewichtung.</w:t>
      </w:r>
    </w:p>
    <w:p>
      <w:pPr>
        <w:pStyle w:val="Heading2"/>
      </w:pPr>
      <w:r>
        <w:t>7.3 Stage-Mapping</w:t>
      </w:r>
    </w:p>
    <w:p>
      <w:pPr>
        <w:spacing w:after="120"/>
      </w:pPr>
      <w:r>
        <w:t>Der Standardwertsatz lautet:</w:t>
      </w:r>
    </w:p>
    <w:p>
      <w:pPr>
        <w:spacing w:after="120"/>
      </w:pPr>
      <w:r>
        <w:t>- score &lt; 30: niedrig,</w:t>
        <w:br/>
        <w:t>- 30 &lt;= score &lt; 56: erhoeht,</w:t>
        <w:br/>
        <w:t>- 56 &lt;= score &lt; 80: hoch,</w:t>
        <w:br/>
        <w:t>- score &gt;= 80: sehr hoch.</w:t>
      </w:r>
    </w:p>
    <w:p>
      <w:pPr>
        <w:spacing w:after="120"/>
      </w:pPr>
      <w:r>
        <w:t>Formal:</w:t>
      </w:r>
    </w:p>
    <w:p>
      <w:pPr>
        <w:spacing w:after="120"/>
      </w:pPr>
      <w:r>
        <w:br/>
        <w:t>stage(C)=</w:t>
        <w:br/>
        <w:t>\begin{cases}</w:t>
        <w:br/>
        <w:t>low, &amp; C &lt; 30\\</w:t>
        <w:br/>
        <w:t>elevated, &amp; 30 \le C &lt; 56\\</w:t>
        <w:br/>
        <w:t>high, &amp; 56 \le C &lt; 80\\</w:t>
        <w:br/>
        <w:t>very\ high, &amp; C \ge 80.</w:t>
        <w:br/>
        <w:t>\end{cases}</w:t>
        <w:br/>
      </w:r>
    </w:p>
    <w:p>
      <w:pPr>
        <w:pStyle w:val="Heading2"/>
      </w:pPr>
      <w:r>
        <w:t>7.4 Trendlogik</w:t>
      </w:r>
    </w:p>
    <w:p>
      <w:pPr>
        <w:spacing w:after="120"/>
      </w:pPr>
      <w:r>
        <w:t>Der Trend vergleicht einen kurzfristigen Mittelwert gegen eine Baseline:</w:t>
      </w:r>
    </w:p>
    <w:p>
      <w:pPr>
        <w:spacing w:after="120"/>
      </w:pPr>
      <w:r>
        <w:br/>
        <w:t>\Delta = \overline{C}_{short} - \overline{C}_{baseline}.</w:t>
        <w:br/>
      </w:r>
    </w:p>
    <w:p>
      <w:pPr>
        <w:spacing w:after="120"/>
      </w:pPr>
      <w:r>
        <w:t>Mit epsilon = 1.25 gilt:</w:t>
      </w:r>
    </w:p>
    <w:p>
      <w:pPr>
        <w:spacing w:after="120"/>
      </w:pPr>
      <w:r>
        <w:t>- Delta &gt; epsilon: zunehmend,</w:t>
        <w:br/>
        <w:t>- Delta &lt; -epsilon: ruecklaeufig,</w:t>
        <w:br/>
        <w:t>- sonst stabil.</w:t>
      </w:r>
    </w:p>
    <w:p>
      <w:pPr>
        <w:spacing w:after="120"/>
      </w:pPr>
      <w:r>
        <w:t>Der historische Pfad nutzt Rolling-Window-Logik mit window_days=7, min_valid_days=5 und aggregation=rolling_mean.</w:t>
      </w:r>
    </w:p>
    <w:p>
      <w:pPr>
        <w:pStyle w:val="Heading2"/>
      </w:pPr>
      <w:r>
        <w:t>7.5 Snapshot-Ableitung aus Historie</w:t>
      </w:r>
    </w:p>
    <w:p>
      <w:pPr>
        <w:spacing w:after="120"/>
      </w:pPr>
      <w:r>
        <w:t>Der Snapshot wird nicht unabhaengig vom historischen Pfad berechnet. Stattdessen gilt folgende Prioritaet:</w:t>
      </w:r>
    </w:p>
    <w:p>
      <w:pPr>
        <w:spacing w:after="120"/>
      </w:pPr>
      <w:r>
        <w:t>1. gueltiger Historical-Endpunkt am Run-Datum,</w:t>
        <w:br/>
        <w:t>2. sonst letzter gueltiger Historical-Punkt vor Run-Datum,</w:t>
        <w:br/>
        <w:t>3. sonst letzter numerischer Historical-Punkt unterhalb min_valid_days, explizit markiert und mit Confidence-Penalty,</w:t>
        <w:br/>
        <w:t>4. sonst Raw-Fallback.</w:t>
      </w:r>
    </w:p>
    <w:p>
      <w:pPr>
        <w:spacing w:after="120"/>
      </w:pPr>
      <w:r>
        <w:t>Diese Logik verhindert, dass Snapshot und historische Zeitreihe methodisch auseinanderlaufen.</w:t>
      </w:r>
    </w:p>
    <w:p>
      <w:pPr>
        <w:pStyle w:val="Heading2"/>
      </w:pPr>
      <w:r>
        <w:t>7.6 Kanonische Observations</w:t>
      </w:r>
    </w:p>
    <w:p>
      <w:pPr>
        <w:spacing w:after="120"/>
      </w:pPr>
      <w:r>
        <w:t>Der V3+-Pfad transformiert Quellen in ObservationRecord-Strukturen. Eine Observation enthaelt mindestens:</w:t>
      </w:r>
    </w:p>
    <w:p>
      <w:pPr>
        <w:spacing w:after="120"/>
      </w:pPr>
      <w:r>
        <w:t>- source_id,</w:t>
        <w:br/>
        <w:t>- country,</w:t>
        <w:br/>
        <w:t>- period_start, period_end,</w:t>
        <w:br/>
        <w:t>- layer,</w:t>
        <w:br/>
        <w:t>- signal_family,</w:t>
        <w:br/>
        <w:t>- raw_value,</w:t>
        <w:br/>
        <w:t>- normalized_value,</w:t>
        <w:br/>
        <w:t>- unit,</w:t>
        <w:br/>
        <w:t>- provenance,</w:t>
        <w:br/>
        <w:t>- quality_completeness,</w:t>
        <w:br/>
        <w:t>- native_periodicity.</w:t>
      </w:r>
    </w:p>
    <w:p>
      <w:pPr>
        <w:spacing w:after="120"/>
      </w:pPr>
      <w:r>
        <w:t>Die Normalisierung nutzt je nach Quelle z. B. z_score, percentile oder baseline_deviation.</w:t>
      </w:r>
    </w:p>
    <w:p>
      <w:pPr>
        <w:pStyle w:val="Heading2"/>
      </w:pPr>
      <w:r>
        <w:t>7.7 Gruppenfusion</w:t>
      </w:r>
    </w:p>
    <w:p>
      <w:pPr>
        <w:spacing w:after="120"/>
      </w:pPr>
      <w:r>
        <w:t>Fuer jede Gruppe g und jedes Land c werden aktuelle Source Signals selektiert. Der Gruppenwert ist:</w:t>
      </w:r>
    </w:p>
    <w:p>
      <w:pPr>
        <w:spacing w:after="120"/>
      </w:pPr>
      <w:r>
        <w:br/>
        <w:t>G_{c,g} = 100 \cdot \frac{\sum_i w_i \cdot s_i \cdot d_i}{\sum_i w_i}</w:t>
        <w:br/>
      </w:r>
    </w:p>
    <w:p>
      <w:pPr>
        <w:spacing w:after="120"/>
      </w:pPr>
      <w:r>
        <w:t>mit:</w:t>
      </w:r>
    </w:p>
    <w:p>
      <w:pPr>
        <w:spacing w:after="120"/>
      </w:pPr>
      <w:r>
        <w:t>- w_i: Quellgewicht,</w:t>
        <w:br/>
        <w:t>- s_i: normalisiertes Signal in [0,1],</w:t>
        <w:br/>
        <w:t>- d_i: Freshness-/Decay-Faktor.</w:t>
      </w:r>
    </w:p>
    <w:p>
      <w:pPr>
        <w:spacing w:after="120"/>
      </w:pPr>
      <w:r>
        <w:t>Bei fehlenden Quellen wird der Gruppenstatus not_available; bei teilweiser Abdeckung limited; bei vollstaendiger erwarteter Abdeckung ok.</w:t>
      </w:r>
    </w:p>
    <w:p>
      <w:pPr>
        <w:pStyle w:val="Heading2"/>
      </w:pPr>
      <w:r>
        <w:t>7.8 Fusion Total Score</w:t>
      </w:r>
    </w:p>
    <w:p>
      <w:pPr>
        <w:spacing w:after="120"/>
      </w:pPr>
      <w:r>
        <w:t>Der Fusion Score aggregiert verfuegbare Gruppen:</w:t>
      </w:r>
    </w:p>
    <w:p>
      <w:pPr>
        <w:spacing w:after="120"/>
      </w:pPr>
      <w:r>
        <w:br/>
        <w:t>F_c = \frac{\sum_g W_g \cdot G_{c,g}}{\sum_g W_g}.</w:t>
        <w:br/>
      </w:r>
    </w:p>
    <w:p>
      <w:pPr>
        <w:spacing w:after="120"/>
      </w:pPr>
      <w:r>
        <w:t>Aktuelle Gruppengewichte:</w:t>
      </w:r>
    </w:p>
    <w:p>
      <w:pPr>
        <w:spacing w:after="120"/>
      </w:pPr>
      <w:r>
        <w:t>| Gruppe | Gewicht |</w:t>
        <w:br/>
        <w:t>|---|---:|</w:t>
        <w:br/>
        <w:t>| event | 0.16 |</w:t>
        <w:br/>
        <w:t>| narrative | 0.14 |</w:t>
        <w:br/>
        <w:t>| governance | 0.15 |</w:t>
        <w:br/>
        <w:t>| market_food | 0.18 |</w:t>
        <w:br/>
        <w:t>| shock | 0.14 |</w:t>
        <w:br/>
        <w:t>| displacement | 0.13 |</w:t>
        <w:br/>
        <w:t>| structural | 0.10 |</w:t>
      </w:r>
    </w:p>
    <w:p>
      <w:pPr>
        <w:spacing w:after="120"/>
      </w:pPr>
      <w:r>
        <w:t>Ein optionaler Bonus bei mehreren hohen Gruppen ist konfiguriert, aber aktuell deaktiviert. Das ist methodisch sinnvoll, solange die Synergieannahme nicht empirisch validiert ist.</w:t>
      </w:r>
    </w:p>
    <w:p>
      <w:pPr>
        <w:pStyle w:val="Heading2"/>
      </w:pPr>
      <w:r>
        <w:t>7.9 Confidence</w:t>
      </w:r>
    </w:p>
    <w:p>
      <w:pPr>
        <w:spacing w:after="120"/>
      </w:pPr>
      <w:r>
        <w:t>Confidence wird bewusst vom Score getrennt. Die Gruppen-Confidence kombiniert:</w:t>
      </w:r>
    </w:p>
    <w:p>
      <w:pPr>
        <w:spacing w:after="120"/>
      </w:pPr>
      <w:r>
        <w:br/>
        <w:t>Conf_g = \frac{</w:t>
        <w:br/>
        <w:t>0.35 \cdot coverage +</w:t>
        <w:br/>
        <w:t>0.25 \cdot recency +</w:t>
        <w:br/>
        <w:t>0.25 \cdot completeness +</w:t>
        <w:br/>
        <w:t>0.15 \cdot consistency</w:t>
        <w:br/>
        <w:t>}{1.0}</w:t>
        <w:br/>
      </w:r>
    </w:p>
    <w:p>
      <w:pPr>
        <w:spacing w:after="120"/>
      </w:pPr>
      <w:r>
        <w:t>Die Total-Confidence nutzt analoge Komponenten und zieht Penalties ab:</w:t>
      </w:r>
    </w:p>
    <w:p>
      <w:pPr>
        <w:spacing w:after="120"/>
      </w:pPr>
      <w:r>
        <w:t>- Dominanz-Penalty bei zu hohem Anteil einer einzelnen Gruppe,</w:t>
        <w:br/>
        <w:t>- Limited-Penalty bei hohem Anteil limitierter Gruppen.</w:t>
      </w:r>
    </w:p>
    <w:p>
      <w:pPr>
        <w:spacing w:after="120"/>
      </w:pPr>
      <w:r>
        <w:t>Qualitative Confidence-Level:</w:t>
      </w:r>
    </w:p>
    <w:p>
      <w:pPr>
        <w:spacing w:after="120"/>
      </w:pPr>
      <w:r>
        <w:t>- &lt; 34: niedrig,</w:t>
        <w:br/>
        <w:t>- &lt; 67: mittel,</w:t>
        <w:br/>
        <w:t>- sonst hoch.</w:t>
      </w:r>
    </w:p>
    <w:p>
      <w:pPr>
        <w:pStyle w:val="Heading2"/>
      </w:pPr>
      <w:r>
        <w:t>7.10 Freshness und Decay</w:t>
      </w:r>
    </w:p>
    <w:p>
      <w:pPr>
        <w:spacing w:after="120"/>
      </w:pPr>
      <w:r>
        <w:t>Das Freshness-Modell klassifiziert Signale in fresh, aging und stale. Je Gruppe koennen eigene Parameter gesetzt werden, z. B. fuer Event sehr kurze Freshness-Fenster und fuer Structural sehr lange Fenster. Der Decay-Faktor reduziert veraltete Signale, ohne sie abrupt zu entfernen.</w:t>
      </w:r>
    </w:p>
    <w:p>
      <w:pPr>
        <w:pStyle w:val="Heading2"/>
      </w:pPr>
      <w:r>
        <w:t>7.11 Validierung, Peaks und Event-Alignment</w:t>
      </w:r>
    </w:p>
    <w:p>
      <w:pPr>
        <w:spacing w:after="120"/>
      </w:pPr>
      <w:r>
        <w:t>Die Validation-Schicht erzeugt keine absolute Ground Truth, sondern Plausibilitaets- und Review-Hilfen:</w:t>
      </w:r>
    </w:p>
    <w:p>
      <w:pPr>
        <w:spacing w:after="120"/>
      </w:pPr>
      <w:r>
        <w:t>- Ranking-Plausibilitaet gegen erwartete Rangfolge,</w:t>
        <w:br/>
        <w:t>- Episodenvergleich gegen Referenzepisoden,</w:t>
        <w:br/>
        <w:t>- Layer-Dominanzdiagnostik,</w:t>
        <w:br/>
        <w:t>- Freshness Coverage,</w:t>
        <w:br/>
        <w:t>- historische Responsiveness,</w:t>
        <w:br/>
        <w:t>- Laenderprofile ueber 356 Tage,</w:t>
        <w:br/>
        <w:t>- Peak-Erkennung mit Prominenz, Rise/Fall und Mindestabstand,</w:t>
        <w:br/>
        <w:t>- Peak-Attribution nach Event-Support, globalem Anteil, laenderspezifischem Anteil und Modellanteil,</w:t>
        <w:br/>
        <w:t>- Event-Alignment gegen Event-Registry,</w:t>
        <w:br/>
        <w:t>- Review Queue fuer Peaks ohne glaubwuerdiges Event-Match oder mit Mehrfachueberlappung.</w:t>
      </w:r>
    </w:p>
    <w:p>
      <w:pPr>
        <w:pStyle w:val="Heading2"/>
      </w:pPr>
      <w:r>
        <w:t>7.12 Semantik und Interpretationsgrenzen der Scores</w:t>
      </w:r>
    </w:p>
    <w:p>
      <w:pPr>
        <w:spacing w:after="120"/>
      </w:pPr>
      <w:r>
        <w:t>Die wichtigste methodische Leitplanke lautet: Ein Score ist im aktuellen Projektstand kein direkter Realwelt-Risiko- oder Prognosewert. Er beschreibt einen Modellzustand innerhalb eines definierten Beobachtungs- und Aggregationsschemas.</w:t>
      </w:r>
    </w:p>
    <w:p>
      <w:pPr>
        <w:spacing w:after="120"/>
      </w:pPr>
      <w:r>
        <w:t>Fuer den klassischen Clusterpfad bedeutet das:</w:t>
      </w:r>
    </w:p>
    <w:p>
      <w:pPr>
        <w:spacing w:after="120"/>
      </w:pPr>
      <w:r>
        <w:t>- Ein hoher Cluster-Score zeigt eine hohe aggregierte Signalstaerke innerhalb der modellierten Featurefamilien.</w:t>
        <w:br/>
        <w:t>- Er zeigt nicht automatisch eine objektive oder kausal gesicherte Destabilisierung im politischen Sinn.</w:t>
        <w:br/>
        <w:t>- Er ist stark davon abhaengig, welche Features in den Cluster aufgenommen wurden und wie gut diese Features die beobachtete Dynamik in der konkreten Situation repraesentieren.</w:t>
      </w:r>
    </w:p>
    <w:p>
      <w:pPr>
        <w:spacing w:after="120"/>
      </w:pPr>
      <w:r>
        <w:t>Fuer den Fusionpfad gilt analog:</w:t>
      </w:r>
    </w:p>
    <w:p>
      <w:pPr>
        <w:spacing w:after="120"/>
      </w:pPr>
      <w:r>
        <w:t>- Ein hoher Fusion-Score zeigt eine gewichtete Auffaelligkeit ueber mehrere Layer bei gegebener Freshness-, Coverage- und Decay-Logik.</w:t>
        <w:br/>
        <w:t>- Er ist kein Wahrscheinlichkeitswert fuer Krieg, Regimekollaps oder gesellschaftlichen Umbruch.</w:t>
        <w:br/>
        <w:t>- Er verdichtet heterogene Beobachtungen in einen gemeinsamen Ergebnisraum und muss deshalb immer zusammen mit Gruppenstatus, Layerbeitraegen und Confidence gelesen werden.</w:t>
      </w:r>
    </w:p>
    <w:p>
      <w:pPr>
        <w:spacing w:after="120"/>
      </w:pPr>
      <w:r>
        <w:t>Wichtige Interpretationsmuster:</w:t>
      </w:r>
    </w:p>
    <w:p>
      <w:pPr>
        <w:spacing w:after="120"/>
      </w:pPr>
      <w:r>
        <w:t>| Muster | Inhaltliche Bedeutung | Analystische Reaktion |</w:t>
        <w:br/>
        <w:t>|---|---|---|</w:t>
        <w:br/>
        <w:t>| hoher Score, hohe Confidence | starke Auffaelligkeit mit relativ guter Evidenzbasis | vertiefte inhaltliche Pruefung, Priorisierung fuer Review |</w:t>
        <w:br/>
        <w:t>| hoher Score, niedrige Confidence | starke Auffaelligkeit bei lueckenhafter oder alternder Evidenz | vorsichtige Interpretation, Datenlage und dominante Quellen zuerst pruefen |</w:t>
        <w:br/>
        <w:t>| niedriger Score, hohe Confidence | robuste Nicht-Auffaelligkeit im beobachteten Modell | Monitoring fortsetzen, keine Eskalation allein aus dem Score ableiten |</w:t>
        <w:br/>
        <w:t>| niedriger Score, niedrige Confidence | wenig beobachtete Auffaelligkeit bei zugleich schwacher Datenbasis | nicht mit Entwarnung verwechseln; Coverage/Freshness separat betrachten |</w:t>
      </w:r>
    </w:p>
    <w:p>
      <w:pPr>
        <w:spacing w:after="120"/>
      </w:pPr>
      <w:r>
        <w:t>Explizit unzulaessige Interpretationen sind:</w:t>
      </w:r>
    </w:p>
    <w:p>
      <w:pPr>
        <w:spacing w:after="120"/>
      </w:pPr>
      <w:r>
        <w:t>- kausale Zuschreibungen allein aus dem Score,</w:t>
        <w:br/>
        <w:t>- operative Policy- oder Sicherheitsentscheidungen ohne zusaetzliche menschliche Analyse,</w:t>
        <w:br/>
        <w:t>- direkte Vergleichbarkeit mit externen Indizes ohne gemeinsame Kalibrierung,</w:t>
        <w:br/>
        <w:t>- Gleichsetzung von Confidence mit inhaltlicher Wahrheit.</w:t>
      </w:r>
    </w:p>
    <w:p>
      <w:pPr>
        <w:pStyle w:val="Heading2"/>
      </w:pPr>
      <w:r>
        <w:t>7.13 Vergleich von Clusterpfad und Fusionpfad</w:t>
      </w:r>
    </w:p>
    <w:p>
      <w:pPr>
        <w:spacing w:after="120"/>
      </w:pPr>
      <w:r>
        <w:t>Beide Ergebnisraeume existieren bewusst parallel, weil sie unterschiedliche Staerken und Risiken haben.</w:t>
      </w:r>
    </w:p>
    <w:p>
      <w:pPr>
        <w:spacing w:after="120"/>
      </w:pPr>
      <w:r>
        <w:t>| Aspekt | Clusterpfad | Fusionpfad |</w:t>
        <w:br/>
        <w:t>|---|---|---|</w:t>
        <w:br/>
        <w:t>| Primaerer Zweck | Kontinuitaet, einfache Lesbarkeit, robuste Kernsicht | breitere Multi-Source-Sicht mit staerkerer Diagnostik |</w:t>
        <w:br/>
        <w:t>| Datenbasis | Legacy-Kernquellen und klassische Features | heterogene Quellbasis ueber kanonische Observations |</w:t>
        <w:br/>
        <w:t>| Ergebnisraum | Spannung, Eskalation, Verwundbarkeit | event, narrative, governance, market_food, shock, displacement, structural plus Gesamtscore |</w:t>
        <w:br/>
        <w:t>| Zeithorizont | Snapshot und rolling history | Snapshot und monatliche historische Fusion |</w:t>
        <w:br/>
        <w:t>| Interpretierbarkeit | sehr hoch | hoch, aber komplexer wegen Layer-/Coverage-Logik |</w:t>
        <w:br/>
        <w:t>| Robustheit gegen partielle Quellluecken | relativ hoch | gruppen- und layerabhaengig |</w:t>
        <w:br/>
        <w:t>| Diagnostische Schaerfe | mittel | hoch bis sehr hoch |</w:t>
        <w:br/>
        <w:t>| Hauptrisiko | Vereinfachung und begrenzte Quellbreite | Ueberkomplexitaet, Kalibrierungsdrift, dominante Einzelgruppen |</w:t>
      </w:r>
    </w:p>
    <w:p>
      <w:pPr>
        <w:spacing w:after="120"/>
      </w:pPr>
      <w:r>
        <w:t>Faustregel fuer die Nutzung:</w:t>
      </w:r>
    </w:p>
    <w:p>
      <w:pPr>
        <w:spacing w:after="120"/>
      </w:pPr>
      <w:r>
        <w:t>- Der Clusterpfad ist der bevorzugte Ergebnisraum fuer stabile, schnell lesbare Basisbeobachtung.</w:t>
        <w:br/>
        <w:t>- Der Fusionpfad ist der bevorzugte Ergebnisraum fuer vertiefte Diagnose, Schichtanalyse, Quelltriangulation und Event-Grounding.</w:t>
        <w:br/>
        <w:t>- Wenn beide Ergebnisraeume in dieselbe Richtung zeigen, steigt die analystische Plausibilitaet.</w:t>
        <w:br/>
        <w:t>- Wenn beide deutlich divergieren, ist dies kein Fehlerindikator an sich, sondern ein Signal fuer erhoehte Review-Beduerftigkeit.</w:t>
      </w:r>
    </w:p>
    <w:p>
      <w:pPr>
        <w:pStyle w:val="Heading2"/>
      </w:pPr>
      <w:r>
        <w:t>7.14 Unsicherheitsmodell und Datenqualitaetskette</w:t>
      </w:r>
    </w:p>
    <w:p>
      <w:pPr>
        <w:spacing w:after="120"/>
      </w:pPr>
      <w:r>
        <w:t>Das Unsicherheitsmodell ist mehrstufig. Unsicherheit entsteht nicht erst am Ende bei der Anzeige von Confidence, sondern entlang der gesamten Verarbeitungskette.</w:t>
      </w:r>
    </w:p>
    <w:p>
      <w:pPr>
        <w:spacing w:after="120"/>
      </w:pPr>
      <w:r>
        <w:t>1. Quellseitige Unsicherheit</w:t>
        <w:br/>
        <w:t xml:space="preserve">   - Verfuegbarkeit einzelner Quellen,</w:t>
        <w:br/>
        <w:t xml:space="preserve">   - zeitliche Latenz,</w:t>
        <w:br/>
        <w:t xml:space="preserve">   - unvollstaendige Abdeckung,</w:t>
        <w:br/>
        <w:t xml:space="preserve">   - semantische bzw. taxonomische Ambiguitaet.</w:t>
      </w:r>
    </w:p>
    <w:p>
      <w:pPr>
        <w:spacing w:after="120"/>
      </w:pPr>
      <w:r>
        <w:t>2. Transformationsunsicherheit</w:t>
        <w:br/>
        <w:t xml:space="preserve">   - Wahl der Normalisierung,</w:t>
        <w:br/>
        <w:t xml:space="preserve">   - Mapping auf das kanonische Observation-Schema,</w:t>
        <w:br/>
        <w:t xml:space="preserve">   - Verdichtung unterschiedlicher nativer Periodizitaeten,</w:t>
        <w:br/>
        <w:t xml:space="preserve">   - Pflege von Gewichten, Schwellen und Layerzuordnungen.</w:t>
      </w:r>
    </w:p>
    <w:p>
      <w:pPr>
        <w:spacing w:after="120"/>
      </w:pPr>
      <w:r>
        <w:t>3. Aggregationsunsicherheit</w:t>
        <w:br/>
        <w:t xml:space="preserve">   - dominante Einzelquellen oder Einzelgruppen,</w:t>
        <w:br/>
        <w:t xml:space="preserve">   - fehlende erwartete Gruppen,</w:t>
        <w:br/>
        <w:t xml:space="preserve">   - alternde historische Punkte,</w:t>
        <w:br/>
        <w:t xml:space="preserve">   - methodische Empfindlichkeit gegen Parameterwahl.</w:t>
      </w:r>
    </w:p>
    <w:p>
      <w:pPr>
        <w:spacing w:after="120"/>
      </w:pPr>
      <w:r>
        <w:t>4. Ausgabeunsicherheit</w:t>
        <w:br/>
        <w:t xml:space="preserve">   - starker Score trotz schwacher Confidence,</w:t>
        <w:br/>
        <w:t xml:space="preserve">   - Alignment ohne eindeutiges Event-Grounding,</w:t>
        <w:br/>
        <w:t xml:space="preserve">   - Peaks mit Mehrfachueberlappungen,</w:t>
        <w:br/>
        <w:t xml:space="preserve">   - Review-Queue-Eintraege ohne klares Matching.</w:t>
      </w:r>
    </w:p>
    <w:p>
      <w:pPr>
        <w:spacing w:after="120"/>
      </w:pPr>
      <w:r>
        <w:t>Die Systemlogik bildet diese Unsicherheit ueber mehrere Mechanismen ab:</w:t>
      </w:r>
    </w:p>
    <w:p>
      <w:pPr>
        <w:spacing w:after="120"/>
      </w:pPr>
      <w:r>
        <w:t>- quality_completeness auf Observation-Ebene,</w:t>
        <w:br/>
        <w:t>- Gruppenstatus wie ok, limited, not_available,</w:t>
        <w:br/>
        <w:t>- Freshness-/Decay-Faktoren,</w:t>
        <w:br/>
        <w:t>- getrennte Score- und Confidence-Fuehrung,</w:t>
        <w:br/>
        <w:t>- Dominanz- und Limited-Penalties,</w:t>
        <w:br/>
        <w:t>- Event-Alignment-Match-Klassen und Review-Queue.</w:t>
      </w:r>
    </w:p>
    <w:p>
      <w:pPr>
        <w:spacing w:after="120"/>
      </w:pPr>
      <w:r>
        <w:t>Praktische Leseregeln fuer Analysten:</w:t>
      </w:r>
    </w:p>
    <w:p>
      <w:pPr>
        <w:spacing w:after="120"/>
      </w:pPr>
      <w:r>
        <w:t>| Unsicherheitsmuster | Typische Ursache | Empfohlene Reaktion |</w:t>
        <w:br/>
        <w:t>|---|---|---|</w:t>
        <w:br/>
        <w:t>| hohe Auffaelligkeit, niedrige Confidence | wenige oder alternde dominante Quellen | Quellenlage, Freshness und Abdeckung zuerst pruefen |</w:t>
        <w:br/>
        <w:t>| hohe Confidence, schwache Auffaelligkeit | breite, konsistente Nicht-Auffaelligkeit | als robuste Ruhephase interpretieren, aber externe Kontextpruefung beibehalten |</w:t>
        <w:br/>
        <w:t>| starke Layer-Dominanz | einzelne Gruppe treibt Gesamtscore | auf Gruppen- und Source-Signals herunterbrechen |</w:t>
        <w:br/>
        <w:t>| schwaches Event-Grounding | Peak ohne gutes Registry-Match | manuelle Fallpruefung und Event-Registry-Hardening priorisieren |</w:t>
      </w:r>
    </w:p>
    <w:p>
      <w:pPr>
        <w:pStyle w:val="Heading2"/>
      </w:pPr>
      <w:r>
        <w:t>7.15 Methodische Grenzen und Gueltigkeitsbereich</w:t>
      </w:r>
    </w:p>
    <w:p>
      <w:pPr>
        <w:spacing w:after="120"/>
      </w:pPr>
      <w:r>
        <w:t>Der Prototyp ist fuer kurzfristige Signalerkennung und analystische Review-Unterstuetzung gebaut. Das ist sein Gueltigkeitsbereich.</w:t>
      </w:r>
    </w:p>
    <w:p>
      <w:pPr>
        <w:spacing w:after="120"/>
      </w:pPr>
      <w:r>
        <w:t>Abgedeckt werden insbesondere:</w:t>
      </w:r>
    </w:p>
    <w:p>
      <w:pPr>
        <w:spacing w:after="120"/>
      </w:pPr>
      <w:r>
        <w:t>- heuristische, zeitnahe Sichtbarmachung auffaelliger Dynamiken,</w:t>
        <w:br/>
        <w:t>- laendervergleichende Beobachtung innerhalb eines gemeinsamen Modells,</w:t>
        <w:br/>
        <w:t>- nachvollziehbare Aggregation heterogener Quellen,</w:t>
        <w:br/>
        <w:t>- technische und governance-seitige Reproduzierbarkeit.</w:t>
      </w:r>
    </w:p>
    <w:p>
      <w:pPr>
        <w:spacing w:after="120"/>
      </w:pPr>
      <w:r>
        <w:t>Nicht oder nur eingeschraenkt abgedeckt werden:</w:t>
      </w:r>
    </w:p>
    <w:p>
      <w:pPr>
        <w:spacing w:after="120"/>
      </w:pPr>
      <w:r>
        <w:t>- tiefe geopolitische Kausalmodelle,</w:t>
        <w:br/>
        <w:t>- belastbare Langfristvorhersagen von Regime- oder Kriegspfaden,</w:t>
        <w:br/>
        <w:t>- qualitative Akteursintentionen ohne strukturierte Inputs,</w:t>
        <w:br/>
        <w:t>- normative oder operative Entscheidungsempfehlungen.</w:t>
      </w:r>
    </w:p>
    <w:p>
      <w:pPr>
        <w:spacing w:after="120"/>
      </w:pPr>
      <w:r>
        <w:t>Methodische Grenzen je Layer:</w:t>
      </w:r>
    </w:p>
    <w:p>
      <w:pPr>
        <w:spacing w:after="120"/>
      </w:pPr>
      <w:r>
        <w:t>- event: hohe zeitliche Naehe, aber stark registry- und coverage-abhaengig,</w:t>
        <w:br/>
        <w:t>- narrative: potenziell sehr frueh sensitiv, aber semantisch taxonomie- und labelanfaellig,</w:t>
        <w:br/>
        <w:t>- governance: nuetzlich fuer strukturelle Fragilitaet, aber schwach fuer sehr kurzfristige Dynamik,</w:t>
        <w:br/>
        <w:t>- market_food: relevant fuer soziooekonomischen Druck, aber interpretativ kontextabhaengig,</w:t>
        <w:br/>
        <w:t>- shock und displacement: wichtige Zusatzsicht, aber stark von externer Datenqualitaet und Periodizitaet abhaengig,</w:t>
        <w:br/>
        <w:t>- structural: robuste Baseline, aber bewusst traege gegenueber kurzfristigen Ereignisimpulsen.</w:t>
      </w:r>
    </w:p>
    <w:p>
      <w:pPr>
        <w:spacing w:after="120"/>
      </w:pPr>
      <w:r>
        <w:t>Deshalb gilt als zentrale Redlichkeitsregel:</w:t>
      </w:r>
    </w:p>
    <w:p>
      <w:pPr>
        <w:spacing w:after="120"/>
      </w:pPr>
      <w:r>
        <w:t>&gt; Score = modellierter Systemzustand unter gegebenen Annahmen, nicht Ground Truth.</w:t>
      </w:r>
    </w:p>
    <w:p>
      <w:pPr>
        <w:spacing w:after="120"/>
      </w:pPr>
      <w:r>
        <w:t>Ebenso gilt fuer das Event-Alignment:</w:t>
      </w:r>
    </w:p>
    <w:p>
      <w:pPr>
        <w:spacing w:after="120"/>
      </w:pPr>
      <w:r>
        <w:t>&gt; Alignment = Plausibilitaets- und Grounding-Hinweis, nicht Beweis einer kausalen Erklaerung.</w:t>
      </w:r>
    </w:p>
    <w:p>
      <w:pPr>
        <w:pStyle w:val="Heading2"/>
      </w:pPr>
      <w:r>
        <w:t>7.16 Evaluationsdesign fuer den naechsten Reifegrad</w:t>
      </w:r>
    </w:p>
    <w:p>
      <w:pPr>
        <w:spacing w:after="120"/>
      </w:pPr>
      <w:r>
        <w:t>Fuer den Uebergang vom plausiblen Prototyp zu einem methodisch belastbareren Forschungs- oder Produktartefakt ist ein explizites Evaluationsdesign notwendig. Ein geeignetes Minimaldesign sollte vier Ebenen enthalten:</w:t>
      </w:r>
    </w:p>
    <w:p>
      <w:pPr>
        <w:spacing w:after="120"/>
      </w:pPr>
      <w:r>
        <w:t>1. Signalqualitaet</w:t>
        <w:br/>
        <w:t xml:space="preserve">   - Sind Peaks zeitlich plausibel?</w:t>
        <w:br/>
        <w:t xml:space="preserve">   - Erkennen Cluster- und Fusionpfad bekannte Episoden?</w:t>
      </w:r>
    </w:p>
    <w:p>
      <w:pPr>
        <w:spacing w:after="120"/>
      </w:pPr>
      <w:r>
        <w:t>2. Kalibrierung</w:t>
        <w:br/>
        <w:t xml:space="preserve">   - Wie sensibel reagieren Ergebnisse auf Gewichte, Schwellen und Freshness-Parameter?</w:t>
        <w:br/>
        <w:t xml:space="preserve">   - Wo entstehen stabile Rangfolgen, wo Parameterdrift?</w:t>
      </w:r>
    </w:p>
    <w:p>
      <w:pPr>
        <w:spacing w:after="120"/>
      </w:pPr>
      <w:r>
        <w:t>3. Unsicherheitsguete</w:t>
        <w:br/>
        <w:t xml:space="preserve">   - Korrelieren hohe Confidence-Werte mit besserem Event-Grounding und stabileren Ergebnisraeumen?</w:t>
        <w:br/>
        <w:t xml:space="preserve">   - Signalisieren Penalties tatsaechlich problematische Datenlagen?</w:t>
      </w:r>
    </w:p>
    <w:p>
      <w:pPr>
        <w:spacing w:after="120"/>
      </w:pPr>
      <w:r>
        <w:t>4. Analystische Nutzbarkeit</w:t>
        <w:br/>
        <w:t xml:space="preserve">   - Verbessern Review-Queue, Layerdiagnostik und Handout die Bearbeitung realer Faelle?</w:t>
        <w:br/>
        <w:t xml:space="preserve">   - Welche Darstellungen reduzieren Fehlinterpretationen?</w:t>
      </w:r>
    </w:p>
    <w:p>
      <w:pPr>
        <w:spacing w:after="120"/>
      </w:pPr>
      <w:r>
        <w:t>Geeignete Evaluationsartefakte waeren:</w:t>
      </w:r>
    </w:p>
    <w:p>
      <w:pPr>
        <w:spacing w:after="120"/>
      </w:pPr>
      <w:r>
        <w:t>- eine kuratierte Event- und Referenzepisodenbasis,</w:t>
        <w:br/>
        <w:t>- annotierte Fallstudien fuer mehrere Laender und Zeitfenster,</w:t>
        <w:br/>
        <w:t>- Parameter-Sweeps fuer Gewichte, Schwellen und Decay-Regeln,</w:t>
        <w:br/>
        <w:t>- systematische Vergleichsauswertungen zwischen Clusterpfad und Fusionpfad,</w:t>
        <w:br/>
        <w:t>- Review-Protokolle oder Expertenratings fuer interpretative Guete.</w:t>
      </w:r>
    </w:p>
    <w:p>
      <w:pPr>
        <w:pStyle w:val="Heading1"/>
      </w:pPr>
      <w:r>
        <w:t>8. Output-Artefakte</w:t>
      </w:r>
    </w:p>
    <w:p>
      <w:pPr>
        <w:spacing w:after="120"/>
      </w:pPr>
      <w:r>
        <w:t>Typische Output-Struktur:</w:t>
      </w:r>
    </w:p>
    <w:p>
      <w:pPr>
        <w:spacing w:after="120"/>
      </w:pPr>
      <w:r>
        <w:t>``text</w:t>
        <w:br/>
        <w:t>outputs/runs/current_run/</w:t>
        <w:br/>
        <w:t xml:space="preserve">  run_metadata.json</w:t>
        <w:br/>
        <w:t xml:space="preserve">  run_comparison.json</w:t>
        <w:br/>
        <w:t xml:space="preserve">  reference_comparison.json</w:t>
        <w:br/>
        <w:t xml:space="preserve">  handout.md</w:t>
        <w:br/>
        <w:t xml:space="preserve">  exports/</w:t>
        <w:br/>
        <w:t xml:space="preserve">    snapshot/</w:t>
        <w:br/>
        <w:t xml:space="preserve">      features_export.csv</w:t>
        <w:br/>
        <w:t xml:space="preserve">      scores_export.csv</w:t>
        <w:br/>
        <w:t xml:space="preserve">      summary_export.json</w:t>
        <w:br/>
        <w:t xml:space="preserve">      snapshot_status.json</w:t>
        <w:br/>
        <w:t xml:space="preserve">    historical/</w:t>
        <w:br/>
        <w:t xml:space="preserve">      historical_timeseries.csv</w:t>
        <w:br/>
        <w:t xml:space="preserve">      historical_status.json</w:t>
        <w:br/>
        <w:t xml:space="preserve">    fusion/</w:t>
        <w:br/>
        <w:t xml:space="preserve">      observations.csv</w:t>
        <w:br/>
        <w:t xml:space="preserve">      source_signals.csv</w:t>
        <w:br/>
        <w:t xml:space="preserve">      group_scores.csv</w:t>
        <w:br/>
        <w:t xml:space="preserve">      fusion_total_scores.json</w:t>
        <w:br/>
        <w:t xml:space="preserve">      validation_summary.json</w:t>
        <w:br/>
        <w:t xml:space="preserve">      validation_* .csv/json</w:t>
        <w:br/>
        <w:t xml:space="preserve">  plots/</w:t>
        <w:br/>
        <w:t xml:space="preserve">    snapshot/</w:t>
        <w:br/>
        <w:t xml:space="preserve">    historical/</w:t>
        <w:br/>
        <w:t xml:space="preserve">    fusion/</w:t>
        <w:br/>
        <w:t>``</w:t>
      </w:r>
    </w:p>
    <w:p>
      <w:pPr>
        <w:spacing w:after="120"/>
      </w:pPr>
      <w:r>
        <w:t>Der Handout ist das wichtigste menschlich lesbare Ergebnis. Er kombiniert Run Summary, Snapshot, historische Trends, Fusion-Uebersicht, Validierung, Laenderprofile, Peak-/Event-Alignment und Review-Hinweise.</w:t>
      </w:r>
    </w:p>
    <w:p>
      <w:pPr>
        <w:pStyle w:val="Heading1"/>
      </w:pPr>
      <w:r>
        <w:t>9. API-MVP</w:t>
      </w:r>
    </w:p>
    <w:p>
      <w:pPr>
        <w:spacing w:after="120"/>
      </w:pPr>
      <w:r>
        <w:t>Das API-MVP dient als Backend-Schicht fuer Frontend-/Integrationsszenarien. Es bietet:</w:t>
      </w:r>
    </w:p>
    <w:p>
      <w:pPr>
        <w:spacing w:after="120"/>
      </w:pPr>
      <w:r>
        <w:t>- Health und Info,</w:t>
        <w:br/>
        <w:t>- Options fuer Laender und Layer,</w:t>
        <w:br/>
        <w:t>- Config Template,</w:t>
        <w:br/>
        <w:t>- Run-Erstellung,</w:t>
        <w:br/>
        <w:t>- Run-Status,</w:t>
        <w:br/>
        <w:t>- Run-Details,</w:t>
        <w:br/>
        <w:t>- Summary,</w:t>
        <w:br/>
        <w:t>- Artefaktlisten,</w:t>
        <w:br/>
        <w:t>- Bundle- und Artifact-Download.</w:t>
      </w:r>
    </w:p>
    <w:p>
      <w:pPr>
        <w:spacing w:after="120"/>
      </w:pPr>
      <w:r>
        <w:t>Die API ist aktuell ein MVP. Spezialisierte Analysten-Endpunkte fuer Overview, Country Detail, Compare, Coverage und Artifacts sind als Weiterentwicklung sichtbar, aber noch nicht vollstaendig als dedizierte Backend-Contracts umgesetzt.</w:t>
      </w:r>
    </w:p>
    <w:p>
      <w:pPr>
        <w:pStyle w:val="Heading1"/>
      </w:pPr>
      <w:r>
        <w:t>10. V-Model-Light / Requirements-as-Code</w:t>
      </w:r>
    </w:p>
    <w:p>
      <w:r>
        <w:rPr>
          <w:i/>
        </w:rPr>
        <w:t>[Abbildung: V-Model Traceability -&gt; diagrams/vmodel_traceability.svg]</w:t>
      </w:r>
    </w:p>
    <w:p>
      <w:pPr>
        <w:spacing w:after="120"/>
      </w:pPr>
      <w:r>
        <w:t>Die Governance-Struktur unter vmodel/ ist inzwischen die massgebliche maschinenlesbare Zielstruktur fuer migrierte Artefakte. Sie enthaelt:</w:t>
      </w:r>
    </w:p>
    <w:p>
      <w:pPr>
        <w:spacing w:after="120"/>
      </w:pPr>
      <w:r>
        <w:t>- vmodel/requirements/stakeholder_requirements.yaml,</w:t>
        <w:br/>
        <w:t>- vmodel/requirements/system_requirements.yaml,</w:t>
        <w:br/>
        <w:t>- vmodel/requirements/software_requirements.yaml,</w:t>
        <w:br/>
        <w:t>- vmodel/verification/test_specifications.yaml,</w:t>
        <w:br/>
        <w:t>- vmodel/change/open_issues.yaml,</w:t>
        <w:br/>
        <w:t>- vmodel/traceability/trace_links.yaml.</w:t>
      </w:r>
    </w:p>
    <w:p>
      <w:pPr>
        <w:pStyle w:val="Heading2"/>
      </w:pPr>
      <w:r>
        <w:t>10.1 Traceability-Regeln</w:t>
      </w:r>
    </w:p>
    <w:p>
      <w:pPr>
        <w:spacing w:after="120"/>
      </w:pPr>
      <w:r>
        <w:t>Wichtige ID-Klassen:</w:t>
      </w:r>
    </w:p>
    <w:p>
      <w:pPr>
        <w:spacing w:after="120"/>
      </w:pPr>
      <w:r>
        <w:t>- PSR-*: Stakeholder Requirements,</w:t>
        <w:br/>
        <w:t>- PSyR-*: System Requirements,</w:t>
        <w:br/>
        <w:t>- PSwR-*: Software Requirements,</w:t>
        <w:br/>
        <w:t>- PM-*: Method Rules,</w:t>
        <w:br/>
        <w:t>- ALG-*: Algorithms,</w:t>
        <w:br/>
        <w:t>- TV-*: Test/Verification Artefacts,</w:t>
        <w:br/>
        <w:t>- OI-*: Open Issues,</w:t>
        <w:br/>
        <w:t>- AP-*: API-/Frontend-Handoff-Artefakte aus Legacy Traceability,</w:t>
        <w:br/>
        <w:t>- SUP-*: Support-Scope-Artefakte.</w:t>
      </w:r>
    </w:p>
    <w:p>
      <w:pPr>
        <w:spacing w:after="120"/>
      </w:pPr>
      <w:r>
        <w:t>Alle wichtigen Module, Funktionen und Tests tragen Traceability-Verweise. Die Function-Level-Traceability wurde automatisiert aus AST und Traceability-Kommentaren extrahiert.</w:t>
      </w:r>
    </w:p>
    <w:p>
      <w:pPr>
        <w:pStyle w:val="Heading2"/>
      </w:pPr>
      <w:r>
        <w:t>10.2 Verifikationsstand</w:t>
      </w:r>
    </w:p>
    <w:p>
      <w:pPr>
        <w:spacing w:after="120"/>
      </w:pPr>
      <w:r>
        <w:t>- 156 Verification Specifications sind als implementiert dokumentiert.</w:t>
        <w:br/>
        <w:t>- 120 Tests wurden zuletzt erfolgreich ausgefuehrt.</w:t>
        <w:br/>
        <w:t>- Python compile check war erfolgreich.</w:t>
        <w:br/>
        <w:t>- Function-Level-Coverage: 480 Funktionen, 0 fehlende Annotationen, 0 unlinked unique function IDs.</w:t>
      </w:r>
    </w:p>
    <w:p>
      <w:pPr>
        <w:pStyle w:val="Heading1"/>
      </w:pPr>
      <w:r>
        <w:t>11. Inhaltlicher aktueller Stand</w:t>
      </w:r>
    </w:p>
    <w:p>
      <w:pPr>
        <w:pStyle w:val="Heading2"/>
      </w:pPr>
      <w:r>
        <w:t>11.1 Umgesetzte Faehigkeiten</w:t>
      </w:r>
    </w:p>
    <w:p>
      <w:pPr>
        <w:spacing w:after="120"/>
      </w:pPr>
      <w:r>
        <w:t>- konfigurierbarer 10-Laender-Standardraum,</w:t>
        <w:br/>
        <w:t>- klassische Clusterbewertung,</w:t>
        <w:br/>
        <w:t>- Snapshot und historische Rolling Trends,</w:t>
        <w:br/>
        <w:t>- Run-Metadaten,</w:t>
        <w:br/>
        <w:t>- Run-Status,</w:t>
        <w:br/>
        <w:t>- Run-Vergleich und Referenzvergleich,</w:t>
        <w:br/>
        <w:t>- strukturierte Exporte,</w:t>
        <w:br/>
        <w:t>- Plots,</w:t>
        <w:br/>
        <w:t>- Handout,</w:t>
        <w:br/>
        <w:t>- V3+-Observations und Fusion,</w:t>
        <w:br/>
        <w:t>- Governance-, Narrative-, Event-, Shock-, Displacement-, Structural- und Market/Food-Layer,</w:t>
        <w:br/>
        <w:t>- historische Monatsfusion,</w:t>
        <w:br/>
        <w:t>- Validation Summary,</w:t>
        <w:br/>
        <w:t>- Ranking- und Freshness-Diagnostik,</w:t>
        <w:br/>
        <w:t>- Peak-Attribution,</w:t>
        <w:br/>
        <w:t>- Event-Alignment,</w:t>
        <w:br/>
        <w:t>- Review Queue,</w:t>
        <w:br/>
        <w:t>- FastAPI-MVP,</w:t>
        <w:br/>
        <w:t>- Review-Bundle-/Acceptance-Snapshot-Support,</w:t>
        <w:br/>
        <w:t>- V-Model-Light-Governance.</w:t>
      </w:r>
    </w:p>
    <w:p>
      <w:pPr>
        <w:pStyle w:val="Heading2"/>
      </w:pPr>
      <w:r>
        <w:t>11.2 Reifegrad-Einschaetzung</w:t>
      </w:r>
    </w:p>
    <w:p>
      <w:pPr>
        <w:spacing w:after="120"/>
      </w:pPr>
      <w:r>
        <w:t>| Bereich | Reifegrad | Bemerkung |</w:t>
        <w:br/>
        <w:t>|---|---|---|</w:t>
        <w:br/>
        <w:t>| Kernpipeline | hoch fuer Prototyp | lauffaehig, getestet, modular |</w:t>
        <w:br/>
        <w:t>| Klassisches Scoring | hoch fuer MVP | einfache transparente Heuristik |</w:t>
        <w:br/>
        <w:t>| Fusionpfad | mittel-hoch | breit implementiert, Kalibrierung weiter offen |</w:t>
        <w:br/>
        <w:t>| Validation/Event-Alignment | mittel | gute Diagnostik, aber Event-Registry/Empirie ausbauen |</w:t>
        <w:br/>
        <w:t>| API | mittel | MVP vorhanden, dedizierte Read-Models offen |</w:t>
        <w:br/>
        <w:t>| Frontend | ausserhalb dieser Kerndoku, aber vorbereitet | API-Gaps dokumentiert |</w:t>
        <w:br/>
        <w:t>| Requirements Governance | hoch | YAML-Baseline, Tests, Trace Links vorhanden |</w:t>
        <w:br/>
        <w:t>| Wissenschaftliche Validierung | niedrig-mittel | methodisch plausibel, aber keine abgeschlossene empirische Validierung |</w:t>
      </w:r>
    </w:p>
    <w:p>
      <w:pPr>
        <w:pStyle w:val="Heading1"/>
      </w:pPr>
      <w:r>
        <w:t>12. Offene Punkte</w:t>
      </w:r>
    </w:p>
    <w:p>
      <w:pPr>
        <w:pStyle w:val="Heading2"/>
      </w:pPr>
      <w:r>
        <w:t>12.1 Methodik und Kalibrierung</w:t>
      </w:r>
    </w:p>
    <w:p>
      <w:pPr>
        <w:spacing w:after="120"/>
      </w:pPr>
      <w:r>
        <w:t>1. Gewichte und Schwellen sind transparent, aber noch nicht breit empirisch kalibriert.</w:t>
        <w:br/>
        <w:t>2. Fusion Score ist ein heuristischer Index, keine Wahrscheinlichkeit.</w:t>
        <w:br/>
        <w:t>3. Confidence-Komponenten sind plausibel, aber noch nicht gegen umfangreiche Ground-Truth-Datensaetze validiert.</w:t>
        <w:br/>
        <w:t>4. Stage-Grenzen fuer Fusion und Cluster sollten mit Referenzepisoden und Expertenreview kalibriert werden.</w:t>
        <w:br/>
        <w:t>5. Der optionale Multi-Group-Bonus ist bewusst deaktiviert; seine Aktivierung braucht eine belastbare methodische Begruendung.</w:t>
      </w:r>
    </w:p>
    <w:p>
      <w:pPr>
        <w:pStyle w:val="Heading2"/>
      </w:pPr>
      <w:r>
        <w:t>12.2 Daten und Quellen</w:t>
      </w:r>
    </w:p>
    <w:p>
      <w:pPr>
        <w:spacing w:after="120"/>
      </w:pPr>
      <w:r>
        <w:t>1. Event-Registry muss in Umfang, Qualitaet und Versionierung ausgebaut werden.</w:t>
        <w:br/>
        <w:t>2. Narrative Inputs benoetigen perspektivisch eine semantische Governance: kontrollierte Taxonomie, Review-Regeln, Richtungsharmonisierung.</w:t>
        <w:br/>
        <w:t>3. Governance Inputs benoetigen Quellen- und Aktualisierungsgovernance.</w:t>
        <w:br/>
        <w:t>4. Historisierte Helper Sources koennten spaeter versioniert werden; aktuell gibt es eine bewusst konstante Baseline-Regel.</w:t>
        <w:br/>
        <w:t>5. Laendernamen und Aliase muessen weiter robust normalisiert werden.</w:t>
      </w:r>
    </w:p>
    <w:p>
      <w:pPr>
        <w:pStyle w:val="Heading2"/>
      </w:pPr>
      <w:r>
        <w:t>12.3 Produktisierung</w:t>
      </w:r>
    </w:p>
    <w:p>
      <w:pPr>
        <w:spacing w:after="120"/>
      </w:pPr>
      <w:r>
        <w:t>1. Dedizierte API-Endpunkte fuer Overview, Country Detail, Compare, Coverage und Artifacts.</w:t>
        <w:br/>
        <w:t>2. Persistente Run-Datenhaltung statt nur filesystem-basierter MVP-Struktur.</w:t>
        <w:br/>
        <w:t>3. Authentifizierung und Rollenmodell fuer API/Frontend.</w:t>
        <w:br/>
        <w:t>4. Deployment-Konzept fuer reproduzierbare Umgebungen.</w:t>
        <w:br/>
        <w:t>5. Performance- und Skalierungstests fuer groessere Laender-/Quellenraeume.</w:t>
      </w:r>
    </w:p>
    <w:p>
      <w:pPr>
        <w:pStyle w:val="Heading2"/>
      </w:pPr>
      <w:r>
        <w:t>12.4 Verifikation und Validierung</w:t>
      </w:r>
    </w:p>
    <w:p>
      <w:pPr>
        <w:spacing w:after="120"/>
      </w:pPr>
      <w:r>
        <w:t>1. Erweiterung von Testdaten auf realistischere historische Szenarien.</w:t>
        <w:br/>
        <w:t>2. Systematische Regression gegen eingefrorene Referenzruns.</w:t>
        <w:br/>
        <w:t>3. Quantitative Evaluationsmetriken gegen externe Ereignisdaten.</w:t>
        <w:br/>
        <w:t>4. Review-Prozess fuer False Positives / False Negatives.</w:t>
        <w:br/>
        <w:t>5. Separate Validierung des Event-Alignment-Scorings.</w:t>
      </w:r>
    </w:p>
    <w:p>
      <w:pPr>
        <w:pStyle w:val="Heading2"/>
      </w:pPr>
      <w:r>
        <w:t>12.5 Requirements/Governance</w:t>
      </w:r>
    </w:p>
    <w:p>
      <w:pPr>
        <w:spacing w:after="120"/>
      </w:pPr>
      <w:r>
        <w:t>1. Open Issues weiter abarbeiten: aktuell 28 offen.</w:t>
        <w:br/>
        <w:t>2. Branch-Baseline weiter stabilisieren und ggf. PR/Merge-Strategie definieren.</w:t>
        <w:br/>
        <w:t>3. Legacy Markdown und YAML-Baseline konsistent halten oder Legacy explizit nur historisch einfrieren.</w:t>
        <w:br/>
        <w:t>4. Requirement-Status fuer System- und Stakeholder-Layer weiter schaerfen: viele sind noch candidate_baseline_requirement, obwohl die Software-Layer stark implementiert sind.</w:t>
      </w:r>
    </w:p>
    <w:p>
      <w:pPr>
        <w:pStyle w:val="Heading1"/>
      </w:pPr>
      <w:r>
        <w:t>13. Moegliche Weiterentwicklungspunkte</w:t>
      </w:r>
    </w:p>
    <w:p>
      <w:pPr>
        <w:pStyle w:val="Heading2"/>
      </w:pPr>
      <w:r>
        <w:t>13.1 Methodische Roadmap</w:t>
      </w:r>
    </w:p>
    <w:p>
      <w:pPr>
        <w:spacing w:after="120"/>
      </w:pPr>
      <w:r>
        <w:t>- Kalibrierpaket mit Referenzepisoden, Expertenlabels und Sensitivitaetsanalyse.</w:t>
        <w:br/>
        <w:t>- Vergleich unterschiedlicher Aggregationsmodelle: Mittelwert, robustes Mittel, gewichtete Quantile, Bayesian score fusion.</w:t>
        <w:br/>
        <w:t>- Formalisierte Unsicherheitsfortpflanzung zwischen Quellen-, Gruppen- und Total-Confidence.</w:t>
        <w:br/>
        <w:t>- Explizite Trennung zwischen akutem Event-Risiko und strukturellem Baseline-Risiko.</w:t>
        <w:br/>
        <w:t>- Counterfactual-/Ablation-Reports: Wie veraendert sich der Score ohne eine Gruppe?</w:t>
      </w:r>
    </w:p>
    <w:p>
      <w:pPr>
        <w:pStyle w:val="Heading2"/>
      </w:pPr>
      <w:r>
        <w:t>13.2 Software-Roadmap</w:t>
      </w:r>
    </w:p>
    <w:p>
      <w:pPr>
        <w:spacing w:after="120"/>
      </w:pPr>
      <w:r>
        <w:t>- API Read Models fuer alle Frontend-Sichten.</w:t>
        <w:br/>
        <w:t>- Persistenzschicht fuer Runs, Artefakte und Traceability Snapshots.</w:t>
        <w:br/>
        <w:t>- CLI fuer Standardlauf, Validierung, Bundle-Erzeugung und Baseline-Vergleich.</w:t>
        <w:br/>
        <w:t>- Automatische Generierung einer Trace-Matrix aus YAML + Function Links.</w:t>
        <w:br/>
        <w:t>- CI-Gates fuer Traceability-Coverage, YAML-Konsistenz und Full-Test-Suite.</w:t>
      </w:r>
    </w:p>
    <w:p>
      <w:pPr>
        <w:pStyle w:val="Heading2"/>
      </w:pPr>
      <w:r>
        <w:t>13.3 Analyse- und UX-Roadmap</w:t>
      </w:r>
    </w:p>
    <w:p>
      <w:pPr>
        <w:spacing w:after="120"/>
      </w:pPr>
      <w:r>
        <w:t>- Analyst Dashboard mit Overview, Country Detail, Compare, Coverage, Artifacts.</w:t>
        <w:br/>
        <w:t>- Interaktive Peak-/Event-Alignment-Review.</w:t>
        <w:br/>
        <w:t>- Drilldown von Fusion Total Score auf Gruppen, Quellen und Einzelbeobachtungen.</w:t>
        <w:br/>
        <w:t>- Confidence-Erklaerung je Score.</w:t>
        <w:br/>
        <w:t>- Exportierbare Executive Summaries.</w:t>
      </w:r>
    </w:p>
    <w:p>
      <w:pPr>
        <w:pStyle w:val="Heading2"/>
      </w:pPr>
      <w:r>
        <w:t>13.4 Governance-Roadmap</w:t>
      </w:r>
    </w:p>
    <w:p>
      <w:pPr>
        <w:spacing w:after="120"/>
      </w:pPr>
      <w:r>
        <w:t>- Change-Request-Prozess fuer neue Anforderungen.</w:t>
        <w:br/>
        <w:t>- Review-Gates fuer neue Quellen und neue Algorithmen.</w:t>
        <w:br/>
        <w:t>- Requirements-basierte Akzeptanzkriterien pro Work Package.</w:t>
        <w:br/>
        <w:t>- Versionierte Method Baselines.</w:t>
        <w:br/>
        <w:t>- Abnahmeprotokoll fuer jede signifikante Baseline-Aenderung.</w:t>
      </w:r>
    </w:p>
    <w:p>
      <w:pPr>
        <w:pStyle w:val="Heading1"/>
      </w:pPr>
      <w:r>
        <w:t>14. Empfehlung fuer die naechsten Arbeitspakete</w:t>
      </w:r>
    </w:p>
    <w:p>
      <w:pPr>
        <w:spacing w:after="120"/>
      </w:pPr>
      <w:r>
        <w:t xml:space="preserve">1. **WP-A: API Read Model Hardening**  </w:t>
        <w:br/>
        <w:t xml:space="preserve">   Dedizierte Backend-Endpunkte fuer Overview, Countries, Compare, Coverage und Artifacts einfuehren.</w:t>
      </w:r>
    </w:p>
    <w:p>
      <w:pPr>
        <w:spacing w:after="120"/>
      </w:pPr>
      <w:r>
        <w:t xml:space="preserve">2. **WP-B: Evaluation Dataset Baseline**  </w:t>
        <w:br/>
        <w:t xml:space="preserve">   Referenzepisoden und Event-Registry systematisch erweitern, inklusive Expertenlabels und erwarteter Signatur.</w:t>
      </w:r>
    </w:p>
    <w:p>
      <w:pPr>
        <w:spacing w:after="120"/>
      </w:pPr>
      <w:r>
        <w:t xml:space="preserve">3. **WP-C: Method Calibration Report**  </w:t>
        <w:br/>
        <w:t xml:space="preserve">   Sensitivitaetsanalyse fuer Gewichte, Schwellen, Freshness, Event-Alignment und Dominanz-Penalties.</w:t>
      </w:r>
    </w:p>
    <w:p>
      <w:pPr>
        <w:spacing w:after="120"/>
      </w:pPr>
      <w:r>
        <w:t xml:space="preserve">4. **WP-D: Governance Cleanup**  </w:t>
        <w:br/>
        <w:t xml:space="preserve">   Offene OI-Liste priorisieren, Stakeholder/System-Requirement-Status schaerfen, Trace-Matrix-Generator aus Function Links bauen.</w:t>
      </w:r>
    </w:p>
    <w:p>
      <w:pPr>
        <w:spacing w:after="120"/>
      </w:pPr>
      <w:r>
        <w:t xml:space="preserve">5. **WP-E: Frontend/API Integration**  </w:t>
        <w:br/>
        <w:t xml:space="preserve">   Analysten-Dashboard gegen stabile API-Vertraege anbinden und Fallback-Pfade abbauen.</w:t>
      </w:r>
    </w:p>
    <w:p>
      <w:pPr>
        <w:pStyle w:val="Heading1"/>
      </w:pPr>
      <w:r>
        <w:t>15. Kurzfazit</w:t>
      </w:r>
    </w:p>
    <w:p>
      <w:pPr>
        <w:spacing w:after="120"/>
      </w:pPr>
      <w:r>
        <w:t>Das Projekt steht aktuell auf einem starken Prototyp-Reifegrad: Die Software ist modular, getestet, tracebar und inhaltlich breit ausgebaut. Der groesste Wert liegt in der Kombination aus erklaerbarer Analyseheuristik und strenger Engineering-Governance. Die groessten Risiken liegen nicht mehr primaer in fehlender Implementierung, sondern in fachlicher Kalibrierung, Daten-/Event-Governance, Produktisierung und wissenschaftlicher Validierung.</w:t>
      </w:r>
    </w:p>
    <w:p>
      <w:r>
        <w:t>Automatisch erzeugte DOCX-Exportfassung. SVG-Abbildungen bleiben ueber Referenzen auf die Diagrammdateien nachvollziehbar.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