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20284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  </w:t>
      </w:r>
    </w:p>
    <w:p w14:paraId="0D6C5266">
      <w:pPr>
        <w:jc w:val="center"/>
        <w:rPr>
          <w:rFonts w:hint="default" w:ascii="Calibri" w:hAnsi="Calibri" w:cs="Calibri"/>
          <w:sz w:val="24"/>
          <w:szCs w:val="24"/>
        </w:rPr>
      </w:pPr>
    </w:p>
    <w:p w14:paraId="268E0D53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</w:t>
      </w:r>
      <w:r>
        <w:rPr>
          <w:rFonts w:hint="default" w:ascii="Cambria" w:hAnsi="Cambria" w:cs="Cambria"/>
          <w:b/>
          <w:bCs/>
          <w:color w:val="2E54A1" w:themeColor="accent1" w:themeShade="BF"/>
          <w:sz w:val="48"/>
          <w:szCs w:val="48"/>
        </w:rPr>
        <w:t xml:space="preserve">  RoboFusion Techathon 2026</w:t>
      </w:r>
    </w:p>
    <w:p w14:paraId="7D595BD7">
      <w:pPr>
        <w:jc w:val="center"/>
        <w:rPr>
          <w:rFonts w:hint="default" w:ascii="Calibri" w:hAnsi="Calibri" w:cs="Calibri"/>
          <w:sz w:val="24"/>
          <w:szCs w:val="24"/>
        </w:rPr>
      </w:pPr>
    </w:p>
    <w:p w14:paraId="3823A0AE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 </w:t>
      </w:r>
      <w:r>
        <w:rPr>
          <w:rFonts w:hint="default" w:ascii="Cambria" w:hAnsi="Cambria" w:cs="Cambria"/>
          <w:color w:val="588E32" w:themeColor="accent4" w:themeShade="BF"/>
          <w:sz w:val="36"/>
          <w:szCs w:val="36"/>
        </w:rPr>
        <w:t>Round 1 Submission</w:t>
      </w:r>
    </w:p>
    <w:p w14:paraId="3D336C01">
      <w:pPr>
        <w:jc w:val="center"/>
        <w:rPr>
          <w:rFonts w:hint="default" w:ascii="Calibri" w:hAnsi="Calibri" w:cs="Calibri"/>
          <w:sz w:val="24"/>
          <w:szCs w:val="24"/>
        </w:rPr>
      </w:pPr>
    </w:p>
    <w:p w14:paraId="2E750CB4">
      <w:pPr>
        <w:jc w:val="center"/>
        <w:rPr>
          <w:rFonts w:hint="default" w:ascii="Calibri" w:hAnsi="Calibri" w:cs="Calibri"/>
          <w:sz w:val="24"/>
          <w:szCs w:val="24"/>
        </w:rPr>
      </w:pPr>
    </w:p>
    <w:p w14:paraId="6018220B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</w:t>
      </w:r>
      <w:r>
        <w:rPr>
          <w:rFonts w:hint="default" w:ascii="Cambria" w:hAnsi="Cambria" w:cs="Cambria"/>
          <w:color w:val="2E54A1" w:themeColor="accent1" w:themeShade="BF"/>
          <w:sz w:val="52"/>
          <w:szCs w:val="52"/>
        </w:rPr>
        <w:t xml:space="preserve"> SMART CAMPUS</w:t>
      </w:r>
    </w:p>
    <w:p w14:paraId="47506E05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</w:t>
      </w:r>
      <w:r>
        <w:rPr>
          <w:rFonts w:hint="default" w:ascii="Cambria" w:hAnsi="Cambria" w:cs="Cambria"/>
          <w:color w:val="2E54A1" w:themeColor="accent1" w:themeShade="BF"/>
          <w:sz w:val="52"/>
          <w:szCs w:val="52"/>
        </w:rPr>
        <w:t>SAFETY &amp; RESPONSE GRID</w:t>
      </w:r>
    </w:p>
    <w:p w14:paraId="528BB328">
      <w:pPr>
        <w:jc w:val="center"/>
        <w:rPr>
          <w:rFonts w:hint="default" w:ascii="Calibri" w:hAnsi="Calibri" w:cs="Calibri"/>
          <w:sz w:val="24"/>
          <w:szCs w:val="24"/>
        </w:rPr>
      </w:pPr>
    </w:p>
    <w:p w14:paraId="29F3DF9B">
      <w:pPr>
        <w:jc w:val="center"/>
        <w:rPr>
          <w:rFonts w:hint="default" w:ascii="Cambria" w:hAnsi="Cambria" w:cs="Cambria"/>
          <w:color w:val="6A1B9A"/>
          <w:sz w:val="34"/>
          <w:szCs w:val="34"/>
        </w:rPr>
      </w:pPr>
      <w:r>
        <w:rPr>
          <w:rFonts w:hint="default" w:ascii="Cambria" w:hAnsi="Cambria" w:cs="Cambria"/>
          <w:color w:val="6A1B9A"/>
          <w:sz w:val="34"/>
          <w:szCs w:val="34"/>
        </w:rPr>
        <w:t>An IoT-Based Multi-Sensor</w:t>
      </w:r>
    </w:p>
    <w:p w14:paraId="1395EA8F">
      <w:pPr>
        <w:jc w:val="center"/>
        <w:rPr>
          <w:rFonts w:hint="default" w:ascii="Cambria" w:hAnsi="Cambria" w:cs="Cambria"/>
          <w:color w:val="6A1B9A"/>
          <w:sz w:val="34"/>
          <w:szCs w:val="34"/>
        </w:rPr>
      </w:pPr>
      <w:r>
        <w:rPr>
          <w:rFonts w:hint="default" w:ascii="Cambria" w:hAnsi="Cambria" w:cs="Cambria"/>
          <w:color w:val="6A1B9A"/>
          <w:sz w:val="34"/>
          <w:szCs w:val="34"/>
        </w:rPr>
        <w:t>Risk Assessment and Emergency Response System</w:t>
      </w:r>
    </w:p>
    <w:p w14:paraId="5EA0EC30">
      <w:pPr>
        <w:jc w:val="center"/>
        <w:rPr>
          <w:rFonts w:hint="default" w:ascii="Calibri" w:hAnsi="Calibri" w:cs="Calibri"/>
          <w:sz w:val="24"/>
          <w:szCs w:val="24"/>
        </w:rPr>
      </w:pPr>
    </w:p>
    <w:p w14:paraId="5CBC6E9D">
      <w:pPr>
        <w:jc w:val="center"/>
        <w:rPr>
          <w:rFonts w:hint="default" w:ascii="Calibri" w:hAnsi="Calibri" w:cs="Calibri"/>
          <w:sz w:val="24"/>
          <w:szCs w:val="24"/>
        </w:rPr>
      </w:pPr>
    </w:p>
    <w:p w14:paraId="55CDED1A">
      <w:pPr>
        <w:jc w:val="center"/>
        <w:rPr>
          <w:rFonts w:hint="default" w:ascii="Cambria" w:hAnsi="Cambria" w:cs="Cambria"/>
          <w:color w:val="C62828"/>
          <w:sz w:val="36"/>
          <w:szCs w:val="36"/>
        </w:rPr>
      </w:pPr>
      <w:r>
        <w:rPr>
          <w:rFonts w:hint="default" w:ascii="Cambria" w:hAnsi="Cambria" w:cs="Cambria"/>
          <w:color w:val="C62828"/>
          <w:sz w:val="36"/>
          <w:szCs w:val="36"/>
        </w:rPr>
        <w:t>TEAM NAME</w:t>
      </w:r>
    </w:p>
    <w:p w14:paraId="262296BD">
      <w:pPr>
        <w:jc w:val="center"/>
        <w:rPr>
          <w:rFonts w:hint="default" w:ascii="Calibri" w:hAnsi="Calibri" w:cs="Calibri"/>
          <w:sz w:val="24"/>
          <w:szCs w:val="24"/>
        </w:rPr>
      </w:pPr>
    </w:p>
    <w:p w14:paraId="2180BD82">
      <w:pPr>
        <w:jc w:val="center"/>
        <w:rPr>
          <w:rFonts w:hint="default" w:ascii="Cambria" w:hAnsi="Cambria" w:cs="Cambria"/>
          <w:color w:val="2E54A1" w:themeColor="accent1" w:themeShade="BF"/>
          <w:sz w:val="36"/>
          <w:szCs w:val="36"/>
        </w:rPr>
      </w:pPr>
      <w:r>
        <w:rPr>
          <w:rFonts w:hint="default" w:ascii="Cambria" w:hAnsi="Cambria" w:cs="Cambria"/>
          <w:color w:val="2E54A1" w:themeColor="accent1" w:themeShade="BF"/>
          <w:sz w:val="36"/>
          <w:szCs w:val="36"/>
        </w:rPr>
        <w:t>GenZ Ignite</w:t>
      </w:r>
    </w:p>
    <w:p w14:paraId="3FBE34B1">
      <w:pPr>
        <w:jc w:val="center"/>
        <w:rPr>
          <w:rFonts w:hint="default" w:ascii="Calibri" w:hAnsi="Calibri" w:cs="Calibri"/>
          <w:sz w:val="24"/>
          <w:szCs w:val="24"/>
        </w:rPr>
      </w:pPr>
    </w:p>
    <w:p w14:paraId="5914C144">
      <w:pPr>
        <w:jc w:val="center"/>
        <w:rPr>
          <w:rFonts w:hint="default" w:ascii="Calibri" w:hAnsi="Calibri" w:cs="Calibri"/>
          <w:sz w:val="24"/>
          <w:szCs w:val="24"/>
        </w:rPr>
      </w:pPr>
    </w:p>
    <w:p w14:paraId="1228A3E4">
      <w:pPr>
        <w:jc w:val="center"/>
        <w:rPr>
          <w:rFonts w:hint="default" w:ascii="Cambria" w:hAnsi="Cambria" w:cs="Cambria"/>
          <w:color w:val="588E32" w:themeColor="accent4" w:themeShade="BF"/>
          <w:sz w:val="36"/>
          <w:szCs w:val="36"/>
        </w:rPr>
      </w:pPr>
      <w:r>
        <w:rPr>
          <w:rFonts w:hint="default" w:ascii="Cambria" w:hAnsi="Cambria" w:cs="Cambria"/>
          <w:color w:val="588E32" w:themeColor="accent4" w:themeShade="BF"/>
          <w:sz w:val="36"/>
          <w:szCs w:val="36"/>
        </w:rPr>
        <w:t>TEAM MEMBERS</w:t>
      </w:r>
    </w:p>
    <w:p w14:paraId="6F8ED727">
      <w:pPr>
        <w:jc w:val="center"/>
        <w:rPr>
          <w:rFonts w:hint="default" w:ascii="Calibri" w:hAnsi="Calibri" w:cs="Calibri"/>
          <w:sz w:val="24"/>
          <w:szCs w:val="24"/>
        </w:rPr>
      </w:pPr>
    </w:p>
    <w:p w14:paraId="46D20883">
      <w:pPr>
        <w:jc w:val="center"/>
        <w:rPr>
          <w:rFonts w:hint="default" w:ascii="Times New Roman" w:hAnsi="Times New Roman" w:cs="Times New Roman"/>
          <w:color w:val="2E54A1" w:themeColor="accent1" w:themeShade="BF"/>
          <w:sz w:val="34"/>
          <w:szCs w:val="34"/>
        </w:rPr>
      </w:pPr>
      <w:r>
        <w:rPr>
          <w:rFonts w:hint="default" w:ascii="Times New Roman" w:hAnsi="Times New Roman" w:cs="Times New Roman"/>
          <w:color w:val="2E54A1" w:themeColor="accent1" w:themeShade="BF"/>
          <w:sz w:val="34"/>
          <w:szCs w:val="34"/>
        </w:rPr>
        <w:t>Mst. Esat Jahan Akhi</w:t>
      </w:r>
    </w:p>
    <w:p w14:paraId="6F020CD8">
      <w:pPr>
        <w:jc w:val="center"/>
        <w:rPr>
          <w:rFonts w:hint="default" w:ascii="Times New Roman" w:hAnsi="Times New Roman" w:cs="Times New Roman"/>
          <w:color w:val="2E54A1" w:themeColor="accent1" w:themeShade="BF"/>
          <w:sz w:val="34"/>
          <w:szCs w:val="34"/>
        </w:rPr>
      </w:pPr>
    </w:p>
    <w:p w14:paraId="3017C4C7">
      <w:pPr>
        <w:jc w:val="center"/>
        <w:rPr>
          <w:rFonts w:hint="default" w:ascii="Times New Roman" w:hAnsi="Times New Roman" w:cs="Times New Roman"/>
          <w:color w:val="2E54A1" w:themeColor="accent1" w:themeShade="BF"/>
          <w:sz w:val="34"/>
          <w:szCs w:val="34"/>
        </w:rPr>
      </w:pPr>
      <w:r>
        <w:rPr>
          <w:rFonts w:hint="default" w:ascii="Times New Roman" w:hAnsi="Times New Roman" w:cs="Times New Roman"/>
          <w:color w:val="2E54A1" w:themeColor="accent1" w:themeShade="BF"/>
          <w:sz w:val="34"/>
          <w:szCs w:val="34"/>
        </w:rPr>
        <w:t>Md. Muniruzzaman Bony</w:t>
      </w:r>
    </w:p>
    <w:p w14:paraId="5DCE9E3D">
      <w:pPr>
        <w:jc w:val="center"/>
        <w:rPr>
          <w:rFonts w:hint="default" w:ascii="Calibri" w:hAnsi="Calibri" w:cs="Calibri"/>
          <w:sz w:val="24"/>
          <w:szCs w:val="24"/>
        </w:rPr>
      </w:pPr>
    </w:p>
    <w:p w14:paraId="3139291B">
      <w:pPr>
        <w:jc w:val="center"/>
        <w:rPr>
          <w:rFonts w:hint="default" w:ascii="Calibri" w:hAnsi="Calibri" w:cs="Calibri"/>
          <w:sz w:val="24"/>
          <w:szCs w:val="24"/>
        </w:rPr>
      </w:pPr>
    </w:p>
    <w:p w14:paraId="646E37EB">
      <w:pPr>
        <w:jc w:val="center"/>
        <w:rPr>
          <w:rFonts w:hint="default" w:ascii="Cambria" w:hAnsi="Cambria" w:cs="Cambria"/>
          <w:b/>
          <w:bCs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b/>
          <w:bCs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t>UNIVERSITY</w:t>
      </w:r>
    </w:p>
    <w:p w14:paraId="7F6AF87F">
      <w:pPr>
        <w:jc w:val="center"/>
        <w:rPr>
          <w:rFonts w:hint="default" w:ascii="Calibri" w:hAnsi="Calibri" w:cs="Calibri"/>
          <w:sz w:val="24"/>
          <w:szCs w:val="24"/>
        </w:rPr>
      </w:pPr>
    </w:p>
    <w:p w14:paraId="0C082596">
      <w:pPr>
        <w:jc w:val="center"/>
        <w:rPr>
          <w:rFonts w:hint="default" w:ascii="Calibri" w:hAnsi="Calibri" w:cs="Calibri"/>
          <w:color w:val="C81D31" w:themeColor="accent6" w:themeShade="BF"/>
          <w:sz w:val="32"/>
          <w:szCs w:val="32"/>
        </w:rPr>
      </w:pPr>
      <w:r>
        <w:rPr>
          <w:rFonts w:hint="default" w:ascii="Calibri" w:hAnsi="Calibri" w:cs="Calibri"/>
          <w:color w:val="C81D31" w:themeColor="accent6" w:themeShade="BF"/>
          <w:sz w:val="32"/>
          <w:szCs w:val="32"/>
        </w:rPr>
        <w:t>University of Frontier Technology,</w:t>
      </w:r>
    </w:p>
    <w:p w14:paraId="57F092D9">
      <w:pPr>
        <w:jc w:val="center"/>
        <w:rPr>
          <w:rFonts w:hint="default" w:ascii="Calibri" w:hAnsi="Calibri" w:cs="Calibri"/>
          <w:color w:val="C81D31" w:themeColor="accent6" w:themeShade="BF"/>
          <w:sz w:val="32"/>
          <w:szCs w:val="32"/>
        </w:rPr>
      </w:pPr>
      <w:r>
        <w:rPr>
          <w:rFonts w:hint="default" w:ascii="Calibri" w:hAnsi="Calibri" w:cs="Calibri"/>
          <w:color w:val="C81D31" w:themeColor="accent6" w:themeShade="BF"/>
          <w:sz w:val="32"/>
          <w:szCs w:val="32"/>
        </w:rPr>
        <w:t>Bangladesh</w:t>
      </w:r>
    </w:p>
    <w:p w14:paraId="700DBE18">
      <w:pPr>
        <w:jc w:val="center"/>
        <w:rPr>
          <w:rFonts w:hint="default" w:ascii="Calibri" w:hAnsi="Calibri" w:cs="Calibri"/>
          <w:sz w:val="24"/>
          <w:szCs w:val="24"/>
        </w:rPr>
      </w:pPr>
    </w:p>
    <w:p w14:paraId="1BC3D85B">
      <w:pPr>
        <w:jc w:val="center"/>
        <w:rPr>
          <w:rFonts w:hint="default" w:ascii="Calibri" w:hAnsi="Calibri" w:cs="Calibri"/>
          <w:sz w:val="24"/>
          <w:szCs w:val="24"/>
        </w:rPr>
      </w:pPr>
    </w:p>
    <w:p w14:paraId="3036DEC4">
      <w:pPr>
        <w:jc w:val="center"/>
        <w:rPr>
          <w:rFonts w:hint="default" w:ascii="Cambria" w:hAnsi="Cambria" w:cs="Cambria"/>
          <w:color w:val="C65F10" w:themeColor="accent2" w:themeShade="BF"/>
          <w:sz w:val="36"/>
          <w:szCs w:val="36"/>
        </w:rPr>
      </w:pPr>
      <w:r>
        <w:rPr>
          <w:rFonts w:hint="default" w:ascii="Cambria" w:hAnsi="Cambria" w:cs="Cambria"/>
          <w:color w:val="C65F10" w:themeColor="accent2" w:themeShade="BF"/>
          <w:sz w:val="36"/>
          <w:szCs w:val="36"/>
        </w:rPr>
        <w:t>SUBMISSION</w:t>
      </w:r>
    </w:p>
    <w:p w14:paraId="0064788A">
      <w:pPr>
        <w:jc w:val="center"/>
        <w:rPr>
          <w:rFonts w:hint="default" w:ascii="Calibri" w:hAnsi="Calibri" w:cs="Calibri"/>
          <w:sz w:val="24"/>
          <w:szCs w:val="24"/>
        </w:rPr>
      </w:pPr>
    </w:p>
    <w:p w14:paraId="2F8EF793">
      <w:pPr>
        <w:jc w:val="center"/>
        <w:rPr>
          <w:rFonts w:hint="default" w:ascii="Calibri" w:hAnsi="Calibri" w:cs="Calibri"/>
          <w:color w:val="2E54A1" w:themeColor="accent1" w:themeShade="BF"/>
          <w:sz w:val="34"/>
          <w:szCs w:val="34"/>
        </w:rPr>
      </w:pPr>
      <w:r>
        <w:rPr>
          <w:rFonts w:hint="default" w:ascii="Calibri" w:hAnsi="Calibri" w:cs="Calibri"/>
          <w:color w:val="2E54A1" w:themeColor="accent1" w:themeShade="BF"/>
          <w:sz w:val="34"/>
          <w:szCs w:val="34"/>
        </w:rPr>
        <w:t>System Documentation</w:t>
      </w:r>
    </w:p>
    <w:p w14:paraId="12ADD2A7">
      <w:pPr>
        <w:jc w:val="center"/>
        <w:rPr>
          <w:rFonts w:hint="default" w:ascii="Calibri" w:hAnsi="Calibri" w:cs="Calibri"/>
          <w:sz w:val="24"/>
          <w:szCs w:val="24"/>
        </w:rPr>
      </w:pPr>
    </w:p>
    <w:p w14:paraId="0F0F549E">
      <w:pPr>
        <w:jc w:val="center"/>
        <w:rPr>
          <w:rFonts w:hint="default" w:ascii="Calibri" w:hAnsi="Calibri" w:cs="Calibri"/>
          <w:sz w:val="24"/>
          <w:szCs w:val="24"/>
        </w:rPr>
      </w:pPr>
    </w:p>
    <w:p w14:paraId="7FDFFD6D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mbria" w:hAnsi="Cambria" w:cs="Cambria"/>
          <w:color w:val="2E54A1" w:themeColor="accent1" w:themeShade="BF"/>
          <w:sz w:val="34"/>
          <w:szCs w:val="34"/>
        </w:rPr>
        <w:t>July 2026</w:t>
      </w:r>
    </w:p>
    <w:p w14:paraId="507AF05F">
      <w:pPr>
        <w:pStyle w:val="13"/>
        <w:tabs>
          <w:tab w:val="right" w:leader="dot" w:pos="8306"/>
        </w:tabs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Table of Contents….</w:t>
      </w:r>
    </w:p>
    <w:p w14:paraId="457FC61E">
      <w:pPr>
        <w:pStyle w:val="13"/>
        <w:tabs>
          <w:tab w:val="right" w:leader="dot" w:pos="8306"/>
        </w:tabs>
        <w:rPr>
          <w:rFonts w:hint="default" w:ascii="Calibri" w:hAnsi="Calibri" w:cs="Calibri"/>
          <w:sz w:val="24"/>
          <w:szCs w:val="24"/>
        </w:rPr>
      </w:pPr>
    </w:p>
    <w:p w14:paraId="0584F803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 w:val="24"/>
          <w:szCs w:val="24"/>
        </w:rPr>
        <w:fldChar w:fldCharType="begin"/>
      </w:r>
      <w:r>
        <w:rPr>
          <w:rFonts w:hint="default" w:ascii="Calibri" w:hAnsi="Calibri" w:cs="Calibri"/>
          <w:sz w:val="24"/>
          <w:szCs w:val="24"/>
        </w:rPr>
        <w:instrText xml:space="preserve">TOC \o "1-3" \h \u </w:instrText>
      </w:r>
      <w:r>
        <w:rPr>
          <w:rFonts w:hint="default" w:ascii="Calibri" w:hAnsi="Calibri" w:cs="Calibri"/>
          <w:sz w:val="24"/>
          <w:szCs w:val="24"/>
        </w:rPr>
        <w:fldChar w:fldCharType="separate"/>
      </w: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_Toc28724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Executive Summary</w:t>
      </w:r>
      <w:r>
        <w:tab/>
      </w:r>
      <w:r>
        <w:fldChar w:fldCharType="begin"/>
      </w:r>
      <w:r>
        <w:instrText xml:space="preserve"> PAGEREF _Toc28724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60CA1D96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_Toc10304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Problem Statement</w:t>
      </w:r>
      <w:r>
        <w:tab/>
      </w:r>
      <w:r>
        <w:fldChar w:fldCharType="begin"/>
      </w:r>
      <w:r>
        <w:instrText xml:space="preserve"> PAGEREF _Toc10304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1FB1DE1C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_Toc31167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Proposed Solution</w:t>
      </w:r>
      <w:r>
        <w:tab/>
      </w:r>
      <w:r>
        <w:fldChar w:fldCharType="begin"/>
      </w:r>
      <w:r>
        <w:instrText xml:space="preserve"> PAGEREF _Toc31167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26C268A5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_Toc19015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System Architecture</w:t>
      </w:r>
      <w:r>
        <w:tab/>
      </w:r>
      <w:r>
        <w:fldChar w:fldCharType="begin"/>
      </w:r>
      <w:r>
        <w:instrText xml:space="preserve"> PAGEREF _Toc19015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72A756A1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_Toc13265 </w:instrText>
      </w:r>
      <w:r>
        <w:rPr>
          <w:rFonts w:hint="default" w:ascii="Calibri" w:hAnsi="Calibri" w:cs="Calibri"/>
          <w:szCs w:val="24"/>
        </w:rPr>
        <w:fldChar w:fldCharType="separate"/>
      </w:r>
      <w:r>
        <w:t>Data Flow</w:t>
      </w:r>
      <w:r>
        <w:tab/>
      </w:r>
      <w:r>
        <w:fldChar w:fldCharType="begin"/>
      </w:r>
      <w:r>
        <w:instrText xml:space="preserve"> PAGEREF _Toc13265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3D72FE81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_Toc10046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Circuit &amp; Sensors</w:t>
      </w:r>
      <w:r>
        <w:tab/>
      </w:r>
      <w:r>
        <w:fldChar w:fldCharType="begin"/>
      </w:r>
      <w:r>
        <w:instrText xml:space="preserve"> PAGEREF _Toc10046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76B01619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_Toc14472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Backend Architecture</w:t>
      </w:r>
      <w:r>
        <w:tab/>
      </w:r>
      <w:r>
        <w:fldChar w:fldCharType="begin"/>
      </w:r>
      <w:r>
        <w:instrText xml:space="preserve"> PAGEREF _Toc14472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00DB55BB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_Toc3823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Database</w:t>
      </w:r>
      <w:r>
        <w:tab/>
      </w:r>
      <w:r>
        <w:fldChar w:fldCharType="begin"/>
      </w:r>
      <w:r>
        <w:instrText xml:space="preserve"> PAGEREF _Toc3823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3E0A8AC0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_Toc17948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Technology Stack</w:t>
      </w:r>
      <w:r>
        <w:tab/>
      </w:r>
      <w:r>
        <w:fldChar w:fldCharType="begin"/>
      </w:r>
      <w:r>
        <w:instrText xml:space="preserve"> PAGEREF _Toc17948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3824379A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_Toc9694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REST APIs</w:t>
      </w:r>
      <w:r>
        <w:tab/>
      </w:r>
      <w:r>
        <w:fldChar w:fldCharType="begin"/>
      </w:r>
      <w:r>
        <w:instrText xml:space="preserve"> PAGEREF _Toc9694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18954E84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_Toc6509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Risk Fusion Engine</w:t>
      </w:r>
      <w:r>
        <w:tab/>
      </w:r>
      <w:r>
        <w:fldChar w:fldCharType="begin"/>
      </w:r>
      <w:r>
        <w:instrText xml:space="preserve"> PAGEREF _Toc6509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4C9875B4">
      <w:pPr>
        <w:pStyle w:val="14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_Toc24111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Sensor Thresholds</w:t>
      </w:r>
      <w:r>
        <w:tab/>
      </w:r>
      <w:r>
        <w:fldChar w:fldCharType="begin"/>
      </w:r>
      <w:r>
        <w:instrText xml:space="preserve"> PAGEREF _Toc24111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189CB01D">
      <w:pPr>
        <w:pStyle w:val="14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_Toc27082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Risk Weights</w:t>
      </w:r>
      <w:r>
        <w:tab/>
      </w:r>
      <w:r>
        <w:fldChar w:fldCharType="begin"/>
      </w:r>
      <w:r>
        <w:instrText xml:space="preserve"> PAGEREF _Toc27082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2B2D9A51">
      <w:pPr>
        <w:pStyle w:val="15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_Toc20683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Override Rule 1 – Flame Emergency</w:t>
      </w:r>
      <w:r>
        <w:tab/>
      </w:r>
      <w:r>
        <w:fldChar w:fldCharType="begin"/>
      </w:r>
      <w:r>
        <w:instrText xml:space="preserve"> PAGEREF _Toc20683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46E1ACBA">
      <w:pPr>
        <w:pStyle w:val="15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_Toc30719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Override Rule 2 – Combined Smoke and Gas Emergency</w:t>
      </w:r>
      <w:r>
        <w:tab/>
      </w:r>
      <w:r>
        <w:fldChar w:fldCharType="begin"/>
      </w:r>
      <w:r>
        <w:instrText xml:space="preserve"> PAGEREF _Toc30719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05B77EE1">
      <w:pPr>
        <w:pStyle w:val="15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_Toc16555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Override Rule 3 – Severe Flooding</w:t>
      </w:r>
      <w:r>
        <w:tab/>
      </w:r>
      <w:r>
        <w:fldChar w:fldCharType="begin"/>
      </w:r>
      <w:r>
        <w:instrText xml:space="preserve"> PAGEREF _Toc16555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40D30437">
      <w:pPr>
        <w:pStyle w:val="14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_Toc29439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default"/>
        </w:rPr>
        <w:t>Final Risk Score</w:t>
      </w:r>
      <w:r>
        <w:tab/>
      </w:r>
      <w:r>
        <w:fldChar w:fldCharType="begin"/>
      </w:r>
      <w:r>
        <w:instrText xml:space="preserve"> PAGEREF _Toc29439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239C3C30">
      <w:pPr>
        <w:pStyle w:val="14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_Toc8556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Risk Level Classification</w:t>
      </w:r>
      <w:r>
        <w:tab/>
      </w:r>
      <w:r>
        <w:fldChar w:fldCharType="begin"/>
      </w:r>
      <w:r>
        <w:instrText xml:space="preserve"> PAGEREF _Toc8556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0DC89F61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_Toc18074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Results</w:t>
      </w:r>
      <w:r>
        <w:tab/>
      </w:r>
      <w:r>
        <w:fldChar w:fldCharType="begin"/>
      </w:r>
      <w:r>
        <w:instrText xml:space="preserve"> PAGEREF _Toc18074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0E608F34">
      <w:pPr>
        <w:pStyle w:val="14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_Toc926 </w:instrText>
      </w:r>
      <w:r>
        <w:rPr>
          <w:rFonts w:hint="default" w:ascii="Calibri" w:hAnsi="Calibri" w:cs="Calibri"/>
          <w:szCs w:val="24"/>
        </w:rPr>
        <w:fldChar w:fldCharType="separate"/>
      </w:r>
      <w:r>
        <w:t>Validation Table</w:t>
      </w:r>
      <w:r>
        <w:tab/>
      </w:r>
      <w:r>
        <w:fldChar w:fldCharType="begin"/>
      </w:r>
      <w:r>
        <w:instrText xml:space="preserve"> PAGEREF _Toc926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370FCE46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_Toc19742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Security</w:t>
      </w:r>
      <w:r>
        <w:tab/>
      </w:r>
      <w:r>
        <w:fldChar w:fldCharType="begin"/>
      </w:r>
      <w:r>
        <w:instrText xml:space="preserve"> PAGEREF _Toc19742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08D3D8E6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_Toc7272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Limitations</w:t>
      </w:r>
      <w:r>
        <w:tab/>
      </w:r>
      <w:r>
        <w:fldChar w:fldCharType="begin"/>
      </w:r>
      <w:r>
        <w:instrText xml:space="preserve"> PAGEREF _Toc7272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19D76F21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_Toc25308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Future Improvements</w:t>
      </w:r>
      <w:r>
        <w:tab/>
      </w:r>
      <w:r>
        <w:fldChar w:fldCharType="begin"/>
      </w:r>
      <w:r>
        <w:instrText xml:space="preserve"> PAGEREF _Toc25308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0364C7E8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_Toc2937 </w:instrText>
      </w:r>
      <w:r>
        <w:rPr>
          <w:rFonts w:hint="default" w:ascii="Calibri" w:hAnsi="Calibri" w:cs="Calibri"/>
          <w:szCs w:val="24"/>
        </w:rPr>
        <w:fldChar w:fldCharType="separate"/>
      </w:r>
      <w:r>
        <w:rPr>
          <w:rFonts w:hint="eastAsia"/>
        </w:rPr>
        <w:t>Conclusion</w:t>
      </w:r>
      <w:r>
        <w:tab/>
      </w:r>
      <w:r>
        <w:fldChar w:fldCharType="begin"/>
      </w:r>
      <w:r>
        <w:instrText xml:space="preserve"> PAGEREF _Toc2937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637A093A">
      <w:pPr>
        <w:pStyle w:val="13"/>
        <w:tabs>
          <w:tab w:val="right" w:leader="dot" w:pos="8306"/>
        </w:tabs>
      </w:pPr>
      <w:r>
        <w:rPr>
          <w:rFonts w:hint="default" w:ascii="Calibri" w:hAnsi="Calibri" w:cs="Calibri"/>
          <w:szCs w:val="24"/>
        </w:rPr>
        <w:fldChar w:fldCharType="begin"/>
      </w:r>
      <w:r>
        <w:rPr>
          <w:rFonts w:hint="default" w:ascii="Calibri" w:hAnsi="Calibri" w:cs="Calibri"/>
          <w:szCs w:val="24"/>
        </w:rPr>
        <w:instrText xml:space="preserve"> HYPERLINK \l _Toc4832 </w:instrText>
      </w:r>
      <w:r>
        <w:rPr>
          <w:rFonts w:hint="default" w:ascii="Calibri" w:hAnsi="Calibri" w:cs="Calibri"/>
          <w:szCs w:val="24"/>
        </w:rPr>
        <w:fldChar w:fldCharType="separate"/>
      </w:r>
      <w:r>
        <w:t>References</w:t>
      </w:r>
      <w:r>
        <w:tab/>
      </w:r>
      <w:r>
        <w:fldChar w:fldCharType="begin"/>
      </w:r>
      <w:r>
        <w:instrText xml:space="preserve"> PAGEREF _Toc4832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Calibri" w:hAnsi="Calibri" w:cs="Calibri"/>
          <w:szCs w:val="24"/>
        </w:rPr>
        <w:fldChar w:fldCharType="end"/>
      </w:r>
    </w:p>
    <w:p w14:paraId="4E01881B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Cs w:val="24"/>
        </w:rPr>
        <w:fldChar w:fldCharType="end"/>
      </w:r>
    </w:p>
    <w:p w14:paraId="659C8853">
      <w:pPr>
        <w:jc w:val="center"/>
        <w:rPr>
          <w:rFonts w:hint="default" w:ascii="Calibri" w:hAnsi="Calibri" w:cs="Calibri"/>
          <w:sz w:val="24"/>
          <w:szCs w:val="24"/>
        </w:rPr>
      </w:pPr>
      <w:bookmarkStart w:id="155" w:name="_GoBack"/>
      <w:bookmarkEnd w:id="155"/>
    </w:p>
    <w:p w14:paraId="0DB04A4A">
      <w:pPr>
        <w:jc w:val="center"/>
        <w:rPr>
          <w:rFonts w:hint="default" w:ascii="Calibri" w:hAnsi="Calibri" w:cs="Calibri"/>
          <w:sz w:val="24"/>
          <w:szCs w:val="24"/>
        </w:rPr>
      </w:pPr>
    </w:p>
    <w:p w14:paraId="0C6F775A">
      <w:pPr>
        <w:jc w:val="center"/>
        <w:rPr>
          <w:rFonts w:hint="default" w:ascii="Calibri" w:hAnsi="Calibri" w:cs="Calibri"/>
          <w:sz w:val="24"/>
          <w:szCs w:val="24"/>
        </w:rPr>
      </w:pPr>
    </w:p>
    <w:p w14:paraId="3BF2EB5A">
      <w:pPr>
        <w:jc w:val="center"/>
        <w:rPr>
          <w:rFonts w:hint="default" w:ascii="Calibri" w:hAnsi="Calibri" w:cs="Calibri"/>
          <w:sz w:val="24"/>
          <w:szCs w:val="24"/>
        </w:rPr>
      </w:pPr>
    </w:p>
    <w:p w14:paraId="1CBC75D0">
      <w:pPr>
        <w:jc w:val="center"/>
        <w:rPr>
          <w:rFonts w:hint="default" w:ascii="Calibri" w:hAnsi="Calibri" w:cs="Calibri"/>
          <w:sz w:val="24"/>
          <w:szCs w:val="24"/>
        </w:rPr>
      </w:pPr>
    </w:p>
    <w:p w14:paraId="16643A77">
      <w:pPr>
        <w:jc w:val="center"/>
        <w:rPr>
          <w:rFonts w:hint="default" w:ascii="Calibri" w:hAnsi="Calibri" w:cs="Calibri"/>
          <w:sz w:val="24"/>
          <w:szCs w:val="24"/>
        </w:rPr>
      </w:pPr>
    </w:p>
    <w:p w14:paraId="4E6D2314">
      <w:pPr>
        <w:jc w:val="center"/>
        <w:rPr>
          <w:rFonts w:hint="default" w:ascii="Calibri" w:hAnsi="Calibri" w:cs="Calibri"/>
          <w:sz w:val="24"/>
          <w:szCs w:val="24"/>
        </w:rPr>
      </w:pPr>
    </w:p>
    <w:p w14:paraId="5426CD00">
      <w:pPr>
        <w:jc w:val="center"/>
        <w:rPr>
          <w:rFonts w:hint="default" w:ascii="Calibri" w:hAnsi="Calibri" w:cs="Calibri"/>
          <w:sz w:val="24"/>
          <w:szCs w:val="24"/>
        </w:rPr>
      </w:pPr>
    </w:p>
    <w:p w14:paraId="7BAECB0D">
      <w:pPr>
        <w:jc w:val="center"/>
        <w:rPr>
          <w:rFonts w:hint="default" w:ascii="Calibri" w:hAnsi="Calibri" w:cs="Calibri"/>
          <w:sz w:val="24"/>
          <w:szCs w:val="24"/>
        </w:rPr>
      </w:pPr>
    </w:p>
    <w:p w14:paraId="2EF1EA74">
      <w:pPr>
        <w:jc w:val="center"/>
        <w:rPr>
          <w:rFonts w:hint="default" w:ascii="Calibri" w:hAnsi="Calibri" w:cs="Calibri"/>
          <w:sz w:val="24"/>
          <w:szCs w:val="24"/>
        </w:rPr>
      </w:pPr>
    </w:p>
    <w:p w14:paraId="65892C54">
      <w:pPr>
        <w:jc w:val="center"/>
        <w:rPr>
          <w:rFonts w:hint="default" w:ascii="Calibri" w:hAnsi="Calibri" w:cs="Calibri"/>
          <w:sz w:val="24"/>
          <w:szCs w:val="24"/>
        </w:rPr>
      </w:pPr>
    </w:p>
    <w:p w14:paraId="63A06DB5">
      <w:pPr>
        <w:jc w:val="center"/>
        <w:rPr>
          <w:rFonts w:hint="default" w:ascii="Calibri" w:hAnsi="Calibri" w:cs="Calibri"/>
          <w:sz w:val="24"/>
          <w:szCs w:val="24"/>
        </w:rPr>
      </w:pPr>
    </w:p>
    <w:p w14:paraId="264F6563">
      <w:pPr>
        <w:jc w:val="center"/>
        <w:rPr>
          <w:rFonts w:hint="default" w:ascii="Calibri" w:hAnsi="Calibri" w:cs="Calibri"/>
          <w:sz w:val="24"/>
          <w:szCs w:val="24"/>
        </w:rPr>
      </w:pPr>
    </w:p>
    <w:p w14:paraId="2551C0EC">
      <w:pPr>
        <w:jc w:val="center"/>
        <w:rPr>
          <w:rFonts w:hint="default" w:ascii="Calibri" w:hAnsi="Calibri" w:cs="Calibri"/>
          <w:sz w:val="24"/>
          <w:szCs w:val="24"/>
        </w:rPr>
      </w:pPr>
    </w:p>
    <w:p w14:paraId="12F39165">
      <w:pPr>
        <w:jc w:val="center"/>
        <w:rPr>
          <w:rFonts w:hint="default" w:ascii="Calibri" w:hAnsi="Calibri" w:cs="Calibri"/>
          <w:sz w:val="24"/>
          <w:szCs w:val="24"/>
        </w:rPr>
      </w:pPr>
    </w:p>
    <w:p w14:paraId="6BD26720">
      <w:pPr>
        <w:jc w:val="center"/>
        <w:rPr>
          <w:rFonts w:hint="default" w:ascii="Calibri" w:hAnsi="Calibri" w:cs="Calibri"/>
          <w:sz w:val="24"/>
          <w:szCs w:val="24"/>
        </w:rPr>
      </w:pPr>
    </w:p>
    <w:p w14:paraId="765115EC">
      <w:pPr>
        <w:jc w:val="center"/>
        <w:rPr>
          <w:rFonts w:hint="default" w:ascii="Calibri" w:hAnsi="Calibri" w:cs="Calibri"/>
          <w:sz w:val="24"/>
          <w:szCs w:val="24"/>
        </w:rPr>
      </w:pPr>
    </w:p>
    <w:p w14:paraId="6F096E8F">
      <w:pPr>
        <w:jc w:val="center"/>
        <w:rPr>
          <w:rFonts w:hint="default" w:ascii="Calibri" w:hAnsi="Calibri" w:cs="Calibri"/>
          <w:sz w:val="24"/>
          <w:szCs w:val="24"/>
        </w:rPr>
      </w:pPr>
    </w:p>
    <w:p w14:paraId="6B46301B">
      <w:pPr>
        <w:jc w:val="center"/>
        <w:rPr>
          <w:rFonts w:hint="default" w:ascii="Calibri" w:hAnsi="Calibri" w:cs="Calibri"/>
          <w:sz w:val="24"/>
          <w:szCs w:val="24"/>
        </w:rPr>
      </w:pPr>
    </w:p>
    <w:p w14:paraId="0CF14E59">
      <w:pPr>
        <w:jc w:val="center"/>
        <w:rPr>
          <w:rFonts w:hint="default" w:ascii="Calibri" w:hAnsi="Calibri" w:cs="Calibri"/>
          <w:sz w:val="24"/>
          <w:szCs w:val="24"/>
        </w:rPr>
      </w:pPr>
    </w:p>
    <w:p w14:paraId="644798CD">
      <w:pPr>
        <w:jc w:val="center"/>
        <w:rPr>
          <w:rFonts w:hint="default" w:ascii="Calibri" w:hAnsi="Calibri" w:cs="Calibri"/>
          <w:sz w:val="24"/>
          <w:szCs w:val="24"/>
        </w:rPr>
      </w:pPr>
    </w:p>
    <w:p w14:paraId="4FB93423">
      <w:pPr>
        <w:jc w:val="center"/>
        <w:rPr>
          <w:rFonts w:hint="default" w:ascii="Calibri" w:hAnsi="Calibri" w:cs="Calibri"/>
          <w:sz w:val="24"/>
          <w:szCs w:val="24"/>
        </w:rPr>
      </w:pPr>
    </w:p>
    <w:p w14:paraId="082DC364">
      <w:pPr>
        <w:pStyle w:val="2"/>
        <w:bidi w:val="0"/>
        <w:rPr>
          <w:rFonts w:hint="eastAsia"/>
        </w:rPr>
      </w:pPr>
      <w:bookmarkStart w:id="0" w:name="_Toc11633"/>
      <w:bookmarkStart w:id="1" w:name="_Toc691"/>
      <w:bookmarkStart w:id="2" w:name="_Toc4343"/>
      <w:bookmarkStart w:id="3" w:name="_Toc14101"/>
      <w:bookmarkStart w:id="4" w:name="_Toc22007"/>
      <w:bookmarkStart w:id="5" w:name="_Toc28724"/>
      <w:r>
        <w:rPr>
          <w:rFonts w:hint="eastAsia"/>
        </w:rPr>
        <w:t>Executive Summary</w:t>
      </w:r>
      <w:bookmarkEnd w:id="0"/>
      <w:bookmarkEnd w:id="1"/>
      <w:bookmarkEnd w:id="2"/>
      <w:bookmarkEnd w:id="3"/>
      <w:bookmarkEnd w:id="4"/>
      <w:bookmarkEnd w:id="5"/>
    </w:p>
    <w:p w14:paraId="42D58D01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Smart Campus Safety &amp; Response Grid is an IoT-based safety monitoring system designed to detect environmental hazards and provide real-time risk assessment.</w:t>
      </w:r>
    </w:p>
    <w:p w14:paraId="1624FD1C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2B460302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system collects sensor data from an ESP32-based zone node (simulated using Wokwi), securely transmits the readings to a FastAPI backend through REST APIs, stores the information in PostgreSQL, evaluates the situation using a weighted Risk Fusion Engine, and displays the results on a React dashboard.</w:t>
      </w:r>
    </w:p>
    <w:p w14:paraId="7363FB71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28528CD5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Risk Fusion Engine converts each sensor value into a normalized risk score, applies weighted fusion, and executes emergency override rules for critical conditions such as flame detection, combined smoke and gas emergencies, and severe flooding.</w:t>
      </w:r>
    </w:p>
    <w:p w14:paraId="4813AC06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21E52C14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developed prototype successfully demonstrates end-to-end communication from the IoT sensing layer to the visualization dashboard, providing a scalable architecture for future smart campus deployments.</w:t>
      </w:r>
    </w:p>
    <w:p w14:paraId="3693422C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12EB7A9B">
      <w:pPr>
        <w:pStyle w:val="2"/>
        <w:bidi w:val="0"/>
        <w:rPr>
          <w:rFonts w:hint="eastAsia"/>
        </w:rPr>
      </w:pPr>
      <w:bookmarkStart w:id="6" w:name="_Toc26910"/>
      <w:bookmarkStart w:id="7" w:name="_Toc2021"/>
      <w:bookmarkStart w:id="8" w:name="_Toc23441"/>
      <w:bookmarkStart w:id="9" w:name="_Toc28626"/>
      <w:bookmarkStart w:id="10" w:name="_Toc10268"/>
      <w:bookmarkStart w:id="11" w:name="_Toc10304"/>
      <w:r>
        <w:rPr>
          <w:rFonts w:hint="eastAsia"/>
        </w:rPr>
        <w:t>Problem Statement</w:t>
      </w:r>
      <w:bookmarkEnd w:id="6"/>
      <w:bookmarkEnd w:id="7"/>
      <w:bookmarkEnd w:id="8"/>
      <w:bookmarkEnd w:id="9"/>
      <w:bookmarkEnd w:id="10"/>
      <w:bookmarkEnd w:id="11"/>
    </w:p>
    <w:p w14:paraId="266BD9D2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Educational institutions require continuous monitoring of environmental conditions to ensure student and staff safety.</w:t>
      </w:r>
    </w:p>
    <w:p w14:paraId="4A02AF55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0EB030BE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Traditional monitoring approaches are largely manual and often fail to provide timely warnings for emergencies such as fire, gas leakage, flooding, abnormal vibration, or overcrowding.</w:t>
      </w:r>
    </w:p>
    <w:p w14:paraId="7A2C3A17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3A7B2608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absence of centralized monitoring and intelligent risk assessment may delay emergency response and increase potential damage.</w:t>
      </w:r>
    </w:p>
    <w:p w14:paraId="1B412F59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405FEEE3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An integrated IoT platform capable of continuously collecting sensor data, evaluating risk, and presenting real-time information is therefore required.</w:t>
      </w:r>
    </w:p>
    <w:p w14:paraId="558A59A3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4A546CF8">
      <w:pPr>
        <w:pStyle w:val="2"/>
        <w:bidi w:val="0"/>
        <w:rPr>
          <w:rFonts w:hint="eastAsia"/>
        </w:rPr>
      </w:pPr>
      <w:bookmarkStart w:id="12" w:name="_Toc30279"/>
      <w:bookmarkStart w:id="13" w:name="_Toc17536"/>
      <w:bookmarkStart w:id="14" w:name="_Toc13139"/>
      <w:bookmarkStart w:id="15" w:name="_Toc9148"/>
      <w:bookmarkStart w:id="16" w:name="_Toc4319"/>
      <w:bookmarkStart w:id="17" w:name="_Toc31167"/>
      <w:r>
        <w:rPr>
          <w:rFonts w:hint="eastAsia"/>
        </w:rPr>
        <w:t>Proposed Solution</w:t>
      </w:r>
      <w:bookmarkEnd w:id="12"/>
      <w:bookmarkEnd w:id="13"/>
      <w:bookmarkEnd w:id="14"/>
      <w:bookmarkEnd w:id="15"/>
      <w:bookmarkEnd w:id="16"/>
      <w:bookmarkEnd w:id="17"/>
    </w:p>
    <w:p w14:paraId="532B7E5D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proposed Smart Campus Safety &amp; Response Grid integrates IoT sensing, backend processing, database storage, and web visualization into a unified platform.</w:t>
      </w:r>
    </w:p>
    <w:p w14:paraId="522DF2C1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17C45794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Environmental sensor readings are generated using an ESP32 node simulated in Wokwi. These readings are transmitted through HTTPS REST APIs to a FastAPI backend.</w:t>
      </w:r>
    </w:p>
    <w:p w14:paraId="1F1331FB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0A885417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backend stores sensor data in PostgreSQL and evaluates the overall safety condition using a weighted Risk Fusion Engine.</w:t>
      </w:r>
    </w:p>
    <w:p w14:paraId="3B3119B7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1C218C4A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Finally, the processed information is presented through a React dashboard that provides real-time visualization of sensor values, calculated risk scores, and historical records.</w:t>
      </w:r>
    </w:p>
    <w:p w14:paraId="58C10C9D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32FC8C5E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modular architecture allows easy migration from simulation to physical ESP32 hardware.</w:t>
      </w:r>
    </w:p>
    <w:p w14:paraId="7C6B586F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0EBC2480">
      <w:pPr>
        <w:pStyle w:val="2"/>
        <w:bidi w:val="0"/>
        <w:rPr>
          <w:rFonts w:hint="eastAsia"/>
        </w:rPr>
      </w:pPr>
      <w:bookmarkStart w:id="18" w:name="_Toc7338"/>
      <w:bookmarkStart w:id="19" w:name="_Toc24522"/>
      <w:bookmarkStart w:id="20" w:name="_Toc9738"/>
      <w:bookmarkStart w:id="21" w:name="_Toc2638"/>
    </w:p>
    <w:p w14:paraId="7EF304EA">
      <w:pPr>
        <w:pStyle w:val="2"/>
        <w:bidi w:val="0"/>
        <w:rPr>
          <w:rFonts w:hint="eastAsia"/>
        </w:rPr>
      </w:pPr>
      <w:bookmarkStart w:id="22" w:name="_Toc17004"/>
      <w:bookmarkStart w:id="23" w:name="_Toc19015"/>
      <w:r>
        <w:rPr>
          <w:rFonts w:hint="eastAsia"/>
        </w:rPr>
        <w:t>System Architecture</w:t>
      </w:r>
      <w:bookmarkEnd w:id="18"/>
      <w:bookmarkEnd w:id="19"/>
      <w:bookmarkEnd w:id="20"/>
      <w:bookmarkEnd w:id="21"/>
      <w:bookmarkEnd w:id="22"/>
      <w:bookmarkEnd w:id="23"/>
    </w:p>
    <w:p w14:paraId="345BAFCF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769FB05F">
      <w:pPr>
        <w:jc w:val="left"/>
      </w:pPr>
      <w:r>
        <w:drawing>
          <wp:inline distT="0" distB="0" distL="114300" distR="114300">
            <wp:extent cx="4432935" cy="4439285"/>
            <wp:effectExtent l="0" t="0" r="5715" b="18415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7086">
      <w:pPr>
        <w:pStyle w:val="2"/>
        <w:bidi w:val="0"/>
      </w:pPr>
      <w:bookmarkStart w:id="24" w:name="_Toc14739"/>
      <w:bookmarkStart w:id="25" w:name="_Toc3574"/>
      <w:bookmarkStart w:id="26" w:name="_Toc13265"/>
      <w:r>
        <w:t>Data Flow</w:t>
      </w:r>
      <w:bookmarkEnd w:id="24"/>
      <w:bookmarkEnd w:id="25"/>
      <w:bookmarkEnd w:id="26"/>
    </w:p>
    <w:p w14:paraId="17CEA3CF">
      <w:pPr>
        <w:jc w:val="left"/>
        <w:rPr>
          <w:rFonts w:hint="default"/>
        </w:rPr>
      </w:pPr>
      <w:r>
        <w:rPr>
          <w:rFonts w:hint="default"/>
        </w:rPr>
        <w:t>ESP32 Sensor Node</w:t>
      </w:r>
    </w:p>
    <w:p w14:paraId="3ED487C9">
      <w:pPr>
        <w:jc w:val="left"/>
        <w:rPr>
          <w:rFonts w:hint="default"/>
        </w:rPr>
      </w:pPr>
      <w:r>
        <w:rPr>
          <w:rFonts w:hint="default"/>
        </w:rPr>
        <w:t xml:space="preserve">        │</w:t>
      </w:r>
    </w:p>
    <w:p w14:paraId="41DED219">
      <w:pPr>
        <w:jc w:val="left"/>
        <w:rPr>
          <w:rFonts w:hint="default"/>
        </w:rPr>
      </w:pPr>
      <w:r>
        <w:rPr>
          <w:rFonts w:hint="default"/>
        </w:rPr>
        <w:t xml:space="preserve">        ▼</w:t>
      </w:r>
    </w:p>
    <w:p w14:paraId="53787BB5">
      <w:pPr>
        <w:jc w:val="left"/>
        <w:rPr>
          <w:rFonts w:hint="default"/>
        </w:rPr>
      </w:pPr>
      <w:r>
        <w:rPr>
          <w:rFonts w:hint="default"/>
        </w:rPr>
        <w:t>Sensor Data Collection</w:t>
      </w:r>
    </w:p>
    <w:p w14:paraId="31591F03">
      <w:pPr>
        <w:jc w:val="left"/>
        <w:rPr>
          <w:rFonts w:hint="default"/>
        </w:rPr>
      </w:pPr>
      <w:r>
        <w:rPr>
          <w:rFonts w:hint="default"/>
        </w:rPr>
        <w:t xml:space="preserve">        │</w:t>
      </w:r>
    </w:p>
    <w:p w14:paraId="2DB3ECC9">
      <w:pPr>
        <w:jc w:val="left"/>
        <w:rPr>
          <w:rFonts w:hint="default"/>
        </w:rPr>
      </w:pPr>
      <w:r>
        <w:rPr>
          <w:rFonts w:hint="default"/>
        </w:rPr>
        <w:t xml:space="preserve">        ▼</w:t>
      </w:r>
    </w:p>
    <w:p w14:paraId="12E2BE75">
      <w:pPr>
        <w:jc w:val="left"/>
        <w:rPr>
          <w:rFonts w:hint="default"/>
        </w:rPr>
      </w:pPr>
      <w:r>
        <w:rPr>
          <w:rFonts w:hint="default"/>
        </w:rPr>
        <w:t>HTTPS POST Request</w:t>
      </w:r>
    </w:p>
    <w:p w14:paraId="5C017C9B">
      <w:pPr>
        <w:jc w:val="left"/>
        <w:rPr>
          <w:rFonts w:hint="default"/>
        </w:rPr>
      </w:pPr>
      <w:r>
        <w:rPr>
          <w:rFonts w:hint="default"/>
        </w:rPr>
        <w:t xml:space="preserve">        │</w:t>
      </w:r>
    </w:p>
    <w:p w14:paraId="5E193B1A">
      <w:pPr>
        <w:jc w:val="left"/>
        <w:rPr>
          <w:rFonts w:hint="default"/>
        </w:rPr>
      </w:pPr>
      <w:r>
        <w:rPr>
          <w:rFonts w:hint="default"/>
        </w:rPr>
        <w:t xml:space="preserve">        ▼</w:t>
      </w:r>
    </w:p>
    <w:p w14:paraId="0A30992E">
      <w:pPr>
        <w:jc w:val="left"/>
        <w:rPr>
          <w:rFonts w:hint="default"/>
        </w:rPr>
      </w:pPr>
      <w:r>
        <w:rPr>
          <w:rFonts w:hint="default"/>
        </w:rPr>
        <w:t>FastAPI REST API</w:t>
      </w:r>
    </w:p>
    <w:p w14:paraId="52E7E309">
      <w:pPr>
        <w:jc w:val="left"/>
        <w:rPr>
          <w:rFonts w:hint="default"/>
        </w:rPr>
      </w:pPr>
      <w:r>
        <w:rPr>
          <w:rFonts w:hint="default"/>
        </w:rPr>
        <w:t xml:space="preserve">        │</w:t>
      </w:r>
    </w:p>
    <w:p w14:paraId="5BEAAF1E">
      <w:pPr>
        <w:jc w:val="left"/>
        <w:rPr>
          <w:rFonts w:hint="default"/>
        </w:rPr>
      </w:pPr>
      <w:r>
        <w:rPr>
          <w:rFonts w:hint="default"/>
        </w:rPr>
        <w:t xml:space="preserve">        ▼</w:t>
      </w:r>
    </w:p>
    <w:p w14:paraId="4D5F1243">
      <w:pPr>
        <w:jc w:val="left"/>
        <w:rPr>
          <w:rFonts w:hint="default"/>
        </w:rPr>
      </w:pPr>
      <w:r>
        <w:rPr>
          <w:rFonts w:hint="default"/>
        </w:rPr>
        <w:t>Data Validation</w:t>
      </w:r>
    </w:p>
    <w:p w14:paraId="3446AA97">
      <w:pPr>
        <w:jc w:val="left"/>
        <w:rPr>
          <w:rFonts w:hint="default"/>
        </w:rPr>
      </w:pPr>
      <w:r>
        <w:rPr>
          <w:rFonts w:hint="default"/>
        </w:rPr>
        <w:t xml:space="preserve">        │</w:t>
      </w:r>
    </w:p>
    <w:p w14:paraId="2E1BE04C">
      <w:pPr>
        <w:jc w:val="left"/>
        <w:rPr>
          <w:rFonts w:hint="default"/>
        </w:rPr>
      </w:pPr>
      <w:r>
        <w:rPr>
          <w:rFonts w:hint="default"/>
        </w:rPr>
        <w:t xml:space="preserve">        ▼</w:t>
      </w:r>
    </w:p>
    <w:p w14:paraId="21F7359C">
      <w:pPr>
        <w:jc w:val="left"/>
        <w:rPr>
          <w:rFonts w:hint="default"/>
        </w:rPr>
      </w:pPr>
      <w:r>
        <w:rPr>
          <w:rFonts w:hint="default"/>
        </w:rPr>
        <w:t>PostgreSQL</w:t>
      </w:r>
    </w:p>
    <w:p w14:paraId="17744858">
      <w:pPr>
        <w:jc w:val="left"/>
        <w:rPr>
          <w:rFonts w:hint="default"/>
        </w:rPr>
      </w:pPr>
      <w:r>
        <w:rPr>
          <w:rFonts w:hint="default"/>
        </w:rPr>
        <w:t xml:space="preserve">        │</w:t>
      </w:r>
    </w:p>
    <w:p w14:paraId="0A4120F4">
      <w:pPr>
        <w:jc w:val="left"/>
        <w:rPr>
          <w:rFonts w:hint="default"/>
        </w:rPr>
      </w:pPr>
      <w:r>
        <w:rPr>
          <w:rFonts w:hint="default"/>
        </w:rPr>
        <w:t xml:space="preserve">        ▼</w:t>
      </w:r>
    </w:p>
    <w:p w14:paraId="344B2F7D">
      <w:pPr>
        <w:jc w:val="left"/>
        <w:rPr>
          <w:rFonts w:hint="default"/>
        </w:rPr>
      </w:pPr>
      <w:r>
        <w:rPr>
          <w:rFonts w:hint="default"/>
        </w:rPr>
        <w:t>Risk Fusion Engine</w:t>
      </w:r>
    </w:p>
    <w:p w14:paraId="28DC95EE">
      <w:pPr>
        <w:jc w:val="left"/>
        <w:rPr>
          <w:rFonts w:hint="default"/>
        </w:rPr>
      </w:pPr>
      <w:r>
        <w:rPr>
          <w:rFonts w:hint="default"/>
        </w:rPr>
        <w:t xml:space="preserve">        │</w:t>
      </w:r>
    </w:p>
    <w:p w14:paraId="2A9031EB">
      <w:pPr>
        <w:jc w:val="left"/>
        <w:rPr>
          <w:rFonts w:hint="default"/>
        </w:rPr>
      </w:pPr>
      <w:r>
        <w:rPr>
          <w:rFonts w:hint="default"/>
        </w:rPr>
        <w:t xml:space="preserve">        ▼</w:t>
      </w:r>
    </w:p>
    <w:p w14:paraId="725623ED">
      <w:pPr>
        <w:jc w:val="left"/>
        <w:rPr>
          <w:rFonts w:hint="default"/>
        </w:rPr>
      </w:pPr>
      <w:r>
        <w:rPr>
          <w:rFonts w:hint="default"/>
        </w:rPr>
        <w:t>React Dashboard</w:t>
      </w:r>
    </w:p>
    <w:p w14:paraId="2D1810CF">
      <w:pPr>
        <w:pStyle w:val="2"/>
        <w:bidi w:val="0"/>
        <w:rPr>
          <w:rFonts w:hint="eastAsia"/>
        </w:rPr>
      </w:pPr>
      <w:bookmarkStart w:id="27" w:name="_Toc21659"/>
      <w:bookmarkStart w:id="28" w:name="_Toc14732"/>
      <w:bookmarkStart w:id="29" w:name="_Toc15833"/>
      <w:bookmarkStart w:id="30" w:name="_Toc1285"/>
      <w:bookmarkStart w:id="31" w:name="_Toc24504"/>
      <w:bookmarkStart w:id="32" w:name="_Toc10046"/>
      <w:r>
        <w:rPr>
          <w:rFonts w:hint="eastAsia"/>
        </w:rPr>
        <w:t>Circuit &amp; Sensors</w:t>
      </w:r>
      <w:bookmarkEnd w:id="27"/>
      <w:bookmarkEnd w:id="28"/>
      <w:bookmarkEnd w:id="29"/>
      <w:bookmarkEnd w:id="30"/>
      <w:bookmarkEnd w:id="31"/>
      <w:bookmarkEnd w:id="32"/>
    </w:p>
    <w:p w14:paraId="3C06CA45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Zone Node is implemented using an ESP32 microcontroller simulated in Wokwi.</w:t>
      </w:r>
    </w:p>
    <w:p w14:paraId="54C0B0EC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2D75CCC1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node collects environmental information from multiple virtual sensors representing temperature, humidity, smoke, gas, water level, vibration, flame, occupancy, and battery voltage.</w:t>
      </w:r>
    </w:p>
    <w:p w14:paraId="10C01FE4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0257E75A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After collecting the measurements, the ESP32 transmits the sensor readings to the backend through HTTPS POST requests.</w:t>
      </w:r>
    </w:p>
    <w:p w14:paraId="5935BBF0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</w:p>
    <w:p w14:paraId="75134CA1">
      <w:pPr>
        <w:spacing w:line="360" w:lineRule="auto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2"/>
          <w:szCs w:val="22"/>
        </w:rPr>
        <w:drawing>
          <wp:inline distT="0" distB="0" distL="114300" distR="114300">
            <wp:extent cx="5272405" cy="3700780"/>
            <wp:effectExtent l="0" t="0" r="444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A0FC">
      <w:pPr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                                                   Figure 1: Wokwi Circuit</w:t>
      </w:r>
    </w:p>
    <w:p w14:paraId="565CA014">
      <w:pPr>
        <w:jc w:val="left"/>
        <w:rPr>
          <w:rFonts w:hint="default" w:ascii="Calibri" w:hAnsi="Calibri" w:cs="Calibri"/>
          <w:sz w:val="24"/>
          <w:szCs w:val="24"/>
          <w:lang w:val="en-US"/>
        </w:rPr>
      </w:pPr>
    </w:p>
    <w:p w14:paraId="308280E9">
      <w:pPr>
        <w:jc w:val="left"/>
        <w:rPr>
          <w:rFonts w:hint="eastAsia" w:ascii="MiSans Bold" w:hAnsi="MiSans Bold" w:eastAsia="MiSans Bold" w:cs="MiSans Bold"/>
          <w:sz w:val="36"/>
          <w:szCs w:val="36"/>
        </w:rPr>
      </w:pPr>
    </w:p>
    <w:p w14:paraId="7D185CF9">
      <w:pPr>
        <w:jc w:val="left"/>
        <w:rPr>
          <w:rFonts w:hint="eastAsia" w:ascii="MiSans Bold" w:hAnsi="MiSans Bold" w:eastAsia="MiSans Bold" w:cs="MiSans Bold"/>
          <w:sz w:val="36"/>
          <w:szCs w:val="36"/>
        </w:rPr>
      </w:pPr>
    </w:p>
    <w:p w14:paraId="78A396E3">
      <w:pPr>
        <w:pStyle w:val="2"/>
        <w:bidi w:val="0"/>
        <w:rPr>
          <w:rFonts w:hint="eastAsia"/>
        </w:rPr>
      </w:pPr>
      <w:bookmarkStart w:id="33" w:name="_Toc11631"/>
      <w:bookmarkStart w:id="34" w:name="_Toc3223"/>
      <w:bookmarkStart w:id="35" w:name="_Toc19649"/>
      <w:bookmarkStart w:id="36" w:name="_Toc20577"/>
      <w:bookmarkStart w:id="37" w:name="_Toc3718"/>
      <w:bookmarkStart w:id="38" w:name="_Toc14472"/>
      <w:r>
        <w:rPr>
          <w:rFonts w:hint="eastAsia"/>
        </w:rPr>
        <w:t>Backend Architecture</w:t>
      </w:r>
      <w:bookmarkEnd w:id="33"/>
      <w:bookmarkEnd w:id="34"/>
      <w:bookmarkEnd w:id="35"/>
      <w:bookmarkEnd w:id="36"/>
      <w:bookmarkEnd w:id="37"/>
      <w:bookmarkEnd w:id="38"/>
    </w:p>
    <w:p w14:paraId="382CAEF2">
      <w:pPr>
        <w:jc w:val="left"/>
        <w:rPr>
          <w:rFonts w:hint="eastAsia" w:ascii="MiSans Bold" w:hAnsi="MiSans Bold" w:eastAsia="MiSans Bold" w:cs="MiSans Bold"/>
          <w:sz w:val="36"/>
          <w:szCs w:val="36"/>
        </w:rPr>
      </w:pPr>
      <w:r>
        <w:rPr>
          <w:rFonts w:hint="eastAsia" w:ascii="MiSans Bold" w:hAnsi="MiSans Bold" w:eastAsia="MiSans Bold" w:cs="MiSans Bold"/>
          <w:sz w:val="36"/>
          <w:szCs w:val="36"/>
        </w:rPr>
        <w:t xml:space="preserve">                   </w:t>
      </w:r>
      <w:r>
        <w:drawing>
          <wp:inline distT="0" distB="0" distL="114300" distR="114300">
            <wp:extent cx="5270500" cy="3750310"/>
            <wp:effectExtent l="0" t="0" r="6350" b="2540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F5D41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backend is developed using FastAPI.</w:t>
      </w:r>
    </w:p>
    <w:p w14:paraId="6DEC54C1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70D7BCEC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backend performs request validation, stores sensor readings in PostgreSQL, executes the Risk Fusion Engine, generates risk assessments, and exposes REST APIs for frontend visualization.</w:t>
      </w:r>
    </w:p>
    <w:p w14:paraId="0C808AAE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0AA9479A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modular backend consists of routers, services, database models, schemas, and utility components.</w:t>
      </w:r>
    </w:p>
    <w:p w14:paraId="2BFEC284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backend is implemented using FastAPI, SQLAlchemy ORM, PostgreSQL, Alembic, and Pydantic to provide a modular, secure, and maintainable server-side architecture.</w:t>
      </w:r>
    </w:p>
    <w:p w14:paraId="03352069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893DCF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11AD27">
      <w:pPr>
        <w:pStyle w:val="2"/>
        <w:bidi w:val="0"/>
        <w:rPr>
          <w:rFonts w:hint="eastAsia"/>
        </w:rPr>
      </w:pPr>
      <w:bookmarkStart w:id="39" w:name="_Toc23337"/>
      <w:bookmarkStart w:id="40" w:name="_Toc2287"/>
      <w:bookmarkStart w:id="41" w:name="_Toc27260"/>
      <w:bookmarkStart w:id="42" w:name="_Toc30952"/>
      <w:bookmarkStart w:id="43" w:name="_Toc4685"/>
      <w:bookmarkStart w:id="44" w:name="_Toc3823"/>
      <w:r>
        <w:rPr>
          <w:rFonts w:hint="eastAsia"/>
        </w:rPr>
        <w:t>Database</w:t>
      </w:r>
      <w:bookmarkEnd w:id="39"/>
      <w:bookmarkEnd w:id="40"/>
      <w:bookmarkEnd w:id="41"/>
      <w:bookmarkEnd w:id="42"/>
      <w:bookmarkEnd w:id="43"/>
      <w:bookmarkEnd w:id="44"/>
    </w:p>
    <w:p w14:paraId="3C1E2BC4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PostgreSQL is used as the primary database.</w:t>
      </w:r>
    </w:p>
    <w:p w14:paraId="23A6E900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13B5A6E0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database stores sensor readings, generated risk assessments, and zone information.</w:t>
      </w:r>
    </w:p>
    <w:p w14:paraId="4539179B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5395A801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SQLAlchemy ORM is used to simplify database interaction while reducing SQL injection risks.</w:t>
      </w:r>
    </w:p>
    <w:p w14:paraId="3B0408F0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031DD04E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database design allows efficient retrieval of historical sensor records for visualization and analysis.</w:t>
      </w:r>
    </w:p>
    <w:p w14:paraId="03786BFC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70500" cy="2510790"/>
            <wp:effectExtent l="0" t="0" r="6350" b="3810"/>
            <wp:docPr id="21" name="Picture 21" descr="Screenshot 2026-07-26 132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7-26 1324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FFC7">
      <w:pPr>
        <w:jc w:val="center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Figure 2. Database Record</w:t>
      </w:r>
    </w:p>
    <w:p w14:paraId="35794B16">
      <w:pPr>
        <w:pStyle w:val="2"/>
        <w:bidi w:val="0"/>
        <w:rPr>
          <w:rFonts w:hint="eastAsia"/>
        </w:rPr>
      </w:pPr>
      <w:bookmarkStart w:id="45" w:name="_Toc25711"/>
      <w:bookmarkStart w:id="46" w:name="_Toc15051"/>
      <w:bookmarkStart w:id="47" w:name="_Toc12335"/>
      <w:bookmarkStart w:id="48" w:name="_Toc2469"/>
    </w:p>
    <w:p w14:paraId="2E6F920D">
      <w:pPr>
        <w:pStyle w:val="2"/>
        <w:bidi w:val="0"/>
        <w:rPr>
          <w:rFonts w:hint="eastAsia"/>
        </w:rPr>
      </w:pPr>
    </w:p>
    <w:p w14:paraId="149E33FD">
      <w:pPr>
        <w:pStyle w:val="2"/>
        <w:bidi w:val="0"/>
        <w:rPr>
          <w:rFonts w:hint="eastAsia"/>
        </w:rPr>
      </w:pPr>
      <w:bookmarkStart w:id="49" w:name="_Toc8464"/>
      <w:bookmarkStart w:id="50" w:name="_Toc17948"/>
      <w:r>
        <w:rPr>
          <w:rFonts w:hint="eastAsia"/>
        </w:rPr>
        <w:t>Technology Stack</w:t>
      </w:r>
      <w:bookmarkEnd w:id="45"/>
      <w:bookmarkEnd w:id="49"/>
      <w:bookmarkEnd w:id="50"/>
    </w:p>
    <w:tbl>
      <w:tblPr>
        <w:tblW w:w="0" w:type="auto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450"/>
        <w:gridCol w:w="1682"/>
      </w:tblGrid>
      <w:tr w14:paraId="643D3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EBADB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6841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Technology</w:t>
            </w:r>
          </w:p>
        </w:tc>
      </w:tr>
      <w:tr w14:paraId="66552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8F77B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Backend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FF562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FastAPI</w:t>
            </w:r>
          </w:p>
        </w:tc>
      </w:tr>
      <w:tr w14:paraId="37DB4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5094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Database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62711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PostgreSQL</w:t>
            </w:r>
          </w:p>
        </w:tc>
      </w:tr>
      <w:tr w14:paraId="27A96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70A25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ORM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502E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SQLAlchemy</w:t>
            </w:r>
          </w:p>
        </w:tc>
      </w:tr>
      <w:tr w14:paraId="686A3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63407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Frontend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13D45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React + TypeScript</w:t>
            </w:r>
          </w:p>
        </w:tc>
      </w:tr>
      <w:tr w14:paraId="75290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1E7D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IoT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7031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ESP32 (Wokwi)</w:t>
            </w:r>
          </w:p>
        </w:tc>
      </w:tr>
      <w:tr w14:paraId="3A45B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5D788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Communication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7A557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HTTPS REST API</w:t>
            </w:r>
          </w:p>
        </w:tc>
      </w:tr>
      <w:tr w14:paraId="6CF37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C2856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Tunnel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DAA0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Cloudflare Tunnel</w:t>
            </w:r>
          </w:p>
        </w:tc>
      </w:tr>
    </w:tbl>
    <w:p w14:paraId="4508E9D7">
      <w:pPr>
        <w:rPr>
          <w:rFonts w:hint="eastAsia"/>
        </w:rPr>
      </w:pPr>
    </w:p>
    <w:p w14:paraId="2EE4D228">
      <w:pPr>
        <w:pStyle w:val="2"/>
        <w:bidi w:val="0"/>
        <w:rPr>
          <w:rFonts w:hint="eastAsia"/>
        </w:rPr>
      </w:pPr>
      <w:bookmarkStart w:id="51" w:name="_Toc9146"/>
      <w:bookmarkStart w:id="52" w:name="_Toc1650"/>
      <w:bookmarkStart w:id="53" w:name="_Toc9694"/>
      <w:r>
        <w:rPr>
          <w:rFonts w:hint="eastAsia"/>
        </w:rPr>
        <w:t>REST APIs</w:t>
      </w:r>
      <w:bookmarkEnd w:id="46"/>
      <w:bookmarkEnd w:id="47"/>
      <w:bookmarkEnd w:id="48"/>
      <w:bookmarkEnd w:id="51"/>
      <w:bookmarkEnd w:id="52"/>
      <w:bookmarkEnd w:id="53"/>
    </w:p>
    <w:p w14:paraId="18E89646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backend exposes REST APIs for receiving sensor readings and retrieving calculated risk assessments.</w:t>
      </w:r>
    </w:p>
    <w:p w14:paraId="6DE305A2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5DA3703C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Implemented APIs include:</w:t>
      </w:r>
    </w:p>
    <w:p w14:paraId="5A084EC6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171D837F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/api/v1/zones</w:t>
      </w:r>
    </w:p>
    <w:p w14:paraId="1A40BDBC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/api/v1/sensor-readings</w:t>
      </w:r>
    </w:p>
    <w:p w14:paraId="235A0F24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/api/v1/risk/preview</w:t>
      </w:r>
    </w:p>
    <w:p w14:paraId="11BBC6AB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/api/v1/risk-assessments</w:t>
      </w:r>
    </w:p>
    <w:p w14:paraId="22E780B2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/api/v1/zones/{id}/risk-assessments</w:t>
      </w:r>
    </w:p>
    <w:p w14:paraId="4E27539F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/api/v1/zones/{id}/latest-risk</w:t>
      </w:r>
    </w:p>
    <w:p w14:paraId="700FFFFA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39D7940E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FastAPI automatically generates interactive Swagger documentation for testing and verification.</w:t>
      </w:r>
    </w:p>
    <w:p w14:paraId="20E82DF4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631E46E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162810"/>
            <wp:effectExtent l="0" t="0" r="12700" b="8890"/>
            <wp:docPr id="2" name="Picture 2" descr="swagger_api.p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wagger_api.png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A0A7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7960" cy="3576320"/>
            <wp:effectExtent l="0" t="0" r="8890" b="5080"/>
            <wp:docPr id="4" name="Picture 4" descr="06_swagger_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06_swagger_api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7647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74310" cy="2815590"/>
            <wp:effectExtent l="0" t="0" r="2540" b="3810"/>
            <wp:docPr id="3" name="Picture 3" descr="swagger_api.pn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wagger_api.png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8D37">
      <w:pPr>
        <w:jc w:val="center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Figure 3. Swagger API</w:t>
      </w:r>
    </w:p>
    <w:p w14:paraId="20C47E4F">
      <w:pPr>
        <w:pStyle w:val="2"/>
        <w:bidi w:val="0"/>
        <w:rPr>
          <w:rFonts w:hint="eastAsia"/>
        </w:rPr>
      </w:pPr>
      <w:bookmarkStart w:id="54" w:name="_Toc27943"/>
      <w:bookmarkStart w:id="55" w:name="_Toc12163"/>
      <w:bookmarkStart w:id="56" w:name="_Toc31758"/>
      <w:bookmarkStart w:id="57" w:name="_Toc3238"/>
      <w:bookmarkStart w:id="58" w:name="_Toc16766"/>
      <w:bookmarkStart w:id="59" w:name="_Toc6509"/>
      <w:r>
        <w:rPr>
          <w:rFonts w:hint="eastAsia"/>
        </w:rPr>
        <w:t>Risk Fusion Engine</w:t>
      </w:r>
      <w:bookmarkEnd w:id="54"/>
      <w:bookmarkEnd w:id="55"/>
      <w:bookmarkEnd w:id="56"/>
      <w:bookmarkEnd w:id="57"/>
      <w:bookmarkEnd w:id="58"/>
      <w:bookmarkEnd w:id="59"/>
    </w:p>
    <w:p w14:paraId="47C60C74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The Risk Fusion Engine is responsible for evaluating the overall safety condition of a monitored zone. It converts each sensor reading into a normalized risk value ranging from </w:t>
      </w:r>
      <w:r>
        <w:rPr>
          <w:rStyle w:val="11"/>
          <w:rFonts w:hint="default" w:ascii="Calibri" w:hAnsi="Calibri" w:cs="Calibri"/>
          <w:sz w:val="22"/>
          <w:szCs w:val="22"/>
        </w:rPr>
        <w:t>0 to 100</w:t>
      </w:r>
      <w:r>
        <w:rPr>
          <w:rFonts w:hint="default" w:ascii="Calibri" w:hAnsi="Calibri" w:cs="Calibri"/>
          <w:sz w:val="22"/>
          <w:szCs w:val="22"/>
        </w:rPr>
        <w:t>, applies predefined weights to each sensor category, and calculates a single weighted risk score. Finally, emergency override rules are evaluated to ensure that critical hazards are never underestimated.</w:t>
      </w:r>
    </w:p>
    <w:p w14:paraId="20DBC340">
      <w:pPr>
        <w:pStyle w:val="3"/>
        <w:bidi w:val="0"/>
        <w:rPr>
          <w:rFonts w:hint="eastAsia"/>
        </w:rPr>
      </w:pPr>
      <w:bookmarkStart w:id="60" w:name="_Toc32571"/>
      <w:bookmarkStart w:id="61" w:name="_Toc13439"/>
      <w:bookmarkStart w:id="62" w:name="_Toc19031"/>
      <w:bookmarkStart w:id="63" w:name="_Toc6182"/>
      <w:bookmarkStart w:id="64" w:name="_Toc11829"/>
      <w:bookmarkStart w:id="65" w:name="_Toc24111"/>
      <w:r>
        <w:rPr>
          <w:rFonts w:hint="eastAsia"/>
        </w:rPr>
        <w:t>Sensor Thresholds</w:t>
      </w:r>
      <w:bookmarkEnd w:id="60"/>
      <w:bookmarkEnd w:id="61"/>
      <w:bookmarkEnd w:id="62"/>
      <w:bookmarkEnd w:id="63"/>
      <w:bookmarkEnd w:id="64"/>
      <w:bookmarkEnd w:id="65"/>
    </w:p>
    <w:p w14:paraId="18E667AB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Each sensor has a predefined </w:t>
      </w:r>
      <w:r>
        <w:rPr>
          <w:rStyle w:val="11"/>
          <w:rFonts w:hint="default" w:ascii="Calibri" w:hAnsi="Calibri" w:eastAsia="SimSun" w:cs="Calibri"/>
          <w:sz w:val="22"/>
          <w:szCs w:val="22"/>
        </w:rPr>
        <w:t>Safe Limit</w:t>
      </w:r>
      <w:r>
        <w:rPr>
          <w:rFonts w:hint="default" w:ascii="Calibri" w:hAnsi="Calibri" w:eastAsia="SimSun" w:cs="Calibri"/>
          <w:sz w:val="22"/>
          <w:szCs w:val="22"/>
        </w:rPr>
        <w:t xml:space="preserve"> and </w:t>
      </w:r>
      <w:r>
        <w:rPr>
          <w:rStyle w:val="11"/>
          <w:rFonts w:hint="default" w:ascii="Calibri" w:hAnsi="Calibri" w:eastAsia="SimSun" w:cs="Calibri"/>
          <w:sz w:val="22"/>
          <w:szCs w:val="22"/>
        </w:rPr>
        <w:t>Critical Limit</w:t>
      </w:r>
      <w:r>
        <w:rPr>
          <w:rFonts w:hint="default" w:ascii="Calibri" w:hAnsi="Calibri" w:eastAsia="SimSun" w:cs="Calibri"/>
          <w:sz w:val="22"/>
          <w:szCs w:val="22"/>
        </w:rPr>
        <w:t xml:space="preserve">. Sensor readings are normalized into a risk value between </w:t>
      </w:r>
      <w:r>
        <w:rPr>
          <w:rStyle w:val="11"/>
          <w:rFonts w:hint="default" w:ascii="Calibri" w:hAnsi="Calibri" w:eastAsia="SimSun" w:cs="Calibri"/>
          <w:sz w:val="22"/>
          <w:szCs w:val="22"/>
        </w:rPr>
        <w:t>0 and 100</w:t>
      </w:r>
      <w:r>
        <w:rPr>
          <w:rFonts w:hint="default" w:ascii="Calibri" w:hAnsi="Calibri" w:eastAsia="SimSun" w:cs="Calibri"/>
          <w:sz w:val="22"/>
          <w:szCs w:val="22"/>
        </w:rPr>
        <w:t xml:space="preserve"> based on these thresholds.</w:t>
      </w:r>
    </w:p>
    <w:tbl>
      <w:tblPr>
        <w:tblW w:w="0" w:type="auto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421"/>
        <w:gridCol w:w="1231"/>
        <w:gridCol w:w="1140"/>
        <w:gridCol w:w="1256"/>
      </w:tblGrid>
      <w:tr w14:paraId="42F8A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9628B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Sensor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35D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Safe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FB8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Critical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A48E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Risk Direction</w:t>
            </w:r>
          </w:p>
        </w:tc>
      </w:tr>
      <w:tr w14:paraId="3CD8C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934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193E8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30 °C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DCD95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60 °C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EDBE3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Increasing</w:t>
            </w:r>
          </w:p>
        </w:tc>
      </w:tr>
      <w:tr w14:paraId="14CE1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B8A8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Humidity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1DD98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70 %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D113C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100 %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D2F2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Increasing</w:t>
            </w:r>
          </w:p>
        </w:tc>
      </w:tr>
      <w:tr w14:paraId="4F2E6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10271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Smoke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3FB6C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30 ppm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E4A9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300 ppm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CA0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Increasing</w:t>
            </w:r>
          </w:p>
        </w:tc>
      </w:tr>
      <w:tr w14:paraId="11619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18722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Gas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4E826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50 ppm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F835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500 ppm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35E0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Increasing</w:t>
            </w:r>
          </w:p>
        </w:tc>
      </w:tr>
      <w:tr w14:paraId="5FBB4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CE9AF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Water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2206C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10 %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C2846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100 %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EFFA6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Increasing</w:t>
            </w:r>
          </w:p>
        </w:tc>
      </w:tr>
      <w:tr w14:paraId="36C86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1E56C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Vibration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B3A9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0.2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AEB5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3.0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DBA4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Increasing</w:t>
            </w:r>
          </w:p>
        </w:tc>
      </w:tr>
      <w:tr w14:paraId="6A0B2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176C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Flame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82F2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Not Detected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A34E2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Detected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6BF9F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Binary</w:t>
            </w:r>
          </w:p>
        </w:tc>
      </w:tr>
      <w:tr w14:paraId="7909F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BF0DB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Occupancy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58BD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20 Persons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A1D51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100 Persons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CC96D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Increasing</w:t>
            </w:r>
          </w:p>
        </w:tc>
      </w:tr>
      <w:tr w14:paraId="429BF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1DEB1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Battery Voltage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7339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4.5 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0FE7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3.3 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72BAF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Decreasing</w:t>
            </w:r>
          </w:p>
        </w:tc>
      </w:tr>
    </w:tbl>
    <w:p w14:paraId="1ADDBF7A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For the flame sensor, the risk is assigned directly:</w:t>
      </w:r>
    </w:p>
    <w:p w14:paraId="207CD3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Flame Detected → Risk Score = 100 </w:t>
      </w:r>
    </w:p>
    <w:p w14:paraId="34F4B4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Flame Not Detected → Risk Score = 0</w:t>
      </w:r>
    </w:p>
    <w:p w14:paraId="4B5694D1">
      <w:pPr>
        <w:pStyle w:val="3"/>
        <w:bidi w:val="0"/>
        <w:rPr>
          <w:rFonts w:hint="eastAsia"/>
        </w:rPr>
      </w:pPr>
      <w:bookmarkStart w:id="66" w:name="_Toc14006"/>
      <w:bookmarkStart w:id="67" w:name="_Toc13843"/>
      <w:bookmarkStart w:id="68" w:name="_Toc28509"/>
      <w:bookmarkStart w:id="69" w:name="_Toc13005"/>
      <w:bookmarkStart w:id="70" w:name="_Toc12330"/>
      <w:bookmarkStart w:id="71" w:name="_Toc27082"/>
      <w:r>
        <w:rPr>
          <w:rFonts w:hint="eastAsia"/>
        </w:rPr>
        <w:t>Risk Weights</w:t>
      </w:r>
      <w:bookmarkEnd w:id="66"/>
      <w:bookmarkEnd w:id="67"/>
      <w:bookmarkEnd w:id="68"/>
      <w:bookmarkEnd w:id="69"/>
      <w:bookmarkEnd w:id="70"/>
      <w:bookmarkEnd w:id="71"/>
    </w:p>
    <w:p w14:paraId="14D5D3AB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After normalization, every sensor contributes to the final risk score according to the following weights.</w:t>
      </w:r>
    </w:p>
    <w:tbl>
      <w:tblPr>
        <w:tblW w:w="0" w:type="auto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237"/>
        <w:gridCol w:w="678"/>
        <w:gridCol w:w="1166"/>
      </w:tblGrid>
      <w:tr w14:paraId="5BFA2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59601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Risk 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4D66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Weight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AC21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Contribution</w:t>
            </w:r>
          </w:p>
        </w:tc>
      </w:tr>
      <w:tr w14:paraId="17EF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0746C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247DE3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0.15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192C9E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15 %</w:t>
            </w:r>
          </w:p>
        </w:tc>
      </w:tr>
      <w:tr w14:paraId="20C88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81BE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Humidity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DCE489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80551A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5 %</w:t>
            </w:r>
          </w:p>
        </w:tc>
      </w:tr>
      <w:tr w14:paraId="37E70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246EF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Smoke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477275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0.18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76E45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18 %</w:t>
            </w:r>
          </w:p>
        </w:tc>
      </w:tr>
      <w:tr w14:paraId="652C7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B12AC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Gas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F4D36A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0.17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E9AD6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17 %</w:t>
            </w:r>
          </w:p>
        </w:tc>
      </w:tr>
      <w:tr w14:paraId="3369D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8F679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Water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794730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7A278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12 %</w:t>
            </w:r>
          </w:p>
        </w:tc>
      </w:tr>
      <w:tr w14:paraId="0C26C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F17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Vibration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D2CEE9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0.10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E3433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10 %</w:t>
            </w:r>
          </w:p>
        </w:tc>
      </w:tr>
      <w:tr w14:paraId="0D62C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2034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Flame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6C6F1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4F8EF6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13 %</w:t>
            </w:r>
          </w:p>
        </w:tc>
      </w:tr>
      <w:tr w14:paraId="2DADB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3777F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Occupancy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CC36A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394123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5 %</w:t>
            </w:r>
          </w:p>
        </w:tc>
      </w:tr>
      <w:tr w14:paraId="0720D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3B260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Battery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2A317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6DFBE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5 %</w:t>
            </w:r>
          </w:p>
        </w:tc>
      </w:tr>
      <w:tr w14:paraId="5888E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3EF82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Style w:val="11"/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8951EF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Style w:val="11"/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1.00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61F3F">
            <w:pPr>
              <w:keepNext w:val="0"/>
              <w:keepLines w:val="0"/>
              <w:widowControl/>
              <w:suppressLineNumbers w:val="0"/>
              <w:spacing w:line="360" w:lineRule="auto"/>
              <w:jc w:val="righ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Style w:val="11"/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100 %</w:t>
            </w:r>
          </w:p>
        </w:tc>
      </w:tr>
    </w:tbl>
    <w:p w14:paraId="4B9D9413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The higher weights assigned to </w:t>
      </w:r>
      <w:r>
        <w:rPr>
          <w:rStyle w:val="11"/>
          <w:rFonts w:hint="default" w:ascii="Calibri" w:hAnsi="Calibri" w:cs="Calibri"/>
          <w:sz w:val="22"/>
          <w:szCs w:val="22"/>
        </w:rPr>
        <w:t>Smoke</w:t>
      </w:r>
      <w:r>
        <w:rPr>
          <w:rFonts w:hint="default" w:ascii="Calibri" w:hAnsi="Calibri" w:cs="Calibri"/>
          <w:sz w:val="22"/>
          <w:szCs w:val="22"/>
        </w:rPr>
        <w:t xml:space="preserve"> and </w:t>
      </w:r>
      <w:r>
        <w:rPr>
          <w:rStyle w:val="11"/>
          <w:rFonts w:hint="default" w:ascii="Calibri" w:hAnsi="Calibri" w:cs="Calibri"/>
          <w:sz w:val="22"/>
          <w:szCs w:val="22"/>
        </w:rPr>
        <w:t>Gas</w:t>
      </w:r>
      <w:r>
        <w:rPr>
          <w:rFonts w:hint="default" w:ascii="Calibri" w:hAnsi="Calibri" w:cs="Calibri"/>
          <w:sz w:val="22"/>
          <w:szCs w:val="22"/>
        </w:rPr>
        <w:t xml:space="preserve"> reflect their importance in identifying fire and toxic gas emergencies.</w:t>
      </w:r>
    </w:p>
    <w:p w14:paraId="3EA6A04C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Calibri" w:hAnsi="Calibri" w:eastAsia="SimSun" w:cs="Calibri"/>
          <w:b/>
          <w:bCs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Weighted Risk Calculation</w:t>
      </w:r>
    </w:p>
    <w:p w14:paraId="752A5A31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weighted base risk score is calculated using the following equation:</w:t>
      </w:r>
    </w:p>
    <w:p w14:paraId="1279338B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Calibri" w:hAnsi="Calibri" w:eastAsia="SimSun" w:cs="Calibri"/>
          <w:i w:val="0"/>
          <w:sz w:val="22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base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2"/>
              <w:szCs w:val="22"/>
            </w:rPr>
            <m:t>=0.15</m:t>
          </m:r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temperature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2"/>
              <w:szCs w:val="22"/>
            </w:rPr>
            <m:t>+0.05</m:t>
          </m:r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humidity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2"/>
              <w:szCs w:val="22"/>
            </w:rPr>
            <m:t>+0.18</m:t>
          </m:r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smoke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2"/>
              <w:szCs w:val="22"/>
            </w:rPr>
            <m:t>+0.17</m:t>
          </m:r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gas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2"/>
              <w:szCs w:val="22"/>
            </w:rPr>
            <m:t>+0.12</m:t>
          </m:r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water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2"/>
              <w:szCs w:val="22"/>
            </w:rPr>
            <m:t>+0.10</m:t>
          </m:r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vibration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2"/>
              <w:szCs w:val="22"/>
            </w:rPr>
            <m:t>+0.13</m:t>
          </m:r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flame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2"/>
              <w:szCs w:val="22"/>
            </w:rPr>
            <m:t>+0.05</m:t>
          </m:r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occupancy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2"/>
              <w:szCs w:val="22"/>
            </w:rPr>
            <m:t>+0.05</m:t>
          </m:r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2"/>
                  <w:szCs w:val="22"/>
                </w:rPr>
                <m:t>battery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</m:oMath>
      </m:oMathPara>
    </w:p>
    <w:p w14:paraId="0065506F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Since all weights sum to </w:t>
      </w:r>
      <w:r>
        <w:rPr>
          <w:rStyle w:val="11"/>
          <w:rFonts w:hint="default" w:ascii="Calibri" w:hAnsi="Calibri" w:eastAsia="SimSun" w:cs="Calibri"/>
          <w:sz w:val="22"/>
          <w:szCs w:val="22"/>
        </w:rPr>
        <w:t>1.00</w:t>
      </w:r>
      <w:r>
        <w:rPr>
          <w:rFonts w:hint="default" w:ascii="Calibri" w:hAnsi="Calibri" w:eastAsia="SimSun" w:cs="Calibri"/>
          <w:sz w:val="22"/>
          <w:szCs w:val="22"/>
        </w:rPr>
        <w:t xml:space="preserve">, the weighted score remains within the range of </w:t>
      </w:r>
      <w:r>
        <w:rPr>
          <w:rStyle w:val="11"/>
          <w:rFonts w:hint="default" w:ascii="Calibri" w:hAnsi="Calibri" w:eastAsia="SimSun" w:cs="Calibri"/>
          <w:sz w:val="22"/>
          <w:szCs w:val="22"/>
        </w:rPr>
        <w:t>0–100</w:t>
      </w:r>
      <w:r>
        <w:rPr>
          <w:rFonts w:hint="default" w:ascii="Calibri" w:hAnsi="Calibri" w:eastAsia="SimSun" w:cs="Calibri"/>
          <w:sz w:val="22"/>
          <w:szCs w:val="22"/>
        </w:rPr>
        <w:t xml:space="preserve"> before emergency override rules are applied.</w:t>
      </w:r>
    </w:p>
    <w:p w14:paraId="33A26E56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Emergency Override Rules</w:t>
      </w:r>
    </w:p>
    <w:p w14:paraId="5FC19152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Although the weighted score provides the overall safety condition, several emergency situations require immediate action. Therefore, three emergency override rules are implemented.</w:t>
      </w:r>
    </w:p>
    <w:p w14:paraId="18EEFF95">
      <w:pPr>
        <w:pStyle w:val="4"/>
        <w:bidi w:val="0"/>
        <w:rPr>
          <w:rFonts w:hint="eastAsia"/>
        </w:rPr>
      </w:pPr>
      <w:bookmarkStart w:id="72" w:name="_Toc1145"/>
      <w:bookmarkStart w:id="73" w:name="_Toc9786"/>
      <w:bookmarkStart w:id="74" w:name="_Toc19346"/>
      <w:bookmarkStart w:id="75" w:name="_Toc29547"/>
      <w:bookmarkStart w:id="76" w:name="_Toc3932"/>
      <w:bookmarkStart w:id="77" w:name="_Toc15252"/>
      <w:bookmarkStart w:id="78" w:name="_Toc11500"/>
      <w:bookmarkStart w:id="79" w:name="_Toc20683"/>
      <w:r>
        <w:rPr>
          <w:rFonts w:hint="eastAsia"/>
        </w:rPr>
        <w:t>Override Rule 1 – Flame Emergency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25385C84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If the flame sensor detects fire, the final risk score is immediately increased to at least </w:t>
      </w:r>
      <w:r>
        <w:rPr>
          <w:rStyle w:val="11"/>
          <w:rFonts w:hint="default" w:ascii="Calibri" w:hAnsi="Calibri" w:cs="Calibri"/>
          <w:sz w:val="22"/>
          <w:szCs w:val="22"/>
        </w:rPr>
        <w:t>90</w:t>
      </w:r>
      <w:r>
        <w:rPr>
          <w:rFonts w:hint="default" w:ascii="Calibri" w:hAnsi="Calibri" w:cs="Calibri"/>
          <w:sz w:val="22"/>
          <w:szCs w:val="22"/>
        </w:rPr>
        <w:t>, regardless of the weighted score.</w:t>
      </w:r>
    </w:p>
    <w:p w14:paraId="095A3725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Condition</w:t>
      </w:r>
    </w:p>
    <w:p w14:paraId="5FF553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Flame Detected = True </w:t>
      </w:r>
    </w:p>
    <w:p w14:paraId="4FF1978E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Action</w:t>
      </w:r>
    </w:p>
    <w:p w14:paraId="146A41C3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Final Score = max(Weighted Score, 90)</w:t>
      </w:r>
    </w:p>
    <w:p w14:paraId="513D27BF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Reason Generated</w:t>
      </w:r>
    </w:p>
    <w:p w14:paraId="03B1EA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Flame sensor triggered. </w:t>
      </w:r>
    </w:p>
    <w:p w14:paraId="5B869FA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5E49B071">
      <w:pPr>
        <w:pStyle w:val="4"/>
        <w:bidi w:val="0"/>
        <w:rPr>
          <w:rFonts w:hint="eastAsia"/>
        </w:rPr>
      </w:pPr>
      <w:bookmarkStart w:id="80" w:name="_Toc23109"/>
      <w:bookmarkStart w:id="81" w:name="_Toc6823"/>
      <w:bookmarkStart w:id="82" w:name="_Toc3525"/>
      <w:bookmarkStart w:id="83" w:name="_Toc23062"/>
      <w:bookmarkStart w:id="84" w:name="_Toc1566"/>
      <w:bookmarkStart w:id="85" w:name="_Toc9848"/>
      <w:bookmarkStart w:id="86" w:name="_Toc24048"/>
      <w:bookmarkStart w:id="87" w:name="_Toc30719"/>
      <w:r>
        <w:rPr>
          <w:rFonts w:hint="eastAsia"/>
        </w:rPr>
        <w:t>Override Rule 2 – Combined Smoke and Gas Emergency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63AA8222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When both smoke and gas risks reach extremely high levels, the system assumes a possible fire or toxic gas emergency.</w:t>
      </w:r>
    </w:p>
    <w:p w14:paraId="67CCD3BA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Conditions</w:t>
      </w:r>
    </w:p>
    <w:p w14:paraId="62855F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Smoke Risk ≥ 80 </w:t>
      </w:r>
    </w:p>
    <w:p w14:paraId="1E51A2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Gas Risk ≥ 80 </w:t>
      </w:r>
    </w:p>
    <w:p w14:paraId="74A6C787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Action</w:t>
      </w:r>
    </w:p>
    <w:p w14:paraId="10C34869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Final Score = max(Weighted Score, 85)</w:t>
      </w:r>
    </w:p>
    <w:p w14:paraId="7F23A868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Reason Generated</w:t>
      </w:r>
    </w:p>
    <w:p w14:paraId="184D03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Combined smoke and gas emergency condition detected. </w:t>
      </w:r>
    </w:p>
    <w:p w14:paraId="11B1F2F5">
      <w:pPr>
        <w:pStyle w:val="4"/>
        <w:bidi w:val="0"/>
        <w:rPr>
          <w:rFonts w:hint="eastAsia"/>
        </w:rPr>
      </w:pPr>
      <w:bookmarkStart w:id="88" w:name="_Toc314"/>
      <w:bookmarkStart w:id="89" w:name="_Toc15027"/>
      <w:bookmarkStart w:id="90" w:name="_Toc27841"/>
      <w:bookmarkStart w:id="91" w:name="_Toc23343"/>
      <w:bookmarkStart w:id="92" w:name="_Toc20939"/>
      <w:bookmarkStart w:id="93" w:name="_Toc26577"/>
      <w:bookmarkStart w:id="94" w:name="_Toc1912"/>
      <w:bookmarkStart w:id="95" w:name="_Toc16555"/>
      <w:r>
        <w:rPr>
          <w:rFonts w:hint="eastAsia"/>
        </w:rPr>
        <w:t>Override Rule 3 – Severe Flooding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6874F09D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When the normalized water-level risk reaches 90 or higher, the system classifies the situation as a severe flooding event.</w:t>
      </w:r>
    </w:p>
    <w:p w14:paraId="35E2B1F8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Condition</w:t>
      </w:r>
    </w:p>
    <w:p w14:paraId="7D300C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Water Risk ≥ 90 </w:t>
      </w:r>
    </w:p>
    <w:p w14:paraId="3732E885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Action</w:t>
      </w:r>
    </w:p>
    <w:p w14:paraId="04120E5E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Final Score = max(Weighted Score, 80)</w:t>
      </w:r>
    </w:p>
    <w:p w14:paraId="4B44E4E6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Reason Generated</w:t>
      </w:r>
    </w:p>
    <w:p w14:paraId="08E9ED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Severe flooding condition detected. </w:t>
      </w:r>
    </w:p>
    <w:p w14:paraId="0F74EF55">
      <w:pPr>
        <w:pStyle w:val="3"/>
        <w:bidi w:val="0"/>
        <w:rPr>
          <w:rFonts w:hint="default"/>
        </w:rPr>
      </w:pPr>
      <w:bookmarkStart w:id="96" w:name="_Toc606"/>
      <w:bookmarkStart w:id="97" w:name="_Toc10405"/>
      <w:bookmarkStart w:id="98" w:name="_Toc32215"/>
      <w:bookmarkStart w:id="99" w:name="_Toc29439"/>
      <w:r>
        <w:rPr>
          <w:rFonts w:hint="default"/>
        </w:rPr>
        <w:t>Final Risk Score</w:t>
      </w:r>
      <w:bookmarkEnd w:id="96"/>
      <w:bookmarkEnd w:id="97"/>
      <w:bookmarkEnd w:id="98"/>
      <w:bookmarkEnd w:id="99"/>
    </w:p>
    <w:p w14:paraId="065248E8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After evaluating the weighted score and all emergency override rules, the final score is restricted to the range of </w:t>
      </w:r>
      <w:r>
        <w:rPr>
          <w:rStyle w:val="11"/>
          <w:rFonts w:hint="default" w:ascii="Calibri" w:hAnsi="Calibri" w:cs="Calibri"/>
          <w:sz w:val="22"/>
          <w:szCs w:val="22"/>
        </w:rPr>
        <w:t>0–100</w:t>
      </w:r>
      <w:r>
        <w:rPr>
          <w:rFonts w:hint="default" w:ascii="Calibri" w:hAnsi="Calibri" w:cs="Calibri"/>
          <w:sz w:val="22"/>
          <w:szCs w:val="22"/>
        </w:rPr>
        <w:t xml:space="preserve"> and rounded to two decimal places.</w:t>
      </w:r>
    </w:p>
    <w:p w14:paraId="3BDCEA08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imSun" w:cs="Calibri"/>
                  <w:i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SimSun" w:cs="Calibri"/>
                  <w:i/>
                  <w:sz w:val="22"/>
                  <w:szCs w:val="22"/>
                </w:rPr>
                <m:t>final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imSun" w:cs="Calibri"/>
              <w:i w:val="0"/>
              <w:sz w:val="22"/>
              <w:szCs w:val="22"/>
            </w:rPr>
            <m:t>=</m:t>
          </m:r>
          <m:r>
            <m:rPr>
              <m:nor/>
            </m:rPr>
            <w:rPr>
              <w:rFonts w:hint="default" w:ascii="Cambria Math" w:hAnsi="Cambria Math" w:eastAsia="SimSun" w:cs="Calibri"/>
              <w:i/>
              <w:sz w:val="22"/>
              <w:szCs w:val="22"/>
            </w:rPr>
            <m:t>Clamp</m:t>
          </m:r>
          <m:r>
            <m:rPr>
              <m:nor/>
              <m:sty m:val="p"/>
            </m:rPr>
            <w:rPr>
              <w:rFonts w:hint="default" w:ascii="Cambria Math" w:hAnsi="Cambria Math" w:eastAsia="SimSun" w:cs="Calibri"/>
              <w:i w:val="0"/>
              <w:sz w:val="22"/>
              <w:szCs w:val="22"/>
            </w:rPr>
            <m:t>(</m:t>
          </m:r>
          <m:sSub>
            <m:sSubP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imSun" w:cs="Calibri"/>
                  <w:i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SimSun" w:cs="Calibri"/>
                  <w:i/>
                  <w:sz w:val="22"/>
                  <w:szCs w:val="22"/>
                </w:rPr>
                <m:t>adjusted</m:t>
              </m:r>
              <m:ctrlPr>
                <w:rPr>
                  <w:rFonts w:hint="default" w:ascii="Cambria Math" w:hAnsi="Cambria Math" w:eastAsia="SimSun" w:cs="Calibri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imSun" w:cs="Calibri"/>
              <w:i w:val="0"/>
              <w:sz w:val="22"/>
              <w:szCs w:val="22"/>
            </w:rPr>
            <m:t>,0,100)</m:t>
          </m:r>
        </m:oMath>
      </m:oMathPara>
    </w:p>
    <w:p w14:paraId="5FCD586E">
      <w:pPr>
        <w:pStyle w:val="3"/>
        <w:bidi w:val="0"/>
        <w:rPr>
          <w:rFonts w:hint="eastAsia"/>
        </w:rPr>
      </w:pPr>
      <w:bookmarkStart w:id="100" w:name="_Toc10049"/>
      <w:bookmarkStart w:id="101" w:name="_Toc17674"/>
      <w:bookmarkStart w:id="102" w:name="_Toc2951"/>
      <w:bookmarkStart w:id="103" w:name="_Toc30399"/>
      <w:bookmarkStart w:id="104" w:name="_Toc1984"/>
      <w:bookmarkStart w:id="105" w:name="_Toc8556"/>
      <w:r>
        <w:rPr>
          <w:rFonts w:hint="eastAsia"/>
        </w:rPr>
        <w:t>Risk Level Classification</w:t>
      </w:r>
      <w:bookmarkEnd w:id="100"/>
      <w:bookmarkEnd w:id="101"/>
      <w:bookmarkEnd w:id="102"/>
      <w:bookmarkEnd w:id="103"/>
      <w:bookmarkEnd w:id="104"/>
      <w:bookmarkEnd w:id="105"/>
    </w:p>
    <w:p w14:paraId="1A18716B">
      <w:pPr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final numeric score is converted into one of four operational risk levels.</w:t>
      </w:r>
    </w:p>
    <w:tbl>
      <w:tblPr>
        <w:tblW w:w="0" w:type="auto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136"/>
        <w:gridCol w:w="897"/>
        <w:gridCol w:w="2863"/>
      </w:tblGrid>
      <w:tr w14:paraId="05BDB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5DBCD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Final Score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19D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Risk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1525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Description</w:t>
            </w:r>
          </w:p>
        </w:tc>
      </w:tr>
      <w:tr w14:paraId="49DAA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46F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Less than 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58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0E7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Normal operating condition</w:t>
            </w:r>
          </w:p>
        </w:tc>
      </w:tr>
      <w:tr w14:paraId="05914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671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25 – 49.99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3B8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8F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Attention recommended</w:t>
            </w:r>
          </w:p>
        </w:tc>
      </w:tr>
      <w:tr w14:paraId="0956B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1B0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50 – 74.99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DA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B76A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Immediate monitoring required</w:t>
            </w:r>
          </w:p>
        </w:tc>
      </w:tr>
      <w:tr w14:paraId="4BDC9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868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75 – 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246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F0B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Emergency condition</w:t>
            </w:r>
          </w:p>
        </w:tc>
      </w:tr>
    </w:tbl>
    <w:p w14:paraId="68CD8B65">
      <w:pPr>
        <w:jc w:val="left"/>
        <w:rPr>
          <w:rFonts w:hint="default" w:ascii="Calibri" w:hAnsi="Calibri" w:eastAsia="SimSun" w:cs="Calibri"/>
          <w:sz w:val="22"/>
          <w:szCs w:val="22"/>
          <w:lang w:val="en-US" w:eastAsia="zh-CN"/>
        </w:rPr>
      </w:pPr>
    </w:p>
    <w:p w14:paraId="025D3E4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backend uses the following classification logic:</w:t>
      </w:r>
    </w:p>
    <w:p w14:paraId="0357D5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Score ≥ 75 → </w:t>
      </w:r>
      <w:r>
        <w:rPr>
          <w:rStyle w:val="11"/>
          <w:rFonts w:hint="default" w:ascii="Calibri" w:hAnsi="Calibri" w:cs="Calibri"/>
          <w:sz w:val="22"/>
          <w:szCs w:val="22"/>
        </w:rPr>
        <w:t>CRITICAL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35C8B4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Score ≥ 50 → </w:t>
      </w:r>
      <w:r>
        <w:rPr>
          <w:rStyle w:val="11"/>
          <w:rFonts w:hint="default" w:ascii="Calibri" w:hAnsi="Calibri" w:cs="Calibri"/>
          <w:sz w:val="22"/>
          <w:szCs w:val="22"/>
        </w:rPr>
        <w:t>HIGH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4458C5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Score ≥ 25 → </w:t>
      </w:r>
      <w:r>
        <w:rPr>
          <w:rStyle w:val="11"/>
          <w:rFonts w:hint="default" w:ascii="Calibri" w:hAnsi="Calibri" w:cs="Calibri"/>
          <w:sz w:val="22"/>
          <w:szCs w:val="22"/>
        </w:rPr>
        <w:t>MEDIUM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773224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  <w:lang w:val="en-US" w:eastAsia="zh-CN"/>
        </w:rPr>
      </w:pPr>
      <w:r>
        <w:rPr>
          <w:rFonts w:hint="default" w:ascii="Calibri" w:hAnsi="Calibri" w:cs="Calibri"/>
          <w:sz w:val="22"/>
          <w:szCs w:val="22"/>
        </w:rPr>
        <w:t xml:space="preserve">Otherwise → </w:t>
      </w:r>
      <w:r>
        <w:rPr>
          <w:rStyle w:val="11"/>
          <w:rFonts w:hint="default" w:ascii="Calibri" w:hAnsi="Calibri" w:cs="Calibri"/>
          <w:sz w:val="22"/>
          <w:szCs w:val="22"/>
        </w:rPr>
        <w:t>LOW</w:t>
      </w:r>
    </w:p>
    <w:p w14:paraId="05544865">
      <w:pPr>
        <w:pStyle w:val="2"/>
        <w:bidi w:val="0"/>
        <w:rPr>
          <w:rFonts w:hint="eastAsia"/>
        </w:rPr>
      </w:pPr>
      <w:bookmarkStart w:id="106" w:name="_Toc22743"/>
      <w:bookmarkStart w:id="107" w:name="_Toc23221"/>
      <w:bookmarkStart w:id="108" w:name="_Toc24145"/>
      <w:bookmarkStart w:id="109" w:name="_Toc15648"/>
      <w:bookmarkStart w:id="110" w:name="_Toc4389"/>
      <w:bookmarkStart w:id="111" w:name="_Toc18074"/>
      <w:r>
        <w:rPr>
          <w:rFonts w:hint="eastAsia"/>
        </w:rPr>
        <w:t>Results</w:t>
      </w:r>
      <w:bookmarkEnd w:id="106"/>
      <w:bookmarkEnd w:id="107"/>
      <w:bookmarkEnd w:id="108"/>
      <w:bookmarkEnd w:id="109"/>
      <w:bookmarkEnd w:id="110"/>
      <w:bookmarkEnd w:id="111"/>
    </w:p>
    <w:p w14:paraId="3EDE24CD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complete system was validated using Wokwi simulation.</w:t>
      </w:r>
    </w:p>
    <w:p w14:paraId="17CA8D6F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0AE57A02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Sensor readings were successfully transmitted to the backend using HTTPS.</w:t>
      </w:r>
    </w:p>
    <w:p w14:paraId="0F05100F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748FE2DD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backend stored the data in PostgreSQL, generated risk assessments, and displayed the results through the React dashboard.</w:t>
      </w:r>
    </w:p>
    <w:p w14:paraId="3AB191F6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79D8140A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Both LOW and CRITICAL operating conditions were successfully demonstrated.</w:t>
      </w:r>
    </w:p>
    <w:p w14:paraId="65871E66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1551B904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1662430"/>
            <wp:effectExtent l="0" t="0" r="12700" b="13970"/>
            <wp:docPr id="19" name="Picture 19" descr="Screenshot 2026-07-26 12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7-26 1201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A8D9">
      <w:pPr>
        <w:jc w:val="center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Figure 4. LOW Serial Output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959735"/>
            <wp:effectExtent l="0" t="0" r="12700" b="12065"/>
            <wp:docPr id="11" name="Picture 11" descr="Screenshot 2026-07-26 12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26 1204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0437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71770" cy="2444115"/>
            <wp:effectExtent l="0" t="0" r="5080" b="13335"/>
            <wp:docPr id="12" name="Picture 12" descr="Screenshot 2026-07-26 12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26 1205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8A48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482850"/>
            <wp:effectExtent l="0" t="0" r="12700" b="12700"/>
            <wp:docPr id="13" name="Picture 13" descr="Screenshot 2026-07-26 12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26 1205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5055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595245"/>
            <wp:effectExtent l="0" t="0" r="12700" b="14605"/>
            <wp:docPr id="14" name="Picture 14" descr="Screenshot 2026-07-26 12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7-26 1206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AC37">
      <w:pPr>
        <w:ind w:firstLine="2160" w:firstLineChars="90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Figure 5. LOW Dashboard</w:t>
      </w:r>
    </w:p>
    <w:p w14:paraId="1FB824D5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1546860"/>
            <wp:effectExtent l="0" t="0" r="12700" b="15240"/>
            <wp:docPr id="20" name="Picture 20" descr="Screenshot 2026-07-26 121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7-26 1219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7476">
      <w:pPr>
        <w:jc w:val="center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Figure 6. CRITICAL Serial Output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567940"/>
            <wp:effectExtent l="0" t="0" r="12700" b="3810"/>
            <wp:docPr id="15" name="Picture 15" descr="Screenshot 2026-07-26 122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7-26 1221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2F15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611755"/>
            <wp:effectExtent l="0" t="0" r="12700" b="17145"/>
            <wp:docPr id="16" name="Picture 16" descr="Screenshot 2026-07-26 12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26 1221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67B1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785" cy="2621280"/>
            <wp:effectExtent l="0" t="0" r="12065" b="7620"/>
            <wp:docPr id="17" name="Picture 17" descr="Screenshot 2026-07-26 12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7-26 12220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7B1E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595245"/>
            <wp:effectExtent l="0" t="0" r="12700" b="14605"/>
            <wp:docPr id="18" name="Picture 18" descr="Screenshot 2026-07-26 122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7-26 1222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E339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Figure 7. CRITICAL Dashboard</w:t>
      </w:r>
    </w:p>
    <w:p w14:paraId="68381DAB">
      <w:pPr>
        <w:pStyle w:val="3"/>
        <w:bidi w:val="0"/>
      </w:pPr>
      <w:bookmarkStart w:id="112" w:name="_Toc29963"/>
      <w:bookmarkStart w:id="113" w:name="_Toc926"/>
      <w:r>
        <w:t>Validation Table</w:t>
      </w:r>
      <w:bookmarkEnd w:id="112"/>
      <w:bookmarkEnd w:id="113"/>
      <w:bookmarkStart w:id="114" w:name="_Toc28832"/>
      <w:bookmarkStart w:id="115" w:name="_Toc10880"/>
      <w:bookmarkStart w:id="116" w:name="_Toc4082"/>
      <w:bookmarkStart w:id="117" w:name="_Toc7760"/>
    </w:p>
    <w:tbl>
      <w:tblPr>
        <w:tblStyle w:val="12"/>
        <w:tblpPr w:leftFromText="180" w:rightFromText="180" w:vertAnchor="text" w:tblpX="49" w:tblpY="72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08"/>
        <w:gridCol w:w="1447"/>
      </w:tblGrid>
      <w:tr w14:paraId="5D64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0" w:hRule="atLeast"/>
        </w:trPr>
        <w:tc>
          <w:tcPr>
            <w:tcW w:w="1447" w:type="dxa"/>
          </w:tcPr>
          <w:p w14:paraId="6EB784E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Component</w:t>
            </w:r>
          </w:p>
        </w:tc>
        <w:tc>
          <w:tcPr>
            <w:tcW w:w="1447" w:type="dxa"/>
          </w:tcPr>
          <w:p w14:paraId="263677D6">
            <w:pPr>
              <w:bidi w:val="0"/>
              <w:jc w:val="center"/>
              <w:rPr>
                <w:rFonts w:hint="default"/>
              </w:rPr>
            </w:pPr>
            <w:bookmarkStart w:id="118" w:name="_Toc10444"/>
            <w:r>
              <w:rPr>
                <w:rFonts w:hint="default"/>
              </w:rPr>
              <w:t>Status</w:t>
            </w:r>
            <w:bookmarkEnd w:id="118"/>
          </w:p>
        </w:tc>
      </w:tr>
      <w:tr w14:paraId="048EB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0" w:hRule="atLeast"/>
        </w:trPr>
        <w:tc>
          <w:tcPr>
            <w:tcW w:w="1447" w:type="dxa"/>
          </w:tcPr>
          <w:p w14:paraId="04F3CA85">
            <w:pPr>
              <w:bidi w:val="0"/>
              <w:rPr>
                <w:rFonts w:hint="default"/>
              </w:rPr>
            </w:pPr>
            <w:bookmarkStart w:id="119" w:name="_Toc4125"/>
            <w:r>
              <w:rPr>
                <w:rFonts w:hint="default"/>
              </w:rPr>
              <w:t>ESP32 Simulation</w:t>
            </w:r>
            <w:bookmarkEnd w:id="119"/>
            <w:r>
              <w:rPr>
                <w:rFonts w:hint="default"/>
              </w:rPr>
              <w:t xml:space="preserve"> </w:t>
            </w:r>
          </w:p>
        </w:tc>
        <w:tc>
          <w:tcPr>
            <w:tcW w:w="1447" w:type="dxa"/>
          </w:tcPr>
          <w:p w14:paraId="4D8DBFCC">
            <w:pPr>
              <w:bidi w:val="0"/>
              <w:jc w:val="center"/>
              <w:rPr>
                <w:rFonts w:hint="default"/>
              </w:rPr>
            </w:pPr>
            <w:bookmarkStart w:id="120" w:name="_Toc12187"/>
            <w:r>
              <w:rPr>
                <w:rFonts w:hint="default"/>
              </w:rPr>
              <w:t>✓</w:t>
            </w:r>
            <w:bookmarkEnd w:id="120"/>
          </w:p>
        </w:tc>
      </w:tr>
      <w:tr w14:paraId="56A35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0" w:hRule="atLeast"/>
        </w:trPr>
        <w:tc>
          <w:tcPr>
            <w:tcW w:w="1447" w:type="dxa"/>
          </w:tcPr>
          <w:p w14:paraId="0C2031EF">
            <w:pPr>
              <w:bidi w:val="0"/>
              <w:rPr>
                <w:rFonts w:hint="default"/>
              </w:rPr>
            </w:pPr>
            <w:bookmarkStart w:id="121" w:name="_Toc31043"/>
            <w:r>
              <w:rPr>
                <w:rFonts w:hint="default"/>
              </w:rPr>
              <w:t>HTTPS Communication</w:t>
            </w:r>
            <w:bookmarkEnd w:id="121"/>
          </w:p>
        </w:tc>
        <w:tc>
          <w:tcPr>
            <w:tcW w:w="1447" w:type="dxa"/>
          </w:tcPr>
          <w:p w14:paraId="6A504A37">
            <w:pPr>
              <w:bidi w:val="0"/>
              <w:jc w:val="center"/>
              <w:rPr>
                <w:rFonts w:hint="default"/>
              </w:rPr>
            </w:pPr>
            <w:bookmarkStart w:id="122" w:name="_Toc27285"/>
            <w:r>
              <w:rPr>
                <w:rFonts w:hint="default"/>
              </w:rPr>
              <w:t>✓</w:t>
            </w:r>
            <w:bookmarkEnd w:id="122"/>
          </w:p>
        </w:tc>
      </w:tr>
      <w:tr w14:paraId="66CB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0" w:hRule="atLeast"/>
        </w:trPr>
        <w:tc>
          <w:tcPr>
            <w:tcW w:w="1447" w:type="dxa"/>
          </w:tcPr>
          <w:p w14:paraId="1C63CF76">
            <w:pPr>
              <w:bidi w:val="0"/>
              <w:rPr>
                <w:rFonts w:hint="default"/>
              </w:rPr>
            </w:pPr>
            <w:bookmarkStart w:id="123" w:name="_Toc6065"/>
            <w:r>
              <w:rPr>
                <w:rFonts w:hint="default"/>
              </w:rPr>
              <w:t>FastAPI Backend</w:t>
            </w:r>
            <w:bookmarkEnd w:id="123"/>
          </w:p>
        </w:tc>
        <w:tc>
          <w:tcPr>
            <w:tcW w:w="1447" w:type="dxa"/>
          </w:tcPr>
          <w:p w14:paraId="7C42888C">
            <w:pPr>
              <w:bidi w:val="0"/>
              <w:jc w:val="center"/>
              <w:rPr>
                <w:rFonts w:hint="default"/>
              </w:rPr>
            </w:pPr>
            <w:bookmarkStart w:id="124" w:name="_Toc2392"/>
            <w:r>
              <w:rPr>
                <w:rFonts w:hint="default"/>
              </w:rPr>
              <w:t>✓</w:t>
            </w:r>
            <w:bookmarkEnd w:id="124"/>
          </w:p>
        </w:tc>
      </w:tr>
      <w:tr w14:paraId="0623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0" w:hRule="atLeast"/>
        </w:trPr>
        <w:tc>
          <w:tcPr>
            <w:tcW w:w="1447" w:type="dxa"/>
          </w:tcPr>
          <w:p w14:paraId="5BFAAC15">
            <w:pPr>
              <w:bidi w:val="0"/>
              <w:rPr>
                <w:rFonts w:hint="default"/>
              </w:rPr>
            </w:pPr>
            <w:bookmarkStart w:id="125" w:name="_Toc5343"/>
            <w:r>
              <w:rPr>
                <w:rFonts w:hint="default"/>
              </w:rPr>
              <w:t>PostgreSQL</w:t>
            </w:r>
            <w:bookmarkEnd w:id="125"/>
            <w:r>
              <w:rPr>
                <w:rFonts w:hint="default"/>
              </w:rPr>
              <w:t xml:space="preserve">   </w:t>
            </w:r>
          </w:p>
        </w:tc>
        <w:tc>
          <w:tcPr>
            <w:tcW w:w="1447" w:type="dxa"/>
          </w:tcPr>
          <w:p w14:paraId="62B21CC9">
            <w:pPr>
              <w:bidi w:val="0"/>
              <w:jc w:val="center"/>
              <w:rPr>
                <w:rFonts w:hint="default"/>
              </w:rPr>
            </w:pPr>
            <w:bookmarkStart w:id="126" w:name="_Toc11910"/>
            <w:r>
              <w:rPr>
                <w:rFonts w:hint="default"/>
              </w:rPr>
              <w:t>✓</w:t>
            </w:r>
            <w:bookmarkEnd w:id="126"/>
          </w:p>
        </w:tc>
      </w:tr>
      <w:tr w14:paraId="5612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0" w:hRule="atLeast"/>
        </w:trPr>
        <w:tc>
          <w:tcPr>
            <w:tcW w:w="1447" w:type="dxa"/>
          </w:tcPr>
          <w:p w14:paraId="7BC3C410">
            <w:pPr>
              <w:bidi w:val="0"/>
              <w:rPr>
                <w:rFonts w:hint="default"/>
              </w:rPr>
            </w:pPr>
            <w:bookmarkStart w:id="127" w:name="_Toc21452"/>
            <w:r>
              <w:rPr>
                <w:rFonts w:hint="default"/>
              </w:rPr>
              <w:t>Risk Fusion Engine</w:t>
            </w:r>
            <w:bookmarkEnd w:id="127"/>
          </w:p>
        </w:tc>
        <w:tc>
          <w:tcPr>
            <w:tcW w:w="1447" w:type="dxa"/>
          </w:tcPr>
          <w:p w14:paraId="04C8EBEF">
            <w:pPr>
              <w:bidi w:val="0"/>
              <w:jc w:val="center"/>
              <w:rPr>
                <w:rFonts w:hint="default"/>
              </w:rPr>
            </w:pPr>
            <w:bookmarkStart w:id="128" w:name="_Toc22654"/>
            <w:r>
              <w:rPr>
                <w:rFonts w:hint="default"/>
              </w:rPr>
              <w:t>✓</w:t>
            </w:r>
            <w:bookmarkEnd w:id="128"/>
          </w:p>
        </w:tc>
      </w:tr>
      <w:tr w14:paraId="65E13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0" w:hRule="atLeast"/>
        </w:trPr>
        <w:tc>
          <w:tcPr>
            <w:tcW w:w="1447" w:type="dxa"/>
          </w:tcPr>
          <w:p w14:paraId="17006063">
            <w:pPr>
              <w:bidi w:val="0"/>
              <w:rPr>
                <w:rFonts w:hint="default"/>
              </w:rPr>
            </w:pPr>
            <w:bookmarkStart w:id="129" w:name="_Toc19273"/>
            <w:r>
              <w:rPr>
                <w:rFonts w:hint="default"/>
              </w:rPr>
              <w:t>React Dashboard</w:t>
            </w:r>
            <w:bookmarkEnd w:id="129"/>
          </w:p>
        </w:tc>
        <w:tc>
          <w:tcPr>
            <w:tcW w:w="1447" w:type="dxa"/>
          </w:tcPr>
          <w:p w14:paraId="07E655A8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</w:t>
            </w:r>
            <w:bookmarkStart w:id="130" w:name="_Toc5363"/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</w:rPr>
              <w:t>✓</w:t>
            </w:r>
            <w:bookmarkEnd w:id="130"/>
          </w:p>
        </w:tc>
      </w:tr>
      <w:bookmarkEnd w:id="114"/>
    </w:tbl>
    <w:p w14:paraId="5C581627">
      <w:pPr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default"/>
          <w:lang w:val="en-US"/>
        </w:rPr>
        <w:t xml:space="preserve">     </w:t>
      </w:r>
    </w:p>
    <w:p w14:paraId="4C21D026">
      <w:pPr>
        <w:rPr>
          <w:rFonts w:hint="eastAsia"/>
        </w:rPr>
      </w:pPr>
    </w:p>
    <w:p w14:paraId="39A3BD8B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default"/>
          <w:lang w:val="en-US"/>
        </w:rPr>
        <w:t xml:space="preserve">     </w:t>
      </w:r>
    </w:p>
    <w:p w14:paraId="08E84C2C">
      <w:pPr>
        <w:pStyle w:val="2"/>
        <w:bidi w:val="0"/>
        <w:rPr>
          <w:rFonts w:hint="eastAsia"/>
        </w:rPr>
      </w:pPr>
      <w:bookmarkStart w:id="131" w:name="_Toc14370"/>
    </w:p>
    <w:p w14:paraId="3F69FE7C">
      <w:pPr>
        <w:pStyle w:val="2"/>
        <w:bidi w:val="0"/>
        <w:rPr>
          <w:rFonts w:hint="eastAsia"/>
        </w:rPr>
      </w:pPr>
      <w:bookmarkStart w:id="132" w:name="_Toc9154"/>
      <w:bookmarkStart w:id="133" w:name="_Toc19742"/>
      <w:r>
        <w:rPr>
          <w:rFonts w:hint="eastAsia"/>
        </w:rPr>
        <w:t>Security</w:t>
      </w:r>
      <w:bookmarkEnd w:id="115"/>
      <w:bookmarkEnd w:id="116"/>
      <w:bookmarkEnd w:id="117"/>
      <w:bookmarkEnd w:id="131"/>
      <w:bookmarkEnd w:id="132"/>
      <w:bookmarkEnd w:id="133"/>
    </w:p>
    <w:p w14:paraId="594AC9AA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system incorporates several software engineering best practices.</w:t>
      </w:r>
    </w:p>
    <w:p w14:paraId="10FFEEEC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61AEF46B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HTTPS communication through Cloudflare Tunnel</w:t>
      </w:r>
    </w:p>
    <w:p w14:paraId="6CCB1AAE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Request validation using Pydantic</w:t>
      </w:r>
    </w:p>
    <w:p w14:paraId="2A2CF687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SQLAlchemy ORM</w:t>
      </w:r>
    </w:p>
    <w:p w14:paraId="23D86ACA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Environment variable configuration</w:t>
      </w:r>
    </w:p>
    <w:p w14:paraId="21AE9CBD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Health monitoring endpoints</w:t>
      </w:r>
    </w:p>
    <w:p w14:paraId="298AF4B1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Modular backend architecture</w:t>
      </w:r>
    </w:p>
    <w:p w14:paraId="71D6DA5F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5FDFB80">
      <w:pPr>
        <w:pStyle w:val="2"/>
        <w:bidi w:val="0"/>
        <w:rPr>
          <w:rFonts w:hint="eastAsia"/>
        </w:rPr>
      </w:pPr>
      <w:bookmarkStart w:id="134" w:name="_Toc9521"/>
      <w:bookmarkStart w:id="135" w:name="_Toc32175"/>
      <w:bookmarkStart w:id="136" w:name="_Toc27570"/>
      <w:bookmarkStart w:id="137" w:name="_Toc6600"/>
      <w:bookmarkStart w:id="138" w:name="_Toc32288"/>
      <w:bookmarkStart w:id="139" w:name="_Toc7272"/>
      <w:r>
        <w:rPr>
          <w:rFonts w:hint="eastAsia"/>
        </w:rPr>
        <w:t>Limitations</w:t>
      </w:r>
      <w:bookmarkEnd w:id="134"/>
      <w:bookmarkEnd w:id="135"/>
      <w:bookmarkEnd w:id="136"/>
      <w:bookmarkEnd w:id="137"/>
      <w:bookmarkEnd w:id="138"/>
      <w:bookmarkEnd w:id="139"/>
    </w:p>
    <w:p w14:paraId="5242CFEE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current prototype uses Wokwi simulation instead of physical hardware.</w:t>
      </w:r>
    </w:p>
    <w:p w14:paraId="06EBE2F9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7E7C070C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Cloudflare Quick Tunnel provides temporary public URLs.</w:t>
      </w:r>
    </w:p>
    <w:p w14:paraId="6B03A202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6C734B0B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current implementation focuses on a single simulated zone and does not include authentication or notification services.</w:t>
      </w:r>
    </w:p>
    <w:p w14:paraId="6D11B26E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3B089C97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These limitations do not affect the demonstration of the proposed architecture.</w:t>
      </w:r>
    </w:p>
    <w:p w14:paraId="6233FB3D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898454">
      <w:pPr>
        <w:pStyle w:val="2"/>
        <w:bidi w:val="0"/>
        <w:rPr>
          <w:rFonts w:hint="eastAsia"/>
        </w:rPr>
      </w:pPr>
      <w:bookmarkStart w:id="140" w:name="_Toc15690"/>
      <w:bookmarkStart w:id="141" w:name="_Toc31624"/>
      <w:bookmarkStart w:id="142" w:name="_Toc30749"/>
      <w:bookmarkStart w:id="143" w:name="_Toc29125"/>
      <w:bookmarkStart w:id="144" w:name="_Toc15385"/>
      <w:bookmarkStart w:id="145" w:name="_Toc25308"/>
      <w:r>
        <w:rPr>
          <w:rFonts w:hint="eastAsia"/>
        </w:rPr>
        <w:t>Future Improvements</w:t>
      </w:r>
      <w:bookmarkEnd w:id="140"/>
      <w:bookmarkEnd w:id="141"/>
      <w:bookmarkEnd w:id="142"/>
      <w:bookmarkEnd w:id="143"/>
      <w:bookmarkEnd w:id="144"/>
      <w:bookmarkEnd w:id="145"/>
    </w:p>
    <w:p w14:paraId="4E2F4FCB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Future enhancements include:</w:t>
      </w:r>
    </w:p>
    <w:p w14:paraId="44941963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13015876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Physical ESP32 deployment</w:t>
      </w:r>
    </w:p>
    <w:p w14:paraId="6D4F24C6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Multiple campus zones</w:t>
      </w:r>
    </w:p>
    <w:p w14:paraId="60ED3502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MQTT communication</w:t>
      </w:r>
    </w:p>
    <w:p w14:paraId="461AE374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LoRa connectivity</w:t>
      </w:r>
    </w:p>
    <w:p w14:paraId="26E9EF56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SMS and Email alerts</w:t>
      </w:r>
    </w:p>
    <w:p w14:paraId="55065EEE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AI-based anomaly detection</w:t>
      </w:r>
    </w:p>
    <w:p w14:paraId="34A4A3BC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Mobile application</w:t>
      </w:r>
    </w:p>
    <w:p w14:paraId="5BA57C71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Cloud deployment</w:t>
      </w:r>
    </w:p>
    <w:p w14:paraId="2AA25B4D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7ACFD27">
      <w:pPr>
        <w:pStyle w:val="2"/>
        <w:bidi w:val="0"/>
        <w:rPr>
          <w:rFonts w:hint="eastAsia"/>
        </w:rPr>
      </w:pPr>
      <w:bookmarkStart w:id="146" w:name="_Toc5868"/>
      <w:bookmarkStart w:id="147" w:name="_Toc7804"/>
      <w:bookmarkStart w:id="148" w:name="_Toc24342"/>
      <w:bookmarkStart w:id="149" w:name="_Toc17069"/>
      <w:bookmarkStart w:id="150" w:name="_Toc13988"/>
      <w:bookmarkStart w:id="151" w:name="_Toc2937"/>
      <w:r>
        <w:rPr>
          <w:rFonts w:hint="eastAsia"/>
        </w:rPr>
        <w:t>Conclusion</w:t>
      </w:r>
      <w:bookmarkEnd w:id="146"/>
      <w:bookmarkEnd w:id="147"/>
      <w:bookmarkEnd w:id="148"/>
      <w:bookmarkEnd w:id="149"/>
      <w:bookmarkEnd w:id="150"/>
      <w:bookmarkEnd w:id="151"/>
    </w:p>
    <w:p w14:paraId="4681B29A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Smart Campus Safety &amp; Response Grid successfully demonstrates an end-to-end IoT safety monitoring platform.</w:t>
      </w:r>
    </w:p>
    <w:p w14:paraId="23E416D5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25537C4E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system integrates ESP32 simulation, FastAPI, PostgreSQL, a weighted Risk Fusion Engine, and a React dashboard into a unified architecture capable of real-time environmental monitoring and intelligent risk assessment.</w:t>
      </w:r>
    </w:p>
    <w:p w14:paraId="14186DB9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26E5DE83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The modular design allows straightforward migration from simulation to real hardware, making the proposed solution suitable for future smart campus deployments.</w:t>
      </w:r>
    </w:p>
    <w:p w14:paraId="43D299EA">
      <w:pPr>
        <w:spacing w:line="360" w:lineRule="auto"/>
        <w:jc w:val="left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717FED1E">
      <w:pPr>
        <w:pStyle w:val="2"/>
        <w:bidi w:val="0"/>
        <w:rPr>
          <w:rFonts w:hint="default"/>
          <w:lang w:val="en-US"/>
        </w:rPr>
      </w:pPr>
      <w:bookmarkStart w:id="152" w:name="_Toc5704"/>
      <w:bookmarkStart w:id="153" w:name="_Toc5777"/>
      <w:bookmarkStart w:id="154" w:name="_Toc4832"/>
      <w:r>
        <w:t>References</w:t>
      </w:r>
      <w:bookmarkEnd w:id="152"/>
      <w:bookmarkEnd w:id="153"/>
      <w:bookmarkEnd w:id="154"/>
    </w:p>
    <w:p w14:paraId="6653B4FB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FastAPI Documentation</w:t>
      </w:r>
    </w:p>
    <w:p w14:paraId="43697DD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"https://fastapi.tiangolo.com/"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https://fastapi.tiangolo.com/</w:t>
      </w:r>
      <w:r>
        <w:rPr>
          <w:rFonts w:hint="default"/>
          <w:lang w:val="en-US"/>
        </w:rPr>
        <w:fldChar w:fldCharType="end"/>
      </w:r>
    </w:p>
    <w:p w14:paraId="2301DB23">
      <w:pPr>
        <w:rPr>
          <w:rFonts w:hint="default"/>
          <w:lang w:val="en-US"/>
        </w:rPr>
      </w:pPr>
    </w:p>
    <w:p w14:paraId="7E54E8FC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React Documentation</w:t>
      </w:r>
    </w:p>
    <w:p w14:paraId="552B36F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"https://react.dev/"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https://react.dev/</w:t>
      </w:r>
      <w:r>
        <w:rPr>
          <w:rFonts w:hint="default"/>
          <w:lang w:val="en-US"/>
        </w:rPr>
        <w:fldChar w:fldCharType="end"/>
      </w:r>
    </w:p>
    <w:p w14:paraId="47683693">
      <w:pPr>
        <w:rPr>
          <w:rFonts w:hint="default"/>
          <w:lang w:val="en-US"/>
        </w:rPr>
      </w:pPr>
    </w:p>
    <w:p w14:paraId="1590E4DD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PostgreSQL Documentation</w:t>
      </w:r>
    </w:p>
    <w:p w14:paraId="4DAF463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"https://www.postgresql.org/docs/"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https://www.postgresql.org/docs/</w:t>
      </w:r>
      <w:r>
        <w:rPr>
          <w:rFonts w:hint="default"/>
          <w:lang w:val="en-US"/>
        </w:rPr>
        <w:fldChar w:fldCharType="end"/>
      </w:r>
    </w:p>
    <w:p w14:paraId="45192DB5">
      <w:pPr>
        <w:rPr>
          <w:rFonts w:hint="default"/>
          <w:lang w:val="en-US"/>
        </w:rPr>
      </w:pPr>
    </w:p>
    <w:p w14:paraId="0FD3BA48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SQLAlchemy Documentation</w:t>
      </w:r>
    </w:p>
    <w:p w14:paraId="58489DE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"https://docs.sqlalchemy.org/"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https://docs.sqlalchemy.org/</w:t>
      </w:r>
      <w:r>
        <w:rPr>
          <w:rFonts w:hint="default"/>
          <w:lang w:val="en-US"/>
        </w:rPr>
        <w:fldChar w:fldCharType="end"/>
      </w:r>
    </w:p>
    <w:p w14:paraId="2B621129">
      <w:pPr>
        <w:rPr>
          <w:rFonts w:hint="default"/>
          <w:lang w:val="en-US"/>
        </w:rPr>
      </w:pPr>
    </w:p>
    <w:p w14:paraId="0E9D0DE9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Wokwi Documentation</w:t>
      </w:r>
    </w:p>
    <w:p w14:paraId="61BD173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"https://docs.wokwi.com/"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https://docs.wokwi.com/</w:t>
      </w:r>
      <w:r>
        <w:rPr>
          <w:rFonts w:hint="default"/>
          <w:lang w:val="en-US"/>
        </w:rPr>
        <w:fldChar w:fldCharType="end"/>
      </w:r>
    </w:p>
    <w:p w14:paraId="482A4C53">
      <w:pPr>
        <w:rPr>
          <w:rFonts w:hint="default"/>
          <w:lang w:val="en-US"/>
        </w:rPr>
      </w:pPr>
    </w:p>
    <w:p w14:paraId="2A5CFCA4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Cloudflare Tunnel Documentation</w:t>
      </w:r>
    </w:p>
    <w:p w14:paraId="733E9E6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"https://developers.cloudflare.com/cloudflare-one/connections/connect-networks/"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https://developers.cloudflare.com/cloudflare-one/connections/connect-networks/</w:t>
      </w:r>
      <w:r>
        <w:rPr>
          <w:rFonts w:hint="default"/>
          <w:lang w:val="en-US"/>
        </w:rPr>
        <w:fldChar w:fldCharType="end"/>
      </w:r>
    </w:p>
    <w:p w14:paraId="48F10789">
      <w:pPr>
        <w:rPr>
          <w:rFonts w:hint="default"/>
          <w:lang w:val="en-US"/>
        </w:rPr>
      </w:pPr>
    </w:p>
    <w:p w14:paraId="27732A00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ESP32 Technical Reference Manual</w:t>
      </w:r>
    </w:p>
    <w:p w14:paraId="0F503E2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"https://www.espressif.com/en/support/documents/technical-documents"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https://www.espressif.com/en/support/documents/technical-documents</w:t>
      </w:r>
      <w:r>
        <w:rPr>
          <w:rFonts w:hint="default"/>
          <w:lang w:val="en-US"/>
        </w:rPr>
        <w:fldChar w:fldCharType="end"/>
      </w:r>
    </w:p>
    <w:p w14:paraId="66B54491">
      <w:pPr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54A2E87-B258-422F-A736-A74BA345518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6F9B5B70-F1D4-47D4-870F-1D89F9FA528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AF7ECA49-859B-48D9-A982-0E882272AFD6}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Sans Bold">
    <w:panose1 w:val="00000800000000000000"/>
    <w:charset w:val="86"/>
    <w:family w:val="auto"/>
    <w:pitch w:val="default"/>
    <w:sig w:usb0="00000001" w:usb1="0A0F1810" w:usb2="00000016" w:usb3="00000000" w:csb0="00040001" w:csb1="00000000"/>
    <w:embedRegular r:id="rId4" w:fontKey="{4533DD40-154F-4A81-B75F-F00F67F93C0E}"/>
  </w:font>
  <w:font w:name="Active Bold">
    <w:panose1 w:val="00000000000000000000"/>
    <w:charset w:val="00"/>
    <w:family w:val="auto"/>
    <w:pitch w:val="default"/>
    <w:sig w:usb0="800000AF" w:usb1="1000204A" w:usb2="00000000" w:usb3="00000000" w:csb0="20000193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5" w:fontKey="{D489C2A9-5F3B-47A8-8A21-406246CF8012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B999A">
    <w:pPr>
      <w:pStyle w:val="7"/>
    </w:pPr>
    <w:r>
      <w:rPr>
        <w:rFonts w:hint="default"/>
      </w:rPr>
      <w:t>GenZ Ignite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2A069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jxlmv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CY8ZZr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2A069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1829A">
    <w:pPr>
      <w:pStyle w:val="8"/>
      <w:rPr>
        <w:color w:val="auto"/>
      </w:rPr>
    </w:pPr>
    <w:r>
      <w:rPr>
        <w:rFonts w:hint="default"/>
        <w:color w:val="auto"/>
      </w:rPr>
      <w:t>RoboFusion</w:t>
    </w:r>
    <w:r>
      <w:rPr>
        <w:rFonts w:hint="default"/>
        <w:color w:val="auto"/>
        <w:lang w:val="en-US"/>
      </w:rPr>
      <w:t xml:space="preserve">1.0 </w:t>
    </w:r>
    <w:r>
      <w:rPr>
        <w:rFonts w:hint="default"/>
        <w:color w:val="auto"/>
      </w:rPr>
      <w:t>Techathon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938E4"/>
    <w:multiLevelType w:val="singleLevel"/>
    <w:tmpl w:val="8FE938E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E015D95"/>
    <w:multiLevelType w:val="singleLevel"/>
    <w:tmpl w:val="DE015D9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5388610"/>
    <w:multiLevelType w:val="singleLevel"/>
    <w:tmpl w:val="0538861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6D9AA30"/>
    <w:multiLevelType w:val="singleLevel"/>
    <w:tmpl w:val="16D9AA3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A77CD12"/>
    <w:multiLevelType w:val="singleLevel"/>
    <w:tmpl w:val="1A77CD1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9CA956C"/>
    <w:multiLevelType w:val="singleLevel"/>
    <w:tmpl w:val="69CA956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TrueTypeFonts/>
  <w:saveSubset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14805"/>
    <w:rsid w:val="0B6B1D48"/>
    <w:rsid w:val="13C80904"/>
    <w:rsid w:val="15D55160"/>
    <w:rsid w:val="20714805"/>
    <w:rsid w:val="2950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oc 1"/>
    <w:basedOn w:val="1"/>
    <w:next w:val="1"/>
    <w:uiPriority w:val="0"/>
  </w:style>
  <w:style w:type="paragraph" w:styleId="14">
    <w:name w:val="toc 2"/>
    <w:basedOn w:val="1"/>
    <w:next w:val="1"/>
    <w:uiPriority w:val="0"/>
    <w:pPr>
      <w:ind w:left="420" w:leftChars="200"/>
    </w:pPr>
  </w:style>
  <w:style w:type="paragraph" w:styleId="15">
    <w:name w:val="toc 3"/>
    <w:basedOn w:val="1"/>
    <w:next w:val="1"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1439</Words>
  <Characters>8317</Characters>
  <Lines>0</Lines>
  <Paragraphs>0</Paragraphs>
  <TotalTime>16</TotalTime>
  <ScaleCrop>false</ScaleCrop>
  <LinksUpToDate>false</LinksUpToDate>
  <CharactersWithSpaces>9702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2026-07-26T08:07:00Z</dcterms:created>
  <dc:creator>Esat Jahan Akhi</dc:creator>
  <cp:lastModifiedBy>Esat Jahan Akhi</cp:lastModifiedBy>
  <dcterms:modified xsi:type="dcterms:W3CDTF">2026-07-26T11:24:15Z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693AC3F9BE2C40A19E76C71ED0EDCD8F_13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