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8B1B6">
      <w:pPr>
        <w:pBdr>
          <w:bottom w:val="double" w:color="1F3864" w:sz="6" w:space="0"/>
        </w:pBdr>
        <w:spacing w:before="0" w:after="0"/>
      </w:pPr>
    </w:p>
    <w:p w14:paraId="051E3874">
      <w:pPr>
        <w:spacing w:before="500" w:after="4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007110" cy="969010"/>
            <wp:effectExtent l="0" t="0" r="2540"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1007110" cy="969010"/>
                    </a:xfrm>
                    <a:prstGeom prst="rect">
                      <a:avLst/>
                    </a:prstGeom>
                    <a:noFill/>
                    <a:ln w="9525">
                      <a:noFill/>
                    </a:ln>
                  </pic:spPr>
                </pic:pic>
              </a:graphicData>
            </a:graphic>
          </wp:inline>
        </w:drawing>
      </w:r>
    </w:p>
    <w:p w14:paraId="085E31DA">
      <w:pPr>
        <w:spacing w:before="500" w:after="40"/>
        <w:jc w:val="center"/>
      </w:pPr>
      <w:r>
        <w:rPr>
          <w:rFonts w:ascii="Cambria" w:hAnsi="Cambria" w:eastAsia="Cambria" w:cs="Cambria"/>
          <w:b/>
          <w:bCs/>
          <w:color w:val="1A1A1A"/>
          <w:sz w:val="32"/>
          <w:szCs w:val="32"/>
        </w:rPr>
        <w:t>University of Frontier Technology, Bangladesh</w:t>
      </w:r>
    </w:p>
    <w:p w14:paraId="4AD5D285">
      <w:pPr>
        <w:spacing w:after="500"/>
        <w:jc w:val="center"/>
      </w:pPr>
      <w:r>
        <w:rPr>
          <w:rFonts w:ascii="Calibri" w:hAnsi="Calibri" w:eastAsia="Calibri" w:cs="Calibri"/>
          <w:b/>
          <w:bCs/>
          <w:color w:val="2E74B5"/>
          <w:sz w:val="24"/>
          <w:szCs w:val="24"/>
        </w:rPr>
        <w:t>Department of Internet of Things and Robotics Engineering</w:t>
      </w:r>
    </w:p>
    <w:p w14:paraId="59B1F71E">
      <w:pPr>
        <w:pBdr>
          <w:bottom w:val="double" w:color="1F3864" w:sz="6" w:space="0"/>
        </w:pBdr>
        <w:spacing w:before="0" w:after="0"/>
      </w:pPr>
    </w:p>
    <w:tbl>
      <w:tblPr>
        <w:tblStyle w:val="9"/>
        <w:tblW w:w="68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000"/>
        <w:gridCol w:w="3800"/>
      </w:tblGrid>
      <w:tr w14:paraId="464D6E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jc w:val="center"/>
        </w:trPr>
        <w:tc>
          <w:tcPr>
            <w:tcW w:w="3000" w:type="dxa"/>
            <w:shd w:val="clear" w:color="auto" w:fill="DEEAF6"/>
            <w:tcMar>
              <w:top w:w="120" w:type="dxa"/>
              <w:left w:w="150" w:type="dxa"/>
              <w:bottom w:w="120" w:type="dxa"/>
              <w:right w:w="150" w:type="dxa"/>
            </w:tcMar>
          </w:tcPr>
          <w:p w14:paraId="68A3E112">
            <w:r>
              <w:rPr>
                <w:rFonts w:ascii="Calibri" w:hAnsi="Calibri" w:eastAsia="Calibri" w:cs="Calibri"/>
                <w:b/>
                <w:bCs/>
              </w:rPr>
              <w:t>Course Code</w:t>
            </w:r>
          </w:p>
        </w:tc>
        <w:tc>
          <w:tcPr>
            <w:tcW w:w="3800" w:type="dxa"/>
            <w:tcMar>
              <w:top w:w="120" w:type="dxa"/>
              <w:left w:w="150" w:type="dxa"/>
              <w:bottom w:w="120" w:type="dxa"/>
              <w:right w:w="150" w:type="dxa"/>
            </w:tcMar>
          </w:tcPr>
          <w:p w14:paraId="7A18F40A">
            <w:pPr>
              <w:jc w:val="center"/>
            </w:pPr>
            <w:r>
              <w:rPr>
                <w:rFonts w:ascii="Calibri" w:hAnsi="Calibri" w:eastAsia="Calibri" w:cs="Calibri"/>
                <w:b/>
                <w:bCs/>
              </w:rPr>
              <w:t>CC 483</w:t>
            </w:r>
          </w:p>
        </w:tc>
      </w:tr>
      <w:tr w14:paraId="24A7C99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jc w:val="center"/>
        </w:trPr>
        <w:tc>
          <w:tcPr>
            <w:tcW w:w="3000" w:type="dxa"/>
            <w:shd w:val="clear" w:color="auto" w:fill="DEEAF6"/>
            <w:tcMar>
              <w:top w:w="120" w:type="dxa"/>
              <w:left w:w="150" w:type="dxa"/>
              <w:bottom w:w="120" w:type="dxa"/>
              <w:right w:w="150" w:type="dxa"/>
            </w:tcMar>
          </w:tcPr>
          <w:p w14:paraId="509C9B33">
            <w:r>
              <w:rPr>
                <w:rFonts w:ascii="Calibri" w:hAnsi="Calibri" w:eastAsia="Calibri" w:cs="Calibri"/>
                <w:b/>
                <w:bCs/>
              </w:rPr>
              <w:t>Course Title</w:t>
            </w:r>
          </w:p>
        </w:tc>
        <w:tc>
          <w:tcPr>
            <w:tcW w:w="3800" w:type="dxa"/>
            <w:tcMar>
              <w:top w:w="120" w:type="dxa"/>
              <w:left w:w="150" w:type="dxa"/>
              <w:bottom w:w="120" w:type="dxa"/>
              <w:right w:w="150" w:type="dxa"/>
            </w:tcMar>
          </w:tcPr>
          <w:p w14:paraId="10A0118F">
            <w:pPr>
              <w:jc w:val="center"/>
            </w:pPr>
            <w:r>
              <w:rPr>
                <w:rFonts w:ascii="Calibri" w:hAnsi="Calibri" w:eastAsia="Calibri" w:cs="Calibri"/>
                <w:b/>
                <w:bCs/>
              </w:rPr>
              <w:t>Cloud Computing</w:t>
            </w:r>
          </w:p>
        </w:tc>
      </w:tr>
    </w:tbl>
    <w:p w14:paraId="5E1B3B82">
      <w:pPr>
        <w:spacing w:before="500"/>
      </w:pPr>
    </w:p>
    <w:tbl>
      <w:tblPr>
        <w:tblStyle w:val="9"/>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0"/>
      </w:tblGrid>
      <w:tr w14:paraId="562F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0" w:type="dxa"/>
            <w:shd w:val="clear" w:color="auto" w:fill="1F3864"/>
            <w:tcMar>
              <w:top w:w="160" w:type="dxa"/>
              <w:left w:w="200" w:type="dxa"/>
              <w:bottom w:w="100" w:type="dxa"/>
              <w:right w:w="200" w:type="dxa"/>
            </w:tcMar>
          </w:tcPr>
          <w:p w14:paraId="3AFEA058">
            <w:pPr>
              <w:jc w:val="center"/>
              <w:rPr>
                <w:rFonts w:hint="default"/>
                <w:lang w:val="en-US"/>
              </w:rPr>
            </w:pPr>
            <w:r>
              <w:rPr>
                <w:rFonts w:ascii="Calibri" w:hAnsi="Calibri" w:eastAsia="Calibri" w:cs="Calibri"/>
                <w:b/>
                <w:bCs/>
                <w:color w:val="FFFFFF"/>
                <w:sz w:val="34"/>
                <w:szCs w:val="34"/>
              </w:rPr>
              <w:t>LAB REPORT</w:t>
            </w:r>
            <w:r>
              <w:rPr>
                <w:rFonts w:hint="default" w:ascii="Calibri" w:hAnsi="Calibri" w:eastAsia="Calibri" w:cs="Calibri"/>
                <w:b/>
                <w:bCs/>
                <w:color w:val="FFFFFF"/>
                <w:sz w:val="34"/>
                <w:szCs w:val="34"/>
                <w:lang w:val="en-US"/>
              </w:rPr>
              <w:t>-11 Solution</w:t>
            </w:r>
            <w:bookmarkStart w:id="0" w:name="_GoBack"/>
            <w:bookmarkEnd w:id="0"/>
          </w:p>
        </w:tc>
      </w:tr>
      <w:tr w14:paraId="5A89A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000" w:type="dxa"/>
            <w:shd w:val="clear" w:color="auto" w:fill="2E74B5"/>
            <w:tcMar>
              <w:top w:w="140" w:type="dxa"/>
              <w:left w:w="200" w:type="dxa"/>
              <w:bottom w:w="160" w:type="dxa"/>
              <w:right w:w="200" w:type="dxa"/>
            </w:tcMar>
          </w:tcPr>
          <w:p w14:paraId="04CB1BF1">
            <w:pPr>
              <w:spacing w:after="60"/>
              <w:jc w:val="center"/>
            </w:pPr>
            <w:r>
              <w:rPr>
                <w:rFonts w:ascii="Calibri" w:hAnsi="Calibri" w:eastAsia="Calibri" w:cs="Calibri"/>
                <w:b/>
                <w:bCs/>
                <w:color w:val="FFFFFF"/>
                <w:sz w:val="26"/>
                <w:szCs w:val="26"/>
              </w:rPr>
              <w:t>AZ-104: Implementing Data Protection</w:t>
            </w:r>
          </w:p>
          <w:p w14:paraId="3F349B04">
            <w:pPr>
              <w:jc w:val="center"/>
            </w:pPr>
            <w:r>
              <w:rPr>
                <w:rFonts w:ascii="Calibri" w:hAnsi="Calibri" w:eastAsia="Calibri" w:cs="Calibri"/>
                <w:i/>
                <w:iCs/>
                <w:color w:val="F2F2F2"/>
                <w:sz w:val="20"/>
                <w:szCs w:val="20"/>
              </w:rPr>
              <w:t>Azure Backup &amp; Site Recovery — IaaS Virtual Machine Protection</w:t>
            </w:r>
          </w:p>
        </w:tc>
      </w:tr>
    </w:tbl>
    <w:p w14:paraId="2E3626E8">
      <w:pPr>
        <w:pBdr>
          <w:bottom w:val="single" w:color="1F3864" w:sz="6" w:space="0"/>
        </w:pBdr>
        <w:spacing w:before="500" w:after="60"/>
        <w:jc w:val="center"/>
      </w:pPr>
      <w:r>
        <w:rPr>
          <w:rFonts w:ascii="Calibri" w:hAnsi="Calibri" w:eastAsia="Calibri" w:cs="Calibri"/>
          <w:b/>
          <w:bCs/>
          <w:color w:val="1F3864"/>
          <w:sz w:val="24"/>
          <w:szCs w:val="24"/>
          <w:u w:val="single"/>
        </w:rPr>
        <w:t>Submitted To</w:t>
      </w:r>
    </w:p>
    <w:p w14:paraId="48F44CE5">
      <w:pPr>
        <w:spacing w:before="160" w:after="40"/>
        <w:jc w:val="center"/>
      </w:pPr>
      <w:r>
        <w:rPr>
          <w:rFonts w:ascii="Calibri" w:hAnsi="Calibri" w:eastAsia="Calibri" w:cs="Calibri"/>
          <w:b/>
          <w:bCs/>
          <w:sz w:val="22"/>
          <w:szCs w:val="22"/>
        </w:rPr>
        <w:t>Farzana Akter</w:t>
      </w:r>
    </w:p>
    <w:p w14:paraId="462E76D6">
      <w:pPr>
        <w:spacing w:after="20"/>
        <w:jc w:val="center"/>
      </w:pPr>
      <w:r>
        <w:rPr>
          <w:rFonts w:ascii="Calibri" w:hAnsi="Calibri" w:eastAsia="Calibri" w:cs="Calibri"/>
        </w:rPr>
        <w:t>Assistant Professor</w:t>
      </w:r>
    </w:p>
    <w:p w14:paraId="3FD404E5">
      <w:pPr>
        <w:spacing w:after="20"/>
        <w:jc w:val="center"/>
      </w:pPr>
      <w:r>
        <w:rPr>
          <w:rFonts w:ascii="Calibri" w:hAnsi="Calibri" w:eastAsia="Calibri" w:cs="Calibri"/>
        </w:rPr>
        <w:t>Department of Internet of Things and Robotics Engineering</w:t>
      </w:r>
    </w:p>
    <w:p w14:paraId="2511E4CC">
      <w:pPr>
        <w:spacing w:after="300"/>
        <w:jc w:val="center"/>
      </w:pPr>
      <w:r>
        <w:rPr>
          <w:rFonts w:ascii="Calibri" w:hAnsi="Calibri" w:eastAsia="Calibri" w:cs="Calibri"/>
        </w:rPr>
        <w:t>University of Frontier Technology, Bangladesh</w:t>
      </w:r>
    </w:p>
    <w:p w14:paraId="52447583">
      <w:pPr>
        <w:pBdr>
          <w:bottom w:val="single" w:color="1F3864" w:sz="6" w:space="0"/>
        </w:pBdr>
        <w:spacing w:before="200" w:after="200"/>
        <w:jc w:val="center"/>
      </w:pPr>
      <w:r>
        <w:rPr>
          <w:rFonts w:ascii="Calibri" w:hAnsi="Calibri" w:eastAsia="Calibri" w:cs="Calibri"/>
          <w:b/>
          <w:bCs/>
          <w:color w:val="1F3864"/>
          <w:sz w:val="24"/>
          <w:szCs w:val="24"/>
          <w:u w:val="single"/>
        </w:rPr>
        <w:t>Submitted By</w:t>
      </w:r>
    </w:p>
    <w:tbl>
      <w:tblPr>
        <w:tblStyle w:val="9"/>
        <w:tblW w:w="86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200"/>
        <w:gridCol w:w="2000"/>
        <w:gridCol w:w="3600"/>
        <w:gridCol w:w="1800"/>
      </w:tblGrid>
      <w:tr w14:paraId="367351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jc w:val="center"/>
        </w:trPr>
        <w:tc>
          <w:tcPr>
            <w:tcW w:w="1200" w:type="dxa"/>
            <w:shd w:val="clear" w:color="auto" w:fill="1F3864"/>
            <w:tcMar>
              <w:top w:w="100" w:type="dxa"/>
              <w:left w:w="100" w:type="dxa"/>
              <w:bottom w:w="100" w:type="dxa"/>
              <w:right w:w="100" w:type="dxa"/>
            </w:tcMar>
          </w:tcPr>
          <w:p w14:paraId="7B309FDE">
            <w:pPr>
              <w:jc w:val="center"/>
            </w:pPr>
            <w:r>
              <w:rPr>
                <w:rFonts w:ascii="Calibri" w:hAnsi="Calibri" w:eastAsia="Calibri" w:cs="Calibri"/>
                <w:b/>
                <w:bCs/>
                <w:color w:val="FFFFFF"/>
              </w:rPr>
              <w:t>SI</w:t>
            </w:r>
          </w:p>
        </w:tc>
        <w:tc>
          <w:tcPr>
            <w:tcW w:w="2000" w:type="dxa"/>
            <w:shd w:val="clear" w:color="auto" w:fill="1F3864"/>
            <w:tcMar>
              <w:top w:w="100" w:type="dxa"/>
              <w:left w:w="100" w:type="dxa"/>
              <w:bottom w:w="100" w:type="dxa"/>
              <w:right w:w="100" w:type="dxa"/>
            </w:tcMar>
          </w:tcPr>
          <w:p w14:paraId="4B8D9772">
            <w:pPr>
              <w:jc w:val="center"/>
            </w:pPr>
            <w:r>
              <w:rPr>
                <w:rFonts w:ascii="Calibri" w:hAnsi="Calibri" w:eastAsia="Calibri" w:cs="Calibri"/>
                <w:b/>
                <w:bCs/>
                <w:color w:val="FFFFFF"/>
              </w:rPr>
              <w:t>Class Roll</w:t>
            </w:r>
          </w:p>
        </w:tc>
        <w:tc>
          <w:tcPr>
            <w:tcW w:w="3600" w:type="dxa"/>
            <w:shd w:val="clear" w:color="auto" w:fill="1F3864"/>
            <w:tcMar>
              <w:top w:w="100" w:type="dxa"/>
              <w:left w:w="100" w:type="dxa"/>
              <w:bottom w:w="100" w:type="dxa"/>
              <w:right w:w="100" w:type="dxa"/>
            </w:tcMar>
          </w:tcPr>
          <w:p w14:paraId="070F3D85">
            <w:pPr>
              <w:jc w:val="center"/>
            </w:pPr>
            <w:r>
              <w:rPr>
                <w:rFonts w:ascii="Calibri" w:hAnsi="Calibri" w:eastAsia="Calibri" w:cs="Calibri"/>
                <w:b/>
                <w:bCs/>
                <w:color w:val="FFFFFF"/>
              </w:rPr>
              <w:t>Name</w:t>
            </w:r>
          </w:p>
        </w:tc>
        <w:tc>
          <w:tcPr>
            <w:tcW w:w="1800" w:type="dxa"/>
            <w:shd w:val="clear" w:color="auto" w:fill="1F3864"/>
            <w:tcMar>
              <w:top w:w="100" w:type="dxa"/>
              <w:left w:w="100" w:type="dxa"/>
              <w:bottom w:w="100" w:type="dxa"/>
              <w:right w:w="100" w:type="dxa"/>
            </w:tcMar>
          </w:tcPr>
          <w:p w14:paraId="6673E122">
            <w:pPr>
              <w:jc w:val="center"/>
            </w:pPr>
            <w:r>
              <w:rPr>
                <w:rFonts w:ascii="Calibri" w:hAnsi="Calibri" w:eastAsia="Calibri" w:cs="Calibri"/>
                <w:b/>
                <w:bCs/>
                <w:color w:val="FFFFFF"/>
              </w:rPr>
              <w:t>Session</w:t>
            </w:r>
          </w:p>
        </w:tc>
      </w:tr>
      <w:tr w14:paraId="0EB27A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jc w:val="center"/>
        </w:trPr>
        <w:tc>
          <w:tcPr>
            <w:tcW w:w="1200" w:type="dxa"/>
            <w:shd w:val="clear" w:color="auto" w:fill="EAF1FB"/>
            <w:tcMar>
              <w:top w:w="100" w:type="dxa"/>
              <w:left w:w="100" w:type="dxa"/>
              <w:bottom w:w="100" w:type="dxa"/>
              <w:right w:w="100" w:type="dxa"/>
            </w:tcMar>
          </w:tcPr>
          <w:p w14:paraId="7DAADCED">
            <w:pPr>
              <w:jc w:val="center"/>
            </w:pPr>
            <w:r>
              <w:rPr>
                <w:rFonts w:ascii="Calibri" w:hAnsi="Calibri" w:eastAsia="Calibri" w:cs="Calibri"/>
              </w:rPr>
              <w:t>01</w:t>
            </w:r>
          </w:p>
        </w:tc>
        <w:tc>
          <w:tcPr>
            <w:tcW w:w="2000" w:type="dxa"/>
            <w:tcMar>
              <w:top w:w="100" w:type="dxa"/>
              <w:left w:w="100" w:type="dxa"/>
              <w:bottom w:w="100" w:type="dxa"/>
              <w:right w:w="100" w:type="dxa"/>
            </w:tcMar>
          </w:tcPr>
          <w:p w14:paraId="230D38FC">
            <w:pPr>
              <w:jc w:val="center"/>
            </w:pPr>
            <w:r>
              <w:rPr>
                <w:rFonts w:ascii="Calibri" w:hAnsi="Calibri" w:eastAsia="Calibri" w:cs="Calibri"/>
              </w:rPr>
              <w:t>2201022</w:t>
            </w:r>
          </w:p>
        </w:tc>
        <w:tc>
          <w:tcPr>
            <w:tcW w:w="3600" w:type="dxa"/>
            <w:tcMar>
              <w:top w:w="100" w:type="dxa"/>
              <w:left w:w="100" w:type="dxa"/>
              <w:bottom w:w="100" w:type="dxa"/>
              <w:right w:w="100" w:type="dxa"/>
            </w:tcMar>
          </w:tcPr>
          <w:p w14:paraId="5F07263A">
            <w:pPr>
              <w:jc w:val="center"/>
            </w:pPr>
            <w:r>
              <w:rPr>
                <w:rFonts w:ascii="Calibri" w:hAnsi="Calibri" w:eastAsia="Calibri" w:cs="Calibri"/>
              </w:rPr>
              <w:t>Mst. Esat Jahan Akhi</w:t>
            </w:r>
          </w:p>
        </w:tc>
        <w:tc>
          <w:tcPr>
            <w:tcW w:w="1800" w:type="dxa"/>
            <w:tcMar>
              <w:top w:w="100" w:type="dxa"/>
              <w:left w:w="100" w:type="dxa"/>
              <w:bottom w:w="100" w:type="dxa"/>
              <w:right w:w="100" w:type="dxa"/>
            </w:tcMar>
          </w:tcPr>
          <w:p w14:paraId="597CEEBE">
            <w:pPr>
              <w:jc w:val="center"/>
            </w:pPr>
            <w:r>
              <w:rPr>
                <w:rFonts w:ascii="Calibri" w:hAnsi="Calibri" w:eastAsia="Calibri" w:cs="Calibri"/>
              </w:rPr>
              <w:t>2022-2023</w:t>
            </w:r>
          </w:p>
        </w:tc>
      </w:tr>
      <w:tr w14:paraId="208C91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jc w:val="center"/>
        </w:trPr>
        <w:tc>
          <w:tcPr>
            <w:tcW w:w="1200" w:type="dxa"/>
            <w:shd w:val="clear" w:color="auto" w:fill="EAF1FB"/>
            <w:tcMar>
              <w:top w:w="100" w:type="dxa"/>
              <w:left w:w="100" w:type="dxa"/>
              <w:bottom w:w="100" w:type="dxa"/>
              <w:right w:w="100" w:type="dxa"/>
            </w:tcMar>
          </w:tcPr>
          <w:p w14:paraId="6820CAEF">
            <w:pPr>
              <w:jc w:val="center"/>
              <w:rPr>
                <w:rFonts w:hint="default" w:ascii="Calibri" w:hAnsi="Calibri" w:eastAsia="Calibri" w:cs="Calibri"/>
                <w:lang w:val="en-US"/>
              </w:rPr>
            </w:pPr>
            <w:r>
              <w:rPr>
                <w:rFonts w:hint="default" w:ascii="Calibri" w:hAnsi="Calibri" w:eastAsia="Calibri" w:cs="Calibri"/>
                <w:lang w:val="en-US"/>
              </w:rPr>
              <w:t>02</w:t>
            </w:r>
          </w:p>
        </w:tc>
        <w:tc>
          <w:tcPr>
            <w:tcW w:w="2000" w:type="dxa"/>
            <w:tcMar>
              <w:top w:w="100" w:type="dxa"/>
              <w:left w:w="100" w:type="dxa"/>
              <w:bottom w:w="100" w:type="dxa"/>
              <w:right w:w="100" w:type="dxa"/>
            </w:tcMar>
          </w:tcPr>
          <w:p w14:paraId="06075EB7">
            <w:pPr>
              <w:jc w:val="center"/>
              <w:rPr>
                <w:rFonts w:hint="default" w:ascii="Calibri" w:hAnsi="Calibri" w:eastAsia="Calibri" w:cs="Calibri"/>
                <w:lang w:val="en-US"/>
              </w:rPr>
            </w:pPr>
            <w:r>
              <w:rPr>
                <w:rFonts w:hint="default" w:ascii="Calibri" w:hAnsi="Calibri" w:eastAsia="Calibri" w:cs="Calibri"/>
                <w:lang w:val="en-US"/>
              </w:rPr>
              <w:t>2201021</w:t>
            </w:r>
          </w:p>
        </w:tc>
        <w:tc>
          <w:tcPr>
            <w:tcW w:w="3600" w:type="dxa"/>
            <w:tcMar>
              <w:top w:w="100" w:type="dxa"/>
              <w:left w:w="100" w:type="dxa"/>
              <w:bottom w:w="100" w:type="dxa"/>
              <w:right w:w="100" w:type="dxa"/>
            </w:tcMar>
          </w:tcPr>
          <w:p w14:paraId="50633297">
            <w:pPr>
              <w:jc w:val="center"/>
              <w:rPr>
                <w:rFonts w:hint="default" w:ascii="Calibri" w:hAnsi="Calibri" w:eastAsia="Calibri" w:cs="Calibri"/>
                <w:lang w:val="en-US"/>
              </w:rPr>
            </w:pPr>
            <w:r>
              <w:rPr>
                <w:rFonts w:hint="default" w:ascii="Calibri" w:hAnsi="Calibri" w:eastAsia="Calibri" w:cs="Calibri"/>
                <w:lang w:val="en-US"/>
              </w:rPr>
              <w:t>Most.Sukria Akter</w:t>
            </w:r>
          </w:p>
        </w:tc>
        <w:tc>
          <w:tcPr>
            <w:tcW w:w="1800" w:type="dxa"/>
            <w:tcMar>
              <w:top w:w="100" w:type="dxa"/>
              <w:left w:w="100" w:type="dxa"/>
              <w:bottom w:w="100" w:type="dxa"/>
              <w:right w:w="100" w:type="dxa"/>
            </w:tcMar>
          </w:tcPr>
          <w:p w14:paraId="2168C9BF">
            <w:pPr>
              <w:jc w:val="center"/>
              <w:rPr>
                <w:rFonts w:hint="default" w:ascii="Calibri" w:hAnsi="Calibri" w:eastAsia="Calibri" w:cs="Calibri"/>
                <w:lang w:val="en-US"/>
              </w:rPr>
            </w:pPr>
            <w:r>
              <w:rPr>
                <w:rFonts w:hint="default" w:ascii="Calibri" w:hAnsi="Calibri" w:eastAsia="Calibri" w:cs="Calibri"/>
                <w:lang w:val="en-US"/>
              </w:rPr>
              <w:t>2022-2023</w:t>
            </w:r>
          </w:p>
        </w:tc>
      </w:tr>
    </w:tbl>
    <w:p w14:paraId="23A4EF73">
      <w:pPr>
        <w:spacing w:before="500"/>
      </w:pPr>
    </w:p>
    <w:tbl>
      <w:tblPr>
        <w:tblStyle w:val="9"/>
        <w:tblW w:w="44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4400"/>
      </w:tblGrid>
      <w:tr w14:paraId="0B6619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jc w:val="center"/>
        </w:trPr>
        <w:tc>
          <w:tcPr>
            <w:tcW w:w="4400" w:type="dxa"/>
            <w:shd w:val="clear" w:color="auto" w:fill="DEEAF6"/>
            <w:tcMar>
              <w:top w:w="140" w:type="dxa"/>
              <w:left w:w="150" w:type="dxa"/>
              <w:bottom w:w="140" w:type="dxa"/>
              <w:right w:w="150" w:type="dxa"/>
            </w:tcMar>
          </w:tcPr>
          <w:p w14:paraId="4EC67FF1">
            <w:pPr>
              <w:spacing w:after="40"/>
              <w:jc w:val="center"/>
            </w:pPr>
            <w:r>
              <w:rPr>
                <w:rFonts w:ascii="Calibri" w:hAnsi="Calibri" w:eastAsia="Calibri" w:cs="Calibri"/>
                <w:b/>
                <w:bCs/>
                <w:color w:val="1F3864"/>
                <w:sz w:val="20"/>
                <w:szCs w:val="20"/>
              </w:rPr>
              <w:t>Date of Submission</w:t>
            </w:r>
          </w:p>
          <w:p w14:paraId="50A97A9E">
            <w:pPr>
              <w:jc w:val="center"/>
            </w:pPr>
            <w:r>
              <w:rPr>
                <w:rFonts w:ascii="Calibri" w:hAnsi="Calibri" w:eastAsia="Calibri" w:cs="Calibri"/>
                <w:b/>
                <w:bCs/>
                <w:sz w:val="22"/>
                <w:szCs w:val="22"/>
              </w:rPr>
              <w:t>August 2</w:t>
            </w:r>
            <w:r>
              <w:rPr>
                <w:rFonts w:hint="default" w:ascii="Calibri" w:hAnsi="Calibri" w:eastAsia="Calibri" w:cs="Calibri"/>
                <w:b/>
                <w:bCs/>
                <w:sz w:val="22"/>
                <w:szCs w:val="22"/>
                <w:lang w:val="en-US"/>
              </w:rPr>
              <w:t>3</w:t>
            </w:r>
            <w:r>
              <w:rPr>
                <w:rFonts w:ascii="Calibri" w:hAnsi="Calibri" w:eastAsia="Calibri" w:cs="Calibri"/>
                <w:b/>
                <w:bCs/>
                <w:sz w:val="22"/>
                <w:szCs w:val="22"/>
              </w:rPr>
              <w:t>, 2026</w:t>
            </w:r>
          </w:p>
        </w:tc>
      </w:tr>
    </w:tbl>
    <w:p w14:paraId="0B323EC4">
      <w:pPr>
        <w:pBdr>
          <w:bottom w:val="double" w:color="1F3864" w:sz="6" w:space="0"/>
        </w:pBdr>
        <w:spacing w:before="500"/>
      </w:pPr>
    </w:p>
    <w:p w14:paraId="175F638D">
      <w:r>
        <w:br w:type="page"/>
      </w:r>
    </w:p>
    <w:p w14:paraId="4073AE47">
      <w:pPr>
        <w:sectPr>
          <w:pgSz w:w="11906" w:h="16838"/>
          <w:pgMar w:top="1134" w:right="1134" w:bottom="1134" w:left="1134" w:header="708" w:footer="708" w:gutter="0"/>
          <w:cols w:space="720" w:num="1"/>
          <w:docGrid w:linePitch="360" w:charSpace="0"/>
        </w:sectPr>
      </w:pPr>
    </w:p>
    <w:p w14:paraId="00AED227">
      <w:pPr>
        <w:pStyle w:val="2"/>
        <w:pBdr>
          <w:bottom w:val="single" w:color="1F3864" w:sz="6" w:space="0"/>
        </w:pBdr>
        <w:spacing w:before="380" w:after="180"/>
      </w:pPr>
      <w:r>
        <w:rPr>
          <w:rFonts w:ascii="Calibri" w:hAnsi="Calibri" w:eastAsia="Calibri" w:cs="Calibri"/>
          <w:b/>
          <w:bCs/>
          <w:color w:val="1F3864"/>
          <w:sz w:val="30"/>
          <w:szCs w:val="30"/>
        </w:rPr>
        <w:t>1. Executive Summary</w:t>
      </w:r>
    </w:p>
    <w:p w14:paraId="7D008A99">
      <w:pPr>
        <w:spacing w:after="160" w:line="300" w:lineRule="auto"/>
        <w:jc w:val="both"/>
      </w:pPr>
      <w:r>
        <w:rPr>
          <w:rFonts w:ascii="Calibri" w:hAnsi="Calibri" w:eastAsia="Calibri" w:cs="Calibri"/>
        </w:rPr>
        <w:t>This report outlines the implementation of complete data protection and disaster recovery strategies for Azure Virtual Machines (IaaS). The deployment encompasses two primary pillars: Azure Backup for operational, point-in-time recovery and Azure Site Recovery (ASR) for business continuity across paired geographic regions.</w:t>
      </w:r>
    </w:p>
    <w:p w14:paraId="53919841">
      <w:pPr>
        <w:pStyle w:val="2"/>
        <w:pBdr>
          <w:bottom w:val="single" w:color="1F3864" w:sz="6" w:space="0"/>
        </w:pBdr>
        <w:spacing w:before="380" w:after="180"/>
      </w:pPr>
      <w:r>
        <w:rPr>
          <w:rFonts w:ascii="Calibri" w:hAnsi="Calibri" w:eastAsia="Calibri" w:cs="Calibri"/>
          <w:b/>
          <w:bCs/>
          <w:color w:val="1F3864"/>
          <w:sz w:val="30"/>
          <w:szCs w:val="30"/>
        </w:rPr>
        <w:t>2. Architecture Overview</w:t>
      </w:r>
    </w:p>
    <w:p w14:paraId="6E265596">
      <w:pPr>
        <w:pStyle w:val="17"/>
        <w:numPr>
          <w:ilvl w:val="0"/>
          <w:numId w:val="1"/>
        </w:numPr>
        <w:spacing w:after="70"/>
      </w:pPr>
      <w:r>
        <w:rPr>
          <w:rFonts w:ascii="Calibri" w:hAnsi="Calibri" w:eastAsia="Calibri" w:cs="Calibri"/>
          <w:b/>
          <w:bCs/>
        </w:rPr>
        <w:t xml:space="preserve">Primary Region: </w:t>
      </w:r>
      <w:r>
        <w:rPr>
          <w:rFonts w:ascii="Calibri" w:hAnsi="Calibri" w:eastAsia="Calibri" w:cs="Calibri"/>
        </w:rPr>
        <w:t>Indonesia Central (az104-rg-region1)</w:t>
      </w:r>
    </w:p>
    <w:p w14:paraId="64824833">
      <w:pPr>
        <w:pStyle w:val="17"/>
        <w:numPr>
          <w:ilvl w:val="0"/>
          <w:numId w:val="1"/>
        </w:numPr>
        <w:spacing w:after="70"/>
      </w:pPr>
      <w:r>
        <w:rPr>
          <w:rFonts w:ascii="Calibri" w:hAnsi="Calibri" w:eastAsia="Calibri" w:cs="Calibri"/>
          <w:b/>
          <w:bCs/>
        </w:rPr>
        <w:t xml:space="preserve">Secondary Region: </w:t>
      </w:r>
      <w:r>
        <w:rPr>
          <w:rFonts w:ascii="Calibri" w:hAnsi="Calibri" w:eastAsia="Calibri" w:cs="Calibri"/>
        </w:rPr>
        <w:t>Korea Central (az104-rg-region1-asr / az104-rsv-region2)</w:t>
      </w:r>
    </w:p>
    <w:p w14:paraId="2CAF800D">
      <w:pPr>
        <w:pStyle w:val="17"/>
        <w:numPr>
          <w:ilvl w:val="0"/>
          <w:numId w:val="1"/>
        </w:numPr>
        <w:spacing w:after="70"/>
      </w:pPr>
      <w:r>
        <w:rPr>
          <w:rFonts w:ascii="Calibri" w:hAnsi="Calibri" w:eastAsia="Calibri" w:cs="Calibri"/>
          <w:b/>
          <w:bCs/>
        </w:rPr>
        <w:t xml:space="preserve">Protected Workload: </w:t>
      </w:r>
      <w:r>
        <w:rPr>
          <w:rFonts w:ascii="Calibri" w:hAnsi="Calibri" w:eastAsia="Calibri" w:cs="Calibri"/>
        </w:rPr>
        <w:t>Virtual Machine (az104-10-vm0)</w:t>
      </w:r>
    </w:p>
    <w:p w14:paraId="1755826D">
      <w:pPr>
        <w:pStyle w:val="17"/>
        <w:numPr>
          <w:ilvl w:val="0"/>
          <w:numId w:val="1"/>
        </w:numPr>
        <w:spacing w:after="70"/>
      </w:pPr>
      <w:r>
        <w:rPr>
          <w:rFonts w:ascii="Calibri" w:hAnsi="Calibri" w:eastAsia="Calibri" w:cs="Calibri"/>
          <w:b/>
          <w:bCs/>
        </w:rPr>
        <w:t xml:space="preserve">Core Protection Services: </w:t>
      </w:r>
      <w:r>
        <w:rPr>
          <w:rFonts w:ascii="Calibri" w:hAnsi="Calibri" w:eastAsia="Calibri" w:cs="Calibri"/>
        </w:rPr>
        <w:t>Recovery Services Vaults, Azure Backup Policy, Azure Storage Diagnostics, and Azure Site Recovery.</w:t>
      </w:r>
    </w:p>
    <w:p w14:paraId="4D4C5281">
      <w:pPr>
        <w:pStyle w:val="17"/>
        <w:numPr>
          <w:ilvl w:val="0"/>
          <w:numId w:val="0"/>
        </w:numPr>
        <w:spacing w:after="70"/>
        <w:ind w:left="360" w:leftChars="0"/>
      </w:pPr>
      <w:r>
        <w:drawing>
          <wp:inline distT="0" distB="0" distL="114300" distR="114300">
            <wp:extent cx="6118860" cy="3056255"/>
            <wp:effectExtent l="0" t="0" r="15240" b="107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7"/>
                    <a:stretch>
                      <a:fillRect/>
                    </a:stretch>
                  </pic:blipFill>
                  <pic:spPr>
                    <a:xfrm>
                      <a:off x="0" y="0"/>
                      <a:ext cx="6118860" cy="3056255"/>
                    </a:xfrm>
                    <a:prstGeom prst="rect">
                      <a:avLst/>
                    </a:prstGeom>
                    <a:noFill/>
                    <a:ln>
                      <a:noFill/>
                    </a:ln>
                  </pic:spPr>
                </pic:pic>
              </a:graphicData>
            </a:graphic>
          </wp:inline>
        </w:drawing>
      </w:r>
    </w:p>
    <w:p w14:paraId="6FF5194F">
      <w:pPr>
        <w:pStyle w:val="2"/>
        <w:pBdr>
          <w:bottom w:val="single" w:color="1F3864" w:sz="6" w:space="0"/>
        </w:pBdr>
        <w:spacing w:before="380" w:after="180"/>
      </w:pPr>
      <w:r>
        <w:rPr>
          <w:rFonts w:ascii="Calibri" w:hAnsi="Calibri" w:eastAsia="Calibri" w:cs="Calibri"/>
          <w:b/>
          <w:bCs/>
          <w:color w:val="1F3864"/>
          <w:sz w:val="30"/>
          <w:szCs w:val="30"/>
        </w:rPr>
        <w:t>3. Step-by-Step Task Execution &amp; Verification</w:t>
      </w:r>
    </w:p>
    <w:p w14:paraId="74511AB9">
      <w:pPr>
        <w:shd w:val="clear" w:fill="DEEAF6"/>
        <w:spacing w:before="320" w:after="140"/>
      </w:pPr>
      <w:r>
        <w:rPr>
          <w:rFonts w:ascii="Calibri" w:hAnsi="Calibri" w:eastAsia="Calibri" w:cs="Calibri"/>
          <w:b/>
          <w:bCs/>
          <w:color w:val="1F3864"/>
          <w:sz w:val="24"/>
          <w:szCs w:val="24"/>
        </w:rPr>
        <w:t>Task 1: Deploy Provisioning Infrastructure</w:t>
      </w:r>
    </w:p>
    <w:p w14:paraId="1777A93C">
      <w:pPr>
        <w:spacing w:after="160" w:line="300" w:lineRule="auto"/>
        <w:jc w:val="both"/>
        <w:rPr>
          <w:rFonts w:ascii="Calibri" w:hAnsi="Calibri" w:eastAsia="Calibri" w:cs="Calibri"/>
        </w:rPr>
      </w:pPr>
      <w:r>
        <w:rPr>
          <w:rFonts w:ascii="Calibri" w:hAnsi="Calibri" w:eastAsia="Calibri" w:cs="Calibri"/>
        </w:rPr>
        <w:t>Deployed the core primary infrastructure using ARM templates, establishing az104-10-vm0 inside az104-rg-region1 along with associated networking and storage resources.</w:t>
      </w:r>
    </w:p>
    <w:p w14:paraId="1DD253CF">
      <w:pPr>
        <w:spacing w:after="160" w:line="300" w:lineRule="auto"/>
        <w:jc w:val="both"/>
      </w:pPr>
      <w:r>
        <w:drawing>
          <wp:inline distT="0" distB="0" distL="114300" distR="114300">
            <wp:extent cx="6104890" cy="2163445"/>
            <wp:effectExtent l="0" t="0" r="1016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104890" cy="2163445"/>
                    </a:xfrm>
                    <a:prstGeom prst="rect">
                      <a:avLst/>
                    </a:prstGeom>
                    <a:noFill/>
                    <a:ln>
                      <a:noFill/>
                    </a:ln>
                  </pic:spPr>
                </pic:pic>
              </a:graphicData>
            </a:graphic>
          </wp:inline>
        </w:drawing>
      </w:r>
    </w:p>
    <w:p w14:paraId="78B9EA8B">
      <w:pPr>
        <w:spacing w:after="160" w:line="300" w:lineRule="auto"/>
        <w:jc w:val="both"/>
      </w:pPr>
      <w:r>
        <w:drawing>
          <wp:inline distT="0" distB="0" distL="114300" distR="114300">
            <wp:extent cx="6115050" cy="4053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115050" cy="4053840"/>
                    </a:xfrm>
                    <a:prstGeom prst="rect">
                      <a:avLst/>
                    </a:prstGeom>
                    <a:noFill/>
                    <a:ln>
                      <a:noFill/>
                    </a:ln>
                  </pic:spPr>
                </pic:pic>
              </a:graphicData>
            </a:graphic>
          </wp:inline>
        </w:drawing>
      </w:r>
    </w:p>
    <w:p w14:paraId="40F67568">
      <w:pPr>
        <w:shd w:val="clear" w:fill="DEEAF6"/>
        <w:spacing w:before="320" w:after="140"/>
      </w:pPr>
      <w:r>
        <w:rPr>
          <w:rFonts w:ascii="Calibri" w:hAnsi="Calibri" w:eastAsia="Calibri" w:cs="Calibri"/>
          <w:b/>
          <w:bCs/>
          <w:color w:val="1F3864"/>
          <w:sz w:val="24"/>
          <w:szCs w:val="24"/>
        </w:rPr>
        <w:t>Task 2: Create Recovery Services Vaults</w:t>
      </w:r>
    </w:p>
    <w:p w14:paraId="18D7A17D">
      <w:pPr>
        <w:spacing w:after="160" w:line="300" w:lineRule="auto"/>
        <w:jc w:val="both"/>
      </w:pPr>
      <w:r>
        <w:rPr>
          <w:rFonts w:ascii="Calibri" w:hAnsi="Calibri" w:eastAsia="Calibri" w:cs="Calibri"/>
        </w:rPr>
        <w:t>Created two Recovery Services Vaults in separate geographic locations to segregate local operational backups from disaster recovery management.</w:t>
      </w:r>
    </w:p>
    <w:p w14:paraId="11FA93D4">
      <w:pPr>
        <w:pStyle w:val="17"/>
        <w:numPr>
          <w:ilvl w:val="0"/>
          <w:numId w:val="1"/>
        </w:numPr>
        <w:spacing w:after="70"/>
      </w:pPr>
      <w:r>
        <w:rPr>
          <w:rFonts w:ascii="Calibri" w:hAnsi="Calibri" w:eastAsia="Calibri" w:cs="Calibri"/>
          <w:b/>
          <w:bCs/>
        </w:rPr>
        <w:t xml:space="preserve">az104-rsv-region1 — </w:t>
      </w:r>
      <w:r>
        <w:rPr>
          <w:rFonts w:ascii="Calibri" w:hAnsi="Calibri" w:eastAsia="Calibri" w:cs="Calibri"/>
        </w:rPr>
        <w:t>Indonesia Central (Primary Vault for Local Backups).</w:t>
      </w:r>
    </w:p>
    <w:p w14:paraId="7CBB0568">
      <w:pPr>
        <w:pStyle w:val="17"/>
        <w:numPr>
          <w:ilvl w:val="0"/>
          <w:numId w:val="1"/>
        </w:numPr>
        <w:spacing w:after="70"/>
      </w:pPr>
      <w:r>
        <w:rPr>
          <w:rFonts w:ascii="Calibri" w:hAnsi="Calibri" w:eastAsia="Calibri" w:cs="Calibri"/>
          <w:b/>
          <w:bCs/>
        </w:rPr>
        <w:t xml:space="preserve">az104-rsv-region2 — </w:t>
      </w:r>
      <w:r>
        <w:rPr>
          <w:rFonts w:ascii="Calibri" w:hAnsi="Calibri" w:eastAsia="Calibri" w:cs="Calibri"/>
        </w:rPr>
        <w:t>Korea Central (Secondary Vault for Disaster Recovery).</w:t>
      </w:r>
    </w:p>
    <w:p w14:paraId="797CC95B">
      <w:pPr>
        <w:pStyle w:val="17"/>
        <w:numPr>
          <w:ilvl w:val="0"/>
          <w:numId w:val="0"/>
        </w:numPr>
        <w:spacing w:after="70"/>
      </w:pPr>
      <w:r>
        <w:drawing>
          <wp:inline distT="0" distB="0" distL="114300" distR="114300">
            <wp:extent cx="6110605" cy="2042160"/>
            <wp:effectExtent l="0" t="0" r="4445"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110605" cy="2042160"/>
                    </a:xfrm>
                    <a:prstGeom prst="rect">
                      <a:avLst/>
                    </a:prstGeom>
                    <a:noFill/>
                    <a:ln>
                      <a:noFill/>
                    </a:ln>
                  </pic:spPr>
                </pic:pic>
              </a:graphicData>
            </a:graphic>
          </wp:inline>
        </w:drawing>
      </w:r>
    </w:p>
    <w:p w14:paraId="0CBB48BE">
      <w:pPr>
        <w:shd w:val="clear" w:fill="DEEAF6"/>
        <w:spacing w:before="320" w:after="140"/>
      </w:pPr>
      <w:r>
        <w:rPr>
          <w:rFonts w:ascii="Calibri" w:hAnsi="Calibri" w:eastAsia="Calibri" w:cs="Calibri"/>
          <w:b/>
          <w:bCs/>
          <w:color w:val="1F3864"/>
          <w:sz w:val="24"/>
          <w:szCs w:val="24"/>
        </w:rPr>
        <w:t>Task 3: Configure Azure Virtual Machine Level Backup</w:t>
      </w:r>
    </w:p>
    <w:p w14:paraId="79BDA76A">
      <w:pPr>
        <w:spacing w:after="160" w:line="300" w:lineRule="auto"/>
        <w:jc w:val="both"/>
      </w:pPr>
      <w:r>
        <w:rPr>
          <w:rFonts w:ascii="Calibri" w:hAnsi="Calibri" w:eastAsia="Calibri" w:cs="Calibri"/>
        </w:rPr>
        <w:t>Configured daily VM backup policies and bound az104-10-vm0 to az104-rsv-region1. Initiated an on-demand manual backup operation to validate backup pipeline connectivity.</w:t>
      </w:r>
    </w:p>
    <w:p w14:paraId="1F452E50">
      <w:pPr>
        <w:spacing w:before="100" w:after="80"/>
      </w:pPr>
      <w:r>
        <w:rPr>
          <w:rFonts w:ascii="Calibri" w:hAnsi="Calibri" w:eastAsia="Calibri" w:cs="Calibri"/>
          <w:b/>
          <w:bCs/>
        </w:rPr>
        <w:t>Configuration Details:</w:t>
      </w:r>
    </w:p>
    <w:p w14:paraId="772F0D52">
      <w:pPr>
        <w:pStyle w:val="17"/>
        <w:numPr>
          <w:ilvl w:val="0"/>
          <w:numId w:val="1"/>
        </w:numPr>
        <w:spacing w:after="70"/>
      </w:pPr>
      <w:r>
        <w:rPr>
          <w:rFonts w:ascii="Calibri" w:hAnsi="Calibri" w:eastAsia="Calibri" w:cs="Calibri"/>
          <w:b/>
          <w:bCs/>
        </w:rPr>
        <w:t xml:space="preserve">Policy Name: </w:t>
      </w:r>
      <w:r>
        <w:rPr>
          <w:rFonts w:ascii="Calibri" w:hAnsi="Calibri" w:eastAsia="Calibri" w:cs="Calibri"/>
        </w:rPr>
        <w:t>az104-backup-policy</w:t>
      </w:r>
    </w:p>
    <w:p w14:paraId="5DA339BF">
      <w:pPr>
        <w:pStyle w:val="17"/>
        <w:numPr>
          <w:ilvl w:val="0"/>
          <w:numId w:val="1"/>
        </w:numPr>
        <w:spacing w:after="70"/>
      </w:pPr>
      <w:r>
        <w:rPr>
          <w:rFonts w:ascii="Calibri" w:hAnsi="Calibri" w:eastAsia="Calibri" w:cs="Calibri"/>
          <w:b/>
          <w:bCs/>
        </w:rPr>
        <w:t xml:space="preserve">Frequency: </w:t>
      </w:r>
      <w:r>
        <w:rPr>
          <w:rFonts w:ascii="Calibri" w:hAnsi="Calibri" w:eastAsia="Calibri" w:cs="Calibri"/>
        </w:rPr>
        <w:t>Daily at 12:00 AM UTC</w:t>
      </w:r>
    </w:p>
    <w:p w14:paraId="22B7C16D">
      <w:pPr>
        <w:pStyle w:val="17"/>
        <w:numPr>
          <w:ilvl w:val="0"/>
          <w:numId w:val="1"/>
        </w:numPr>
        <w:spacing w:after="70"/>
      </w:pPr>
      <w:r>
        <w:rPr>
          <w:rFonts w:ascii="Calibri" w:hAnsi="Calibri" w:eastAsia="Calibri" w:cs="Calibri"/>
          <w:b/>
          <w:bCs/>
        </w:rPr>
        <w:t xml:space="preserve">Retention: </w:t>
      </w:r>
      <w:r>
        <w:rPr>
          <w:rFonts w:ascii="Calibri" w:hAnsi="Calibri" w:eastAsia="Calibri" w:cs="Calibri"/>
        </w:rPr>
        <w:t>Instant recovery snapshot (2 days), Daily retention (180 days).</w:t>
      </w:r>
    </w:p>
    <w:p w14:paraId="797AA3C1">
      <w:pPr>
        <w:pStyle w:val="17"/>
        <w:numPr>
          <w:ilvl w:val="0"/>
          <w:numId w:val="0"/>
        </w:numPr>
        <w:spacing w:after="70"/>
      </w:pPr>
      <w:r>
        <w:drawing>
          <wp:inline distT="0" distB="0" distL="114300" distR="114300">
            <wp:extent cx="6104890" cy="2338070"/>
            <wp:effectExtent l="0" t="0" r="1016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104890" cy="2338070"/>
                    </a:xfrm>
                    <a:prstGeom prst="rect">
                      <a:avLst/>
                    </a:prstGeom>
                    <a:noFill/>
                    <a:ln>
                      <a:noFill/>
                    </a:ln>
                  </pic:spPr>
                </pic:pic>
              </a:graphicData>
            </a:graphic>
          </wp:inline>
        </w:drawing>
      </w:r>
    </w:p>
    <w:p w14:paraId="0B30602E">
      <w:pPr>
        <w:pStyle w:val="17"/>
        <w:numPr>
          <w:ilvl w:val="0"/>
          <w:numId w:val="0"/>
        </w:numPr>
        <w:spacing w:after="70"/>
      </w:pPr>
      <w:r>
        <w:drawing>
          <wp:inline distT="0" distB="0" distL="114300" distR="114300">
            <wp:extent cx="6116955" cy="3034665"/>
            <wp:effectExtent l="0" t="0" r="17145"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6116955" cy="3034665"/>
                    </a:xfrm>
                    <a:prstGeom prst="rect">
                      <a:avLst/>
                    </a:prstGeom>
                    <a:noFill/>
                    <a:ln>
                      <a:noFill/>
                    </a:ln>
                  </pic:spPr>
                </pic:pic>
              </a:graphicData>
            </a:graphic>
          </wp:inline>
        </w:drawing>
      </w:r>
    </w:p>
    <w:p w14:paraId="53C8E047">
      <w:pPr>
        <w:shd w:val="clear" w:fill="DEEAF6"/>
        <w:spacing w:before="320" w:after="140"/>
      </w:pPr>
      <w:r>
        <w:rPr>
          <w:rFonts w:ascii="Calibri" w:hAnsi="Calibri" w:eastAsia="Calibri" w:cs="Calibri"/>
          <w:b/>
          <w:bCs/>
          <w:color w:val="1F3864"/>
          <w:sz w:val="24"/>
          <w:szCs w:val="24"/>
        </w:rPr>
        <w:t>Task 4: Implement Diagnostic Settings</w:t>
      </w:r>
    </w:p>
    <w:p w14:paraId="05AE1C10">
      <w:pPr>
        <w:spacing w:after="160" w:line="300" w:lineRule="auto"/>
        <w:jc w:val="both"/>
      </w:pPr>
      <w:r>
        <w:rPr>
          <w:rFonts w:ascii="Calibri" w:hAnsi="Calibri" w:eastAsia="Calibri" w:cs="Calibri"/>
        </w:rPr>
        <w:t>To support auditing and log retention, a diagnostic Storage Account (diagstoreindonesia10) was created. Vault logs and metrics were configured to archive to this storage destination.</w:t>
      </w:r>
    </w:p>
    <w:p w14:paraId="03F543F4">
      <w:pPr>
        <w:spacing w:before="100" w:after="80"/>
      </w:pPr>
      <w:r>
        <w:rPr>
          <w:rFonts w:ascii="Calibri" w:hAnsi="Calibri" w:eastAsia="Calibri" w:cs="Calibri"/>
          <w:b/>
          <w:bCs/>
        </w:rPr>
        <w:t>Log Categories Forwarded:</w:t>
      </w:r>
    </w:p>
    <w:p w14:paraId="6D035EE4">
      <w:pPr>
        <w:pStyle w:val="17"/>
        <w:numPr>
          <w:ilvl w:val="0"/>
          <w:numId w:val="1"/>
        </w:numPr>
        <w:spacing w:after="70"/>
      </w:pPr>
      <w:r>
        <w:rPr>
          <w:rFonts w:ascii="Calibri" w:hAnsi="Calibri" w:eastAsia="Calibri" w:cs="Calibri"/>
        </w:rPr>
        <w:t>Azure Backup Reporting Data</w:t>
      </w:r>
    </w:p>
    <w:p w14:paraId="3D9F5167">
      <w:pPr>
        <w:pStyle w:val="17"/>
        <w:numPr>
          <w:ilvl w:val="0"/>
          <w:numId w:val="1"/>
        </w:numPr>
        <w:spacing w:after="70"/>
      </w:pPr>
      <w:r>
        <w:rPr>
          <w:rFonts w:ascii="Calibri" w:hAnsi="Calibri" w:eastAsia="Calibri" w:cs="Calibri"/>
        </w:rPr>
        <w:t>Addon Azure Backup Job Data</w:t>
      </w:r>
    </w:p>
    <w:p w14:paraId="3DB0C2CF">
      <w:pPr>
        <w:pStyle w:val="17"/>
        <w:numPr>
          <w:ilvl w:val="0"/>
          <w:numId w:val="1"/>
        </w:numPr>
        <w:spacing w:after="70"/>
      </w:pPr>
      <w:r>
        <w:rPr>
          <w:rFonts w:ascii="Calibri" w:hAnsi="Calibri" w:eastAsia="Calibri" w:cs="Calibri"/>
        </w:rPr>
        <w:t>Addon Azure Backup Alert Data</w:t>
      </w:r>
    </w:p>
    <w:p w14:paraId="5DFB168E">
      <w:pPr>
        <w:pStyle w:val="17"/>
        <w:numPr>
          <w:ilvl w:val="0"/>
          <w:numId w:val="1"/>
        </w:numPr>
        <w:spacing w:after="70"/>
      </w:pPr>
      <w:r>
        <w:rPr>
          <w:rFonts w:ascii="Calibri" w:hAnsi="Calibri" w:eastAsia="Calibri" w:cs="Calibri"/>
        </w:rPr>
        <w:t>Azure Site Recovery Jobs</w:t>
      </w:r>
    </w:p>
    <w:p w14:paraId="0C1435CE">
      <w:pPr>
        <w:pStyle w:val="17"/>
        <w:numPr>
          <w:ilvl w:val="0"/>
          <w:numId w:val="1"/>
        </w:numPr>
        <w:spacing w:after="70"/>
      </w:pPr>
      <w:r>
        <w:rPr>
          <w:rFonts w:ascii="Calibri" w:hAnsi="Calibri" w:eastAsia="Calibri" w:cs="Calibri"/>
        </w:rPr>
        <w:t>Azure Site Recovery Events</w:t>
      </w:r>
    </w:p>
    <w:p w14:paraId="4A211A28">
      <w:pPr>
        <w:pStyle w:val="17"/>
        <w:numPr>
          <w:ilvl w:val="0"/>
          <w:numId w:val="0"/>
        </w:numPr>
        <w:spacing w:after="70"/>
      </w:pPr>
      <w:r>
        <w:drawing>
          <wp:inline distT="0" distB="0" distL="114300" distR="114300">
            <wp:extent cx="6110605" cy="2894330"/>
            <wp:effectExtent l="0" t="0" r="444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6110605" cy="2894330"/>
                    </a:xfrm>
                    <a:prstGeom prst="rect">
                      <a:avLst/>
                    </a:prstGeom>
                    <a:noFill/>
                    <a:ln>
                      <a:noFill/>
                    </a:ln>
                  </pic:spPr>
                </pic:pic>
              </a:graphicData>
            </a:graphic>
          </wp:inline>
        </w:drawing>
      </w:r>
    </w:p>
    <w:p w14:paraId="4978778D">
      <w:pPr>
        <w:pStyle w:val="17"/>
        <w:numPr>
          <w:ilvl w:val="0"/>
          <w:numId w:val="0"/>
        </w:numPr>
        <w:spacing w:after="70"/>
      </w:pPr>
      <w:r>
        <w:drawing>
          <wp:inline distT="0" distB="0" distL="114300" distR="114300">
            <wp:extent cx="6104890" cy="2971165"/>
            <wp:effectExtent l="0" t="0" r="1016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6104890" cy="2971165"/>
                    </a:xfrm>
                    <a:prstGeom prst="rect">
                      <a:avLst/>
                    </a:prstGeom>
                    <a:noFill/>
                    <a:ln>
                      <a:noFill/>
                    </a:ln>
                  </pic:spPr>
                </pic:pic>
              </a:graphicData>
            </a:graphic>
          </wp:inline>
        </w:drawing>
      </w:r>
    </w:p>
    <w:p w14:paraId="5EBCD057">
      <w:pPr>
        <w:pStyle w:val="17"/>
        <w:numPr>
          <w:ilvl w:val="0"/>
          <w:numId w:val="0"/>
        </w:numPr>
        <w:spacing w:after="70"/>
      </w:pPr>
      <w:r>
        <w:drawing>
          <wp:inline distT="0" distB="0" distL="114300" distR="114300">
            <wp:extent cx="6106795" cy="2620645"/>
            <wp:effectExtent l="0" t="0" r="825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106795" cy="2620645"/>
                    </a:xfrm>
                    <a:prstGeom prst="rect">
                      <a:avLst/>
                    </a:prstGeom>
                    <a:noFill/>
                    <a:ln>
                      <a:noFill/>
                    </a:ln>
                  </pic:spPr>
                </pic:pic>
              </a:graphicData>
            </a:graphic>
          </wp:inline>
        </w:drawing>
      </w:r>
    </w:p>
    <w:p w14:paraId="12CEB535">
      <w:pPr>
        <w:shd w:val="clear" w:fill="DEEAF6"/>
        <w:spacing w:before="320" w:after="140"/>
      </w:pPr>
      <w:r>
        <w:rPr>
          <w:rFonts w:ascii="Calibri" w:hAnsi="Calibri" w:eastAsia="Calibri" w:cs="Calibri"/>
          <w:b/>
          <w:bCs/>
          <w:color w:val="1F3864"/>
          <w:sz w:val="24"/>
          <w:szCs w:val="24"/>
        </w:rPr>
        <w:t>Task 5: Implement Azure Site Recovery (ASR) Disaster Recovery</w:t>
      </w:r>
    </w:p>
    <w:p w14:paraId="592E0A5F">
      <w:pPr>
        <w:spacing w:after="160" w:line="300" w:lineRule="auto"/>
        <w:jc w:val="both"/>
      </w:pPr>
      <w:r>
        <w:rPr>
          <w:rFonts w:ascii="Calibri" w:hAnsi="Calibri" w:eastAsia="Calibri" w:cs="Calibri"/>
        </w:rPr>
        <w:t>Configured cross-region disaster recovery for az104-10-vm0 from Indonesia Central to Korea Central. To bypass automation account creation restrictions under the Azure for Students subscription, update settings were explicitly set to Manage manually.</w:t>
      </w:r>
    </w:p>
    <w:p w14:paraId="533D4EB3">
      <w:pPr>
        <w:spacing w:before="100" w:after="80"/>
      </w:pPr>
      <w:r>
        <w:rPr>
          <w:rFonts w:ascii="Calibri" w:hAnsi="Calibri" w:eastAsia="Calibri" w:cs="Calibri"/>
          <w:b/>
          <w:bCs/>
        </w:rPr>
        <w:t>Target Configuration Summary:</w:t>
      </w:r>
    </w:p>
    <w:p w14:paraId="71AC39EA">
      <w:pPr>
        <w:pStyle w:val="17"/>
        <w:numPr>
          <w:ilvl w:val="0"/>
          <w:numId w:val="1"/>
        </w:numPr>
        <w:spacing w:after="70"/>
      </w:pPr>
      <w:r>
        <w:rPr>
          <w:rFonts w:ascii="Calibri" w:hAnsi="Calibri" w:eastAsia="Calibri" w:cs="Calibri"/>
          <w:b/>
          <w:bCs/>
        </w:rPr>
        <w:t xml:space="preserve">Source Region: </w:t>
      </w:r>
      <w:r>
        <w:rPr>
          <w:rFonts w:ascii="Calibri" w:hAnsi="Calibri" w:eastAsia="Calibri" w:cs="Calibri"/>
        </w:rPr>
        <w:t>Indonesia Central</w:t>
      </w:r>
    </w:p>
    <w:p w14:paraId="6B877856">
      <w:pPr>
        <w:pStyle w:val="17"/>
        <w:numPr>
          <w:ilvl w:val="0"/>
          <w:numId w:val="1"/>
        </w:numPr>
        <w:spacing w:after="70"/>
      </w:pPr>
      <w:r>
        <w:rPr>
          <w:rFonts w:ascii="Calibri" w:hAnsi="Calibri" w:eastAsia="Calibri" w:cs="Calibri"/>
          <w:b/>
          <w:bCs/>
        </w:rPr>
        <w:t xml:space="preserve">Target Region: </w:t>
      </w:r>
      <w:r>
        <w:rPr>
          <w:rFonts w:ascii="Calibri" w:hAnsi="Calibri" w:eastAsia="Calibri" w:cs="Calibri"/>
        </w:rPr>
        <w:t>Korea Central</w:t>
      </w:r>
    </w:p>
    <w:p w14:paraId="1640B75B">
      <w:pPr>
        <w:pStyle w:val="17"/>
        <w:numPr>
          <w:ilvl w:val="0"/>
          <w:numId w:val="1"/>
        </w:numPr>
        <w:spacing w:after="70"/>
      </w:pPr>
      <w:r>
        <w:rPr>
          <w:rFonts w:ascii="Calibri" w:hAnsi="Calibri" w:eastAsia="Calibri" w:cs="Calibri"/>
          <w:b/>
          <w:bCs/>
        </w:rPr>
        <w:t xml:space="preserve">Target Resource Group: </w:t>
      </w:r>
      <w:r>
        <w:rPr>
          <w:rFonts w:ascii="Calibri" w:hAnsi="Calibri" w:eastAsia="Calibri" w:cs="Calibri"/>
        </w:rPr>
        <w:t>az104-rg-region1-asr</w:t>
      </w:r>
    </w:p>
    <w:p w14:paraId="0480BB5B">
      <w:pPr>
        <w:pStyle w:val="17"/>
        <w:numPr>
          <w:ilvl w:val="0"/>
          <w:numId w:val="1"/>
        </w:numPr>
        <w:spacing w:after="70"/>
      </w:pPr>
      <w:r>
        <w:rPr>
          <w:rFonts w:ascii="Calibri" w:hAnsi="Calibri" w:eastAsia="Calibri" w:cs="Calibri"/>
          <w:b/>
          <w:bCs/>
        </w:rPr>
        <w:t xml:space="preserve">Target Virtual Network: </w:t>
      </w:r>
      <w:r>
        <w:rPr>
          <w:rFonts w:ascii="Calibri" w:hAnsi="Calibri" w:eastAsia="Calibri" w:cs="Calibri"/>
        </w:rPr>
        <w:t>az104-10-vnet-asr</w:t>
      </w:r>
    </w:p>
    <w:p w14:paraId="51704C82">
      <w:pPr>
        <w:pStyle w:val="17"/>
        <w:numPr>
          <w:ilvl w:val="0"/>
          <w:numId w:val="1"/>
        </w:numPr>
        <w:spacing w:after="70"/>
      </w:pPr>
      <w:r>
        <w:rPr>
          <w:rFonts w:ascii="Calibri" w:hAnsi="Calibri" w:eastAsia="Calibri" w:cs="Calibri"/>
          <w:b/>
          <w:bCs/>
        </w:rPr>
        <w:t xml:space="preserve">Extension Settings: </w:t>
      </w:r>
      <w:r>
        <w:rPr>
          <w:rFonts w:ascii="Calibri" w:hAnsi="Calibri" w:eastAsia="Calibri" w:cs="Calibri"/>
        </w:rPr>
        <w:t>Manage manually</w:t>
      </w:r>
    </w:p>
    <w:p w14:paraId="02FD5007">
      <w:pPr>
        <w:pStyle w:val="17"/>
        <w:numPr>
          <w:ilvl w:val="0"/>
          <w:numId w:val="0"/>
        </w:numPr>
        <w:spacing w:after="70"/>
      </w:pPr>
      <w:r>
        <w:drawing>
          <wp:inline distT="0" distB="0" distL="114300" distR="114300">
            <wp:extent cx="6116320" cy="3514090"/>
            <wp:effectExtent l="0" t="0" r="1778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6116320" cy="3514090"/>
                    </a:xfrm>
                    <a:prstGeom prst="rect">
                      <a:avLst/>
                    </a:prstGeom>
                    <a:noFill/>
                    <a:ln>
                      <a:noFill/>
                    </a:ln>
                  </pic:spPr>
                </pic:pic>
              </a:graphicData>
            </a:graphic>
          </wp:inline>
        </w:drawing>
      </w:r>
    </w:p>
    <w:p w14:paraId="66421ABE">
      <w:pPr>
        <w:pStyle w:val="17"/>
        <w:numPr>
          <w:ilvl w:val="0"/>
          <w:numId w:val="0"/>
        </w:numPr>
        <w:spacing w:after="70"/>
      </w:pPr>
    </w:p>
    <w:p w14:paraId="6C26E880">
      <w:pPr>
        <w:pStyle w:val="17"/>
        <w:numPr>
          <w:ilvl w:val="0"/>
          <w:numId w:val="0"/>
        </w:numPr>
        <w:spacing w:after="70"/>
      </w:pPr>
      <w:r>
        <w:drawing>
          <wp:inline distT="0" distB="0" distL="114300" distR="114300">
            <wp:extent cx="6113145" cy="2998470"/>
            <wp:effectExtent l="0" t="0" r="1905"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6113145" cy="2998470"/>
                    </a:xfrm>
                    <a:prstGeom prst="rect">
                      <a:avLst/>
                    </a:prstGeom>
                    <a:noFill/>
                    <a:ln>
                      <a:noFill/>
                    </a:ln>
                  </pic:spPr>
                </pic:pic>
              </a:graphicData>
            </a:graphic>
          </wp:inline>
        </w:drawing>
      </w:r>
    </w:p>
    <w:p w14:paraId="3ADEFC40">
      <w:pPr>
        <w:pStyle w:val="17"/>
        <w:numPr>
          <w:ilvl w:val="0"/>
          <w:numId w:val="0"/>
        </w:numPr>
        <w:spacing w:after="70"/>
      </w:pPr>
      <w:r>
        <w:drawing>
          <wp:inline distT="0" distB="0" distL="114300" distR="114300">
            <wp:extent cx="6117590" cy="640080"/>
            <wp:effectExtent l="0" t="0" r="1651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6117590" cy="640080"/>
                    </a:xfrm>
                    <a:prstGeom prst="rect">
                      <a:avLst/>
                    </a:prstGeom>
                    <a:noFill/>
                    <a:ln>
                      <a:noFill/>
                    </a:ln>
                  </pic:spPr>
                </pic:pic>
              </a:graphicData>
            </a:graphic>
          </wp:inline>
        </w:drawing>
      </w:r>
    </w:p>
    <w:p w14:paraId="2BC03763">
      <w:pPr>
        <w:pStyle w:val="2"/>
        <w:pBdr>
          <w:bottom w:val="single" w:color="1F3864" w:sz="6" w:space="0"/>
        </w:pBdr>
        <w:spacing w:before="380" w:after="180"/>
      </w:pPr>
      <w:r>
        <w:rPr>
          <w:rFonts w:ascii="Calibri" w:hAnsi="Calibri" w:eastAsia="Calibri" w:cs="Calibri"/>
          <w:b/>
          <w:bCs/>
          <w:color w:val="1F3864"/>
          <w:sz w:val="30"/>
          <w:szCs w:val="30"/>
        </w:rPr>
        <w:t>4. Final Outputs &amp; Verification</w:t>
      </w:r>
    </w:p>
    <w:p w14:paraId="2C845C66">
      <w:pPr>
        <w:pStyle w:val="3"/>
        <w:spacing w:before="260" w:after="120"/>
      </w:pPr>
      <w:r>
        <w:rPr>
          <w:rFonts w:ascii="Calibri" w:hAnsi="Calibri" w:eastAsia="Calibri" w:cs="Calibri"/>
          <w:b/>
          <w:bCs/>
          <w:color w:val="2E74B5"/>
          <w:sz w:val="24"/>
          <w:szCs w:val="24"/>
        </w:rPr>
        <w:t>Output 1: ASR Replication Status (Secondary Vault)</w:t>
      </w:r>
    </w:p>
    <w:p w14:paraId="732C31F8">
      <w:pPr>
        <w:spacing w:after="160" w:line="300" w:lineRule="auto"/>
        <w:jc w:val="both"/>
      </w:pPr>
      <w:r>
        <w:rPr>
          <w:rFonts w:ascii="Calibri" w:hAnsi="Calibri" w:eastAsia="Calibri" w:cs="Calibri"/>
        </w:rPr>
        <w:t>Verification confirms that cross-region disaster recovery replication is active inside the secondary Recovery Services Vault.</w:t>
      </w:r>
      <w:r>
        <w:rPr>
          <w:rFonts w:ascii="Calibri" w:hAnsi="Calibri" w:eastAsia="Calibri" w:cs="Calibri"/>
        </w:rPr>
        <w:br w:type="textWrapping"/>
      </w:r>
      <w:r>
        <w:drawing>
          <wp:inline distT="0" distB="0" distL="114300" distR="114300">
            <wp:extent cx="6104890" cy="2967990"/>
            <wp:effectExtent l="0" t="0" r="1016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6104890" cy="2967990"/>
                    </a:xfrm>
                    <a:prstGeom prst="rect">
                      <a:avLst/>
                    </a:prstGeom>
                    <a:noFill/>
                    <a:ln>
                      <a:noFill/>
                    </a:ln>
                  </pic:spPr>
                </pic:pic>
              </a:graphicData>
            </a:graphic>
          </wp:inline>
        </w:drawing>
      </w:r>
    </w:p>
    <w:p w14:paraId="53FECE54">
      <w:pPr>
        <w:pStyle w:val="3"/>
        <w:spacing w:before="260" w:after="120"/>
      </w:pPr>
      <w:r>
        <w:rPr>
          <w:rFonts w:ascii="Calibri" w:hAnsi="Calibri" w:eastAsia="Calibri" w:cs="Calibri"/>
          <w:b/>
          <w:bCs/>
          <w:color w:val="2E74B5"/>
          <w:sz w:val="24"/>
          <w:szCs w:val="24"/>
        </w:rPr>
        <w:t>Output 2: Virtual Machine Backup Status (Primary Vault)</w:t>
      </w:r>
    </w:p>
    <w:p w14:paraId="2F5A6B28">
      <w:pPr>
        <w:spacing w:after="160" w:line="300" w:lineRule="auto"/>
        <w:jc w:val="both"/>
        <w:rPr>
          <w:rFonts w:ascii="Calibri" w:hAnsi="Calibri" w:eastAsia="Calibri" w:cs="Calibri"/>
        </w:rPr>
      </w:pPr>
      <w:r>
        <w:rPr>
          <w:rFonts w:ascii="Calibri" w:hAnsi="Calibri" w:eastAsia="Calibri" w:cs="Calibri"/>
        </w:rPr>
        <w:t>Verification confirms that operational backup protection is actively maintained within the primary Recovery Services Vault.</w:t>
      </w:r>
    </w:p>
    <w:p w14:paraId="570E8FA5">
      <w:pPr>
        <w:spacing w:after="160" w:line="300" w:lineRule="auto"/>
        <w:jc w:val="both"/>
      </w:pPr>
      <w:r>
        <w:drawing>
          <wp:inline distT="0" distB="0" distL="114300" distR="114300">
            <wp:extent cx="6104890" cy="2109470"/>
            <wp:effectExtent l="0" t="0" r="1016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6104890" cy="2109470"/>
                    </a:xfrm>
                    <a:prstGeom prst="rect">
                      <a:avLst/>
                    </a:prstGeom>
                    <a:noFill/>
                    <a:ln>
                      <a:noFill/>
                    </a:ln>
                  </pic:spPr>
                </pic:pic>
              </a:graphicData>
            </a:graphic>
          </wp:inline>
        </w:drawing>
      </w:r>
    </w:p>
    <w:p w14:paraId="514BCB6D">
      <w:pPr>
        <w:spacing w:after="160" w:line="300" w:lineRule="auto"/>
        <w:jc w:val="both"/>
      </w:pPr>
      <w:r>
        <w:drawing>
          <wp:inline distT="0" distB="0" distL="114300" distR="114300">
            <wp:extent cx="6104890" cy="2475230"/>
            <wp:effectExtent l="0" t="0" r="1016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6104890" cy="2475230"/>
                    </a:xfrm>
                    <a:prstGeom prst="rect">
                      <a:avLst/>
                    </a:prstGeom>
                    <a:noFill/>
                    <a:ln>
                      <a:noFill/>
                    </a:ln>
                  </pic:spPr>
                </pic:pic>
              </a:graphicData>
            </a:graphic>
          </wp:inline>
        </w:drawing>
      </w:r>
    </w:p>
    <w:p w14:paraId="2CB8382E">
      <w:pPr>
        <w:pStyle w:val="3"/>
        <w:spacing w:before="260" w:after="120"/>
      </w:pPr>
      <w:r>
        <w:rPr>
          <w:rFonts w:ascii="Calibri" w:hAnsi="Calibri" w:eastAsia="Calibri" w:cs="Calibri"/>
          <w:b/>
          <w:bCs/>
          <w:color w:val="2E74B5"/>
          <w:sz w:val="24"/>
          <w:szCs w:val="24"/>
        </w:rPr>
        <w:t>Output 3: Cross-Region Topology Map</w:t>
      </w:r>
    </w:p>
    <w:p w14:paraId="7521B71D">
      <w:pPr>
        <w:spacing w:after="160" w:line="300" w:lineRule="auto"/>
        <w:jc w:val="both"/>
        <w:rPr>
          <w:rFonts w:ascii="Calibri" w:hAnsi="Calibri" w:eastAsia="Calibri" w:cs="Calibri"/>
        </w:rPr>
      </w:pPr>
      <w:r>
        <w:rPr>
          <w:rFonts w:ascii="Calibri" w:hAnsi="Calibri" w:eastAsia="Calibri" w:cs="Calibri"/>
        </w:rPr>
        <w:t>Visualization of the active protection link established between the primary and target regions.</w:t>
      </w:r>
    </w:p>
    <w:p w14:paraId="5DAB0255">
      <w:pPr>
        <w:spacing w:after="160" w:line="300" w:lineRule="auto"/>
        <w:jc w:val="both"/>
      </w:pPr>
      <w:r>
        <w:drawing>
          <wp:inline distT="0" distB="0" distL="114300" distR="114300">
            <wp:extent cx="6113780" cy="2980055"/>
            <wp:effectExtent l="0" t="0" r="1270"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6113780" cy="2980055"/>
                    </a:xfrm>
                    <a:prstGeom prst="rect">
                      <a:avLst/>
                    </a:prstGeom>
                    <a:noFill/>
                    <a:ln>
                      <a:noFill/>
                    </a:ln>
                  </pic:spPr>
                </pic:pic>
              </a:graphicData>
            </a:graphic>
          </wp:inline>
        </w:drawing>
      </w:r>
    </w:p>
    <w:p w14:paraId="3252C488">
      <w:pPr>
        <w:spacing w:after="160" w:line="300" w:lineRule="auto"/>
        <w:jc w:val="both"/>
      </w:pPr>
      <w:r>
        <w:drawing>
          <wp:inline distT="0" distB="0" distL="114300" distR="114300">
            <wp:extent cx="6104890" cy="3009265"/>
            <wp:effectExtent l="0" t="0" r="1016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6104890" cy="3009265"/>
                    </a:xfrm>
                    <a:prstGeom prst="rect">
                      <a:avLst/>
                    </a:prstGeom>
                    <a:noFill/>
                    <a:ln>
                      <a:noFill/>
                    </a:ln>
                  </pic:spPr>
                </pic:pic>
              </a:graphicData>
            </a:graphic>
          </wp:inline>
        </w:drawing>
      </w:r>
    </w:p>
    <w:p w14:paraId="599B617F">
      <w:pPr>
        <w:spacing w:after="160" w:line="300" w:lineRule="auto"/>
        <w:jc w:val="both"/>
        <w:rPr>
          <w:rFonts w:hint="default" w:ascii="Calibri" w:hAnsi="Calibri" w:cs="Calibri"/>
        </w:rPr>
      </w:pPr>
      <w:r>
        <w:rPr>
          <w:rFonts w:hint="default" w:ascii="Calibri" w:hAnsi="Calibri" w:cs="Calibri"/>
        </w:rPr>
        <w:t>The presence of the insights-logs-azurebackupreport container and its inner telemetry directories validates that vault diagnostics are actively writing logs to diagstoreindonesia10.</w:t>
      </w:r>
    </w:p>
    <w:p w14:paraId="2E2918F9">
      <w:pPr>
        <w:spacing w:after="160" w:line="300" w:lineRule="auto"/>
        <w:jc w:val="both"/>
      </w:pPr>
      <w:r>
        <w:drawing>
          <wp:inline distT="0" distB="0" distL="114300" distR="114300">
            <wp:extent cx="6104890" cy="1698625"/>
            <wp:effectExtent l="0" t="0" r="10160" b="158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6104890" cy="1698625"/>
                    </a:xfrm>
                    <a:prstGeom prst="rect">
                      <a:avLst/>
                    </a:prstGeom>
                    <a:noFill/>
                    <a:ln>
                      <a:noFill/>
                    </a:ln>
                  </pic:spPr>
                </pic:pic>
              </a:graphicData>
            </a:graphic>
          </wp:inline>
        </w:drawing>
      </w:r>
    </w:p>
    <w:p w14:paraId="65DFA647">
      <w:pPr>
        <w:spacing w:after="160" w:line="300" w:lineRule="auto"/>
        <w:jc w:val="both"/>
        <w:rPr>
          <w:rFonts w:hint="default" w:ascii="Calibri" w:hAnsi="Calibri" w:cs="Calibri"/>
        </w:rPr>
      </w:pPr>
      <w:r>
        <w:rPr>
          <w:rFonts w:hint="default" w:ascii="Calibri" w:hAnsi="Calibri" w:cs="Calibri"/>
        </w:rPr>
        <w:t>Demonstrates that vault diagnostic logs and metrics are being successfully exported and segregated into dedicated storage containers for compliance, auditing, and long-term security monitoring.</w:t>
      </w:r>
    </w:p>
    <w:p w14:paraId="5B8555CB">
      <w:pPr>
        <w:spacing w:after="160" w:line="300" w:lineRule="auto"/>
        <w:jc w:val="both"/>
      </w:pPr>
      <w:r>
        <w:drawing>
          <wp:inline distT="0" distB="0" distL="114300" distR="114300">
            <wp:extent cx="6109970" cy="3806190"/>
            <wp:effectExtent l="0" t="0" r="508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6109970" cy="3806190"/>
                    </a:xfrm>
                    <a:prstGeom prst="rect">
                      <a:avLst/>
                    </a:prstGeom>
                    <a:noFill/>
                    <a:ln>
                      <a:noFill/>
                    </a:ln>
                  </pic:spPr>
                </pic:pic>
              </a:graphicData>
            </a:graphic>
          </wp:inline>
        </w:drawing>
      </w:r>
    </w:p>
    <w:p w14:paraId="275B41B4">
      <w:pPr>
        <w:spacing w:after="160" w:line="300" w:lineRule="auto"/>
        <w:jc w:val="both"/>
        <w:rPr>
          <w:rFonts w:hint="default" w:ascii="Calibri" w:hAnsi="Calibri" w:cs="Calibri"/>
          <w:lang w:val="en-US"/>
        </w:rPr>
      </w:pPr>
      <w:r>
        <w:rPr>
          <w:rFonts w:hint="default" w:ascii="Calibri" w:hAnsi="Calibri" w:cs="Calibri"/>
          <w:lang w:val="en-US"/>
        </w:rPr>
        <w:t>Till Now total cost………</w:t>
      </w:r>
    </w:p>
    <w:p w14:paraId="7FA78B5E">
      <w:pPr>
        <w:spacing w:after="160" w:line="300" w:lineRule="auto"/>
        <w:jc w:val="both"/>
        <w:rPr>
          <w:rFonts w:hint="default" w:ascii="Calibri" w:hAnsi="Calibri" w:cs="Calibri"/>
          <w:lang w:val="en-US"/>
        </w:rPr>
      </w:pPr>
      <w:r>
        <w:drawing>
          <wp:inline distT="0" distB="0" distL="114300" distR="114300">
            <wp:extent cx="6104890" cy="2764790"/>
            <wp:effectExtent l="0" t="0" r="10160" b="165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6104890" cy="2764790"/>
                    </a:xfrm>
                    <a:prstGeom prst="rect">
                      <a:avLst/>
                    </a:prstGeom>
                    <a:noFill/>
                    <a:ln>
                      <a:noFill/>
                    </a:ln>
                  </pic:spPr>
                </pic:pic>
              </a:graphicData>
            </a:graphic>
          </wp:inline>
        </w:drawing>
      </w:r>
    </w:p>
    <w:p w14:paraId="5C90E3DF">
      <w:pPr>
        <w:pStyle w:val="2"/>
        <w:pBdr>
          <w:bottom w:val="single" w:color="1F3864" w:sz="6" w:space="0"/>
        </w:pBdr>
        <w:spacing w:before="380" w:after="180"/>
      </w:pPr>
      <w:r>
        <w:rPr>
          <w:rFonts w:ascii="Calibri" w:hAnsi="Calibri" w:eastAsia="Calibri" w:cs="Calibri"/>
          <w:b/>
          <w:bCs/>
          <w:color w:val="1F3864"/>
          <w:sz w:val="30"/>
          <w:szCs w:val="30"/>
        </w:rPr>
        <w:t>5. Conclusion</w:t>
      </w:r>
    </w:p>
    <w:p w14:paraId="1683534D">
      <w:pPr>
        <w:spacing w:after="160" w:line="300" w:lineRule="auto"/>
        <w:jc w:val="both"/>
      </w:pPr>
      <w:r>
        <w:rPr>
          <w:rFonts w:ascii="Calibri" w:hAnsi="Calibri" w:eastAsia="Calibri" w:cs="Calibri"/>
        </w:rPr>
        <w:t>The lab successfully demonstrated end-to-end data protection for Azure IaaS Virtual Machines. Operational recovery was achieved through automated backup policies, auditability was established via diagnostic storage archiving, and regional fault tolerance was successfully implemented using Azure Site Recovery.</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3A5A5">
    <w:pPr>
      <w:jc w:val="center"/>
    </w:pPr>
    <w:r>
      <w:rPr>
        <w:rFonts w:ascii="Calibri" w:hAnsi="Calibri" w:eastAsia="Calibri" w:cs="Calibri"/>
        <w:color w:val="808080"/>
        <w:sz w:val="18"/>
        <w:szCs w:val="18"/>
      </w:rPr>
      <w:t xml:space="preserve">Page </w:t>
    </w:r>
    <w:r>
      <w:rPr>
        <w:rFonts w:ascii="Calibri" w:hAnsi="Calibri" w:eastAsia="Calibri" w:cs="Calibri"/>
        <w:color w:val="808080"/>
        <w:sz w:val="18"/>
        <w:szCs w:val="18"/>
      </w:rPr>
      <w:fldChar w:fldCharType="begin"/>
    </w:r>
    <w:r>
      <w:rPr>
        <w:rFonts w:ascii="Calibri" w:hAnsi="Calibri" w:eastAsia="Calibri" w:cs="Calibri"/>
        <w:color w:val="808080"/>
        <w:sz w:val="18"/>
        <w:szCs w:val="18"/>
      </w:rPr>
      <w:instrText xml:space="preserve">PAGE</w:instrText>
    </w:r>
    <w:r>
      <w:rPr>
        <w:rFonts w:ascii="Calibri" w:hAnsi="Calibri" w:eastAsia="Calibri" w:cs="Calibri"/>
        <w:color w:val="808080"/>
        <w:sz w:val="18"/>
        <w:szCs w:val="18"/>
      </w:rPr>
      <w:fldChar w:fldCharType="separate"/>
    </w:r>
    <w:r>
      <w:rPr>
        <w:rFonts w:ascii="Calibri" w:hAnsi="Calibri" w:eastAsia="Calibri" w:cs="Calibri"/>
        <w:color w:val="808080"/>
        <w:sz w:val="18"/>
        <w:szCs w:val="18"/>
      </w:rPr>
      <w:fldChar w:fldCharType="end"/>
    </w:r>
    <w:r>
      <w:rPr>
        <w:rFonts w:ascii="Calibri" w:hAnsi="Calibri" w:eastAsia="Calibri" w:cs="Calibri"/>
        <w:color w:val="808080"/>
        <w:sz w:val="18"/>
        <w:szCs w:val="18"/>
      </w:rPr>
      <w:t xml:space="preserve"> of </w:t>
    </w:r>
    <w:r>
      <w:rPr>
        <w:rFonts w:ascii="Calibri" w:hAnsi="Calibri" w:eastAsia="Calibri" w:cs="Calibri"/>
        <w:color w:val="808080"/>
        <w:sz w:val="18"/>
        <w:szCs w:val="18"/>
      </w:rPr>
      <w:fldChar w:fldCharType="begin"/>
    </w:r>
    <w:r>
      <w:rPr>
        <w:rFonts w:ascii="Calibri" w:hAnsi="Calibri" w:eastAsia="Calibri" w:cs="Calibri"/>
        <w:color w:val="808080"/>
        <w:sz w:val="18"/>
        <w:szCs w:val="18"/>
      </w:rPr>
      <w:instrText xml:space="preserve">NUMPAGES</w:instrText>
    </w:r>
    <w:r>
      <w:rPr>
        <w:rFonts w:ascii="Calibri" w:hAnsi="Calibri" w:eastAsia="Calibri" w:cs="Calibri"/>
        <w:color w:val="808080"/>
        <w:sz w:val="18"/>
        <w:szCs w:val="18"/>
      </w:rPr>
      <w:fldChar w:fldCharType="separate"/>
    </w:r>
    <w:r>
      <w:rPr>
        <w:rFonts w:ascii="Calibri" w:hAnsi="Calibri" w:eastAsia="Calibri" w:cs="Calibri"/>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9AF53">
    <w:pPr>
      <w:pBdr>
        <w:bottom w:val="single" w:color="D9D9D9" w:sz="4" w:space="0"/>
      </w:pBdr>
      <w:jc w:val="right"/>
    </w:pPr>
    <w:r>
      <w:rPr>
        <w:rFonts w:ascii="Calibri" w:hAnsi="Calibri" w:eastAsia="Calibri" w:cs="Calibri"/>
        <w:color w:val="808080"/>
        <w:sz w:val="16"/>
        <w:szCs w:val="16"/>
      </w:rPr>
      <w:t>AZ-104 — Implementing Data Protection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9FD6177"/>
    <w:rsid w:val="173C59AC"/>
    <w:rsid w:val="380D6386"/>
    <w:rsid w:val="57EA6D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Times New Roman" w:hAnsi="Times New Roman" w:eastAsia="SimSun" w:cs="Times New Roman"/>
      <w:sz w:val="20"/>
      <w:szCs w:val="20"/>
    </w:rPr>
  </w:style>
  <w:style w:type="character" w:styleId="14">
    <w:name w:val="HTML Code"/>
    <w:basedOn w:val="8"/>
    <w:uiPriority w:val="0"/>
    <w:rPr>
      <w:rFonts w:ascii="Courier New" w:hAnsi="Courier New" w:cs="Courier New"/>
      <w:sz w:val="20"/>
      <w:szCs w:val="20"/>
    </w:rPr>
  </w:style>
  <w:style w:type="character" w:styleId="15">
    <w:name w:val="Hyperlink"/>
    <w:unhideWhenUsed/>
    <w:uiPriority w:val="99"/>
    <w:rPr>
      <w:color w:val="0563C1"/>
      <w:u w:val="single"/>
    </w:rPr>
  </w:style>
  <w:style w:type="paragraph" w:styleId="16">
    <w:name w:val="Title"/>
    <w:qFormat/>
    <w:uiPriority w:val="0"/>
    <w:rPr>
      <w:rFonts w:ascii="Times New Roman" w:hAnsi="Times New Roman" w:eastAsia="SimSun" w:cs="Times New Roman"/>
      <w:sz w:val="56"/>
      <w:szCs w:val="56"/>
    </w:rPr>
  </w:style>
  <w:style w:type="paragraph" w:styleId="17">
    <w:name w:val="List Paragraph"/>
    <w:qFormat/>
    <w:uiPriority w:val="0"/>
    <w:rPr>
      <w:rFonts w:ascii="Times New Roman" w:hAnsi="Times New Roman" w:eastAsia="SimSun" w:cs="Times New Roman"/>
      <w:sz w:val="21"/>
      <w:szCs w:val="22"/>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561</Words>
  <Characters>3828</Characters>
  <TotalTime>159</TotalTime>
  <ScaleCrop>false</ScaleCrop>
  <LinksUpToDate>false</LinksUpToDate>
  <CharactersWithSpaces>4312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2026-08-22T15:10:00Z</dcterms:created>
  <dc:creator>Un-named</dc:creator>
  <cp:lastModifiedBy>Esat Jahan Akhi</cp:lastModifiedBy>
  <dcterms:modified xsi:type="dcterms:W3CDTF">2026-08-22T20:26:29Z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eyJoZGlkIjoiNzgxYmZiYjY0ZDAwOTVlMTI3YzdkYjAzZTIwNmU2NDciLCJ1c2VySWQiOiI4ODEzOTMzNTcxOTY1In0=</vt:lpwstr>
  </property>
  <property fmtid="{D5CDD505-2E9C-101B-9397-08002B2CF9AE}" pid="3" name="KSOProductBuildVer">
    <vt:lpwstr>1033-12.1.0.28032</vt:lpwstr>
  </property>
  <property fmtid="{D5CDD505-2E9C-101B-9397-08002B2CF9AE}" pid="4" name="ICV">
    <vt:lpwstr>2874ACCE1AC748F1AC675C3466B49709_13</vt:lpwstr>
  </property>
</Properties>
</file>