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598D5">
      <w:pPr>
        <w:spacing w:after="12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7855" cy="497205"/>
            <wp:effectExtent l="0" t="0" r="10795" b="17145"/>
            <wp:docPr id="14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85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91668">
      <w:pPr>
        <w:spacing w:after="40"/>
        <w:jc w:val="center"/>
      </w:pPr>
      <w:r>
        <w:rPr>
          <w:rFonts w:ascii="Cambria" w:hAnsi="Cambria" w:eastAsia="Cambria" w:cs="Cambria"/>
          <w:b/>
          <w:bCs/>
          <w:color w:val="1F3864"/>
          <w:sz w:val="30"/>
          <w:szCs w:val="30"/>
        </w:rPr>
        <w:t>University of Frontier Technology, Bangladesh</w:t>
      </w:r>
    </w:p>
    <w:p w14:paraId="77AD4257">
      <w:pPr>
        <w:spacing w:after="200"/>
        <w:jc w:val="center"/>
      </w:pPr>
      <w:r>
        <w:rPr>
          <w:rFonts w:ascii="Cambria" w:hAnsi="Cambria" w:eastAsia="Cambria" w:cs="Cambria"/>
          <w:b/>
          <w:bCs/>
          <w:color w:val="2E74B5"/>
          <w:sz w:val="24"/>
          <w:szCs w:val="24"/>
        </w:rPr>
        <w:t>Department of Internet of Things and Robotics Engineering</w:t>
      </w:r>
    </w:p>
    <w:p w14:paraId="1D1741E9">
      <w:pPr>
        <w:pBdr>
          <w:bottom w:val="single" w:color="2E74B5" w:sz="8" w:space="1"/>
        </w:pBdr>
        <w:spacing w:after="320"/>
      </w:pPr>
    </w:p>
    <w:tbl>
      <w:tblPr>
        <w:tblStyle w:val="9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000"/>
      </w:tblGrid>
      <w:tr w14:paraId="41CE0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90C7E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Course Code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401B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CC 483</w:t>
            </w:r>
          </w:p>
        </w:tc>
      </w:tr>
      <w:tr w14:paraId="3474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5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D83C24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Course Title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D7DF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Cloud Computing</w:t>
            </w:r>
          </w:p>
        </w:tc>
      </w:tr>
    </w:tbl>
    <w:p w14:paraId="524BE6F2">
      <w:pPr>
        <w:spacing w:after="260"/>
      </w:pPr>
    </w:p>
    <w:tbl>
      <w:tblPr>
        <w:tblStyle w:val="9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00"/>
      </w:tblGrid>
      <w:tr w14:paraId="7006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180" w:type="dxa"/>
              <w:left w:w="200" w:type="dxa"/>
              <w:bottom w:w="140" w:type="dxa"/>
              <w:right w:w="200" w:type="dxa"/>
            </w:tcMar>
          </w:tcPr>
          <w:p w14:paraId="046FFF3E">
            <w:pPr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sz w:val="34"/>
                <w:szCs w:val="34"/>
              </w:rPr>
              <w:t>LAB REPORT</w:t>
            </w:r>
          </w:p>
        </w:tc>
      </w:tr>
      <w:tr w14:paraId="7C8B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2E74B5"/>
            <w:tcMar>
              <w:top w:w="160" w:type="dxa"/>
              <w:left w:w="200" w:type="dxa"/>
              <w:bottom w:w="200" w:type="dxa"/>
              <w:right w:w="200" w:type="dxa"/>
            </w:tcMar>
          </w:tcPr>
          <w:p w14:paraId="58CA8204">
            <w:pPr>
              <w:spacing w:after="60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sz w:val="25"/>
                <w:szCs w:val="25"/>
              </w:rPr>
              <w:t>Lab 10: Cloud Infrastructure, High Availability &amp; Observability on Azure</w:t>
            </w:r>
          </w:p>
          <w:p w14:paraId="210B9D45">
            <w:pPr>
              <w:jc w:val="center"/>
            </w:pPr>
            <w:r>
              <w:rPr>
                <w:rFonts w:ascii="Cambria" w:hAnsi="Cambria" w:eastAsia="Cambria" w:cs="Cambria"/>
                <w:i/>
                <w:iCs/>
                <w:color w:val="F2F2F2"/>
                <w:sz w:val="21"/>
                <w:szCs w:val="21"/>
              </w:rPr>
              <w:t>Network Isolation, Load Balancing &amp; Cost Governance on Microsoft Azure</w:t>
            </w:r>
          </w:p>
        </w:tc>
      </w:tr>
    </w:tbl>
    <w:p w14:paraId="7F97E828">
      <w:pPr>
        <w:spacing w:after="320"/>
      </w:pPr>
    </w:p>
    <w:p w14:paraId="683E8832">
      <w:pPr>
        <w:pBdr>
          <w:bottom w:val="single" w:color="1F3864" w:sz="6" w:space="2"/>
        </w:pBdr>
        <w:spacing w:after="140"/>
        <w:jc w:val="center"/>
      </w:pPr>
      <w:r>
        <w:rPr>
          <w:rFonts w:ascii="Cambria" w:hAnsi="Cambria" w:eastAsia="Cambria" w:cs="Cambria"/>
          <w:b/>
          <w:bCs/>
          <w:color w:val="1F3864"/>
          <w:sz w:val="25"/>
          <w:szCs w:val="25"/>
          <w:u w:val="single"/>
        </w:rPr>
        <w:t>Submitted To</w:t>
      </w:r>
    </w:p>
    <w:p w14:paraId="5851C824">
      <w:pPr>
        <w:spacing w:after="20"/>
        <w:jc w:val="center"/>
      </w:pPr>
      <w:r>
        <w:rPr>
          <w:rFonts w:ascii="Cambria" w:hAnsi="Cambria" w:eastAsia="Cambria" w:cs="Cambria"/>
          <w:b/>
          <w:bCs/>
          <w:sz w:val="23"/>
          <w:szCs w:val="23"/>
        </w:rPr>
        <w:t>Farzana Akter</w:t>
      </w:r>
    </w:p>
    <w:p w14:paraId="5BA23E57">
      <w:pPr>
        <w:spacing w:after="20"/>
        <w:jc w:val="center"/>
      </w:pPr>
      <w:r>
        <w:rPr>
          <w:rFonts w:ascii="Cambria" w:hAnsi="Cambria" w:eastAsia="Cambria" w:cs="Cambria"/>
          <w:sz w:val="21"/>
          <w:szCs w:val="21"/>
        </w:rPr>
        <w:t>Assistant Professor</w:t>
      </w:r>
    </w:p>
    <w:p w14:paraId="7FC23100">
      <w:pPr>
        <w:spacing w:after="20"/>
        <w:jc w:val="center"/>
      </w:pPr>
      <w:r>
        <w:rPr>
          <w:rFonts w:ascii="Cambria" w:hAnsi="Cambria" w:eastAsia="Cambria" w:cs="Cambria"/>
          <w:sz w:val="21"/>
          <w:szCs w:val="21"/>
        </w:rPr>
        <w:t>Department of Internet of Things and Robotics Engineering</w:t>
      </w:r>
    </w:p>
    <w:p w14:paraId="6EE109B2">
      <w:pPr>
        <w:spacing w:after="300"/>
        <w:jc w:val="center"/>
      </w:pPr>
      <w:r>
        <w:rPr>
          <w:rFonts w:ascii="Cambria" w:hAnsi="Cambria" w:eastAsia="Cambria" w:cs="Cambria"/>
          <w:sz w:val="21"/>
          <w:szCs w:val="21"/>
        </w:rPr>
        <w:t>University of Frontier Technology, Bangladesh</w:t>
      </w:r>
    </w:p>
    <w:p w14:paraId="7AED87E0">
      <w:pPr>
        <w:pBdr>
          <w:bottom w:val="single" w:color="1F3864" w:sz="6" w:space="2"/>
        </w:pBdr>
        <w:spacing w:after="140"/>
        <w:jc w:val="center"/>
      </w:pPr>
      <w:r>
        <w:rPr>
          <w:rFonts w:ascii="Cambria" w:hAnsi="Cambria" w:eastAsia="Cambria" w:cs="Cambria"/>
          <w:b/>
          <w:bCs/>
          <w:color w:val="1F3864"/>
          <w:sz w:val="25"/>
          <w:szCs w:val="25"/>
          <w:u w:val="single"/>
        </w:rPr>
        <w:t>Submitted By</w:t>
      </w:r>
    </w:p>
    <w:tbl>
      <w:tblPr>
        <w:tblStyle w:val="9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800"/>
        <w:gridCol w:w="4000"/>
        <w:gridCol w:w="1800"/>
      </w:tblGrid>
      <w:tr w14:paraId="5DDD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9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0051A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Sl</w:t>
            </w:r>
          </w:p>
        </w:tc>
        <w:tc>
          <w:tcPr>
            <w:tcW w:w="1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1568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Class Roll</w:t>
            </w:r>
          </w:p>
        </w:tc>
        <w:tc>
          <w:tcPr>
            <w:tcW w:w="40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C1EF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1800" w:type="dxa"/>
            <w:tcBorders>
              <w:top w:val="single" w:color="1F3864" w:sz="4" w:space="0"/>
              <w:left w:val="single" w:color="1F3864" w:sz="4" w:space="0"/>
              <w:bottom w:val="single" w:color="1F3864" w:sz="4" w:space="0"/>
              <w:right w:val="single" w:color="1F3864" w:sz="4" w:space="0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26EC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FFFFFF"/>
                <w:sz w:val="22"/>
                <w:szCs w:val="22"/>
              </w:rPr>
              <w:t>Session</w:t>
            </w:r>
          </w:p>
        </w:tc>
      </w:tr>
      <w:tr w14:paraId="3D408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8194E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01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B414E0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2201022</w:t>
            </w:r>
          </w:p>
        </w:tc>
        <w:tc>
          <w:tcPr>
            <w:tcW w:w="4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CCA3B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Mst. Esat Jahan Akhi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FA5305">
            <w:pPr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2022-2023</w:t>
            </w:r>
          </w:p>
        </w:tc>
      </w:tr>
    </w:tbl>
    <w:p w14:paraId="7E9E3F81">
      <w:pPr>
        <w:spacing w:before="320" w:after="100"/>
      </w:pP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0200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E2AB5CE">
            <w:pPr>
              <w:spacing w:after="40"/>
              <w:jc w:val="center"/>
            </w:pPr>
            <w:r>
              <w:rPr>
                <w:rFonts w:ascii="Cambria" w:hAnsi="Cambria" w:eastAsia="Cambria" w:cs="Cambria"/>
                <w:b/>
                <w:bCs/>
                <w:sz w:val="20"/>
                <w:szCs w:val="20"/>
              </w:rPr>
              <w:t>Date of Submission</w:t>
            </w:r>
          </w:p>
          <w:p w14:paraId="5F70347E">
            <w:pPr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1F3864"/>
                <w:sz w:val="20"/>
                <w:szCs w:val="20"/>
              </w:rPr>
              <w:t>August 6, 2026</w:t>
            </w:r>
          </w:p>
        </w:tc>
      </w:tr>
    </w:tbl>
    <w:p w14:paraId="1273F795">
      <w:pPr>
        <w:pBdr>
          <w:bottom w:val="single" w:color="2E74B5" w:sz="8" w:space="1"/>
        </w:pBdr>
        <w:spacing w:before="400"/>
      </w:pPr>
    </w:p>
    <w:p w14:paraId="035B986B">
      <w:r>
        <w:br w:type="page"/>
      </w:r>
    </w:p>
    <w:p w14:paraId="7976CEF1">
      <w:pPr>
        <w:sectPr>
          <w:pgSz w:w="12240" w:h="15840"/>
          <w:pgMar w:top="1000" w:right="1100" w:bottom="1000" w:left="1100" w:header="708" w:footer="708" w:gutter="0"/>
          <w:cols w:space="720" w:num="1"/>
          <w:docGrid w:linePitch="360" w:charSpace="0"/>
        </w:sectPr>
      </w:pPr>
    </w:p>
    <w:p w14:paraId="0FD51EDF">
      <w:pPr>
        <w:pStyle w:val="2"/>
        <w:pBdr>
          <w:bottom w:val="single" w:color="1F3864" w:sz="6" w:space="4"/>
        </w:pBdr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Executive Summary</w:t>
      </w:r>
    </w:p>
    <w:p w14:paraId="15A13E28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This lab focuses on architecting and deploying a secure, high-performing, and cost-efficient cloud environment on Microsoft Azure. The overall design addresses three major enterprise requirements:</w:t>
      </w:r>
    </w:p>
    <w:p w14:paraId="05D5487B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Network Security &amp; Isolation (Task 1): Deploying application and database tiers inside segregated private subnets using Network Security Groups (NSGs) to prevent direct public internet exposure to sensitive data.</w:t>
      </w:r>
    </w:p>
    <w:p w14:paraId="22BE2561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Scalability &amp; High Availability (Task 2): Distributing web traffic across multiple application instances via an Azure Load Balancer with active Health Probes to ensure seamless continuity during virtual machine (VM) failures.</w:t>
      </w:r>
    </w:p>
    <w:p w14:paraId="19B7530B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Observability &amp; Cost Governance (Task 3): Implementing real-time monitoring through Azure Monitor, configuring automated metric-based alerts, and establishing budget limits to prevent cloud overspending.</w:t>
      </w:r>
    </w:p>
    <w:p w14:paraId="0BB4FA20">
      <w:pPr>
        <w:spacing w:before="200" w:after="20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192F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C631C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Resource Group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E059D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Lab10-RG</w:t>
            </w:r>
          </w:p>
        </w:tc>
      </w:tr>
      <w:tr w14:paraId="4136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010A8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Subscription</w:t>
            </w:r>
          </w:p>
        </w:tc>
        <w:tc>
          <w:tcPr>
            <w:tcW w:w="60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85FC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Azure for Students</w:t>
            </w:r>
          </w:p>
        </w:tc>
      </w:tr>
    </w:tbl>
    <w:p w14:paraId="5B2EBEBB">
      <w:r>
        <w:br w:type="page"/>
      </w:r>
    </w:p>
    <w:p w14:paraId="71FA5238">
      <w:pPr>
        <w:pStyle w:val="2"/>
        <w:pBdr>
          <w:bottom w:val="single" w:color="1F3864" w:sz="6" w:space="4"/>
        </w:pBdr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Task 1: Secure Network &amp; Private Database Deployment</w:t>
      </w:r>
    </w:p>
    <w:p w14:paraId="64386956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1.1 Architectural Overview</w:t>
      </w:r>
    </w:p>
    <w:p w14:paraId="70915D50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A custom Virtual Network (Lab10-VNet) was provisioned to establish strict network boundaries. The topology divides the network space into two distinct private subnets:</w:t>
      </w:r>
    </w:p>
    <w:p w14:paraId="259F8D59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AppSubnet: Hosts application servers (App-VM and App-VM2).</w:t>
      </w:r>
    </w:p>
    <w:p w14:paraId="01326DF1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DBSubnet: Dedicated solely to the database server (DB-VM).</w:t>
      </w:r>
    </w:p>
    <w:p w14:paraId="5FB89413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1.2 Security Configuration (NSG Rules)</w:t>
      </w:r>
    </w:p>
    <w:p w14:paraId="144925F8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Network Security Groups were created and associated with their respective subnets:</w:t>
      </w:r>
    </w:p>
    <w:p w14:paraId="77413F35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AppNSG (Application Subnet)</w:t>
      </w:r>
    </w:p>
    <w:p w14:paraId="44D59995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Allowed inbound HTTP (Port 80) and HTTPS (Port 443) traffic to serve application requests.</w:t>
      </w:r>
    </w:p>
    <w:p w14:paraId="10B34687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DBNSG (Database Subnet)</w:t>
      </w:r>
    </w:p>
    <w:p w14:paraId="0F0C5643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Allowed inbound database traffic (e.g., Port 1433/3306) only originating from the AppSubnet IP range (10.0.1.0/24).</w:t>
      </w:r>
    </w:p>
    <w:p w14:paraId="595251E1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Denied all direct public inbound connections from external IP addresses.</w:t>
      </w:r>
    </w:p>
    <w:p w14:paraId="3FE8B2D9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1.3 Connectivity &amp; Security Verification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00"/>
      </w:tblGrid>
      <w:tr w14:paraId="01F3F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CC093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Public Access Attempt to DB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6C950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Attempts to connect directly to DB-VM via external public IPs failed as expected, confirming effective perimeter protection.</w:t>
            </w:r>
          </w:p>
        </w:tc>
      </w:tr>
      <w:tr w14:paraId="3FF72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6563A5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App-to-DB Communication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1D3A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Internal communication between App-VM (10.0.1.4) and DB-VM (10.0.1.5) succeeded over private IPs, confirming proper cross-subnet routing.</w:t>
            </w:r>
          </w:p>
        </w:tc>
      </w:tr>
    </w:tbl>
    <w:p w14:paraId="1ABA3B92">
      <w:r>
        <w:br w:type="page"/>
      </w:r>
    </w:p>
    <w:p w14:paraId="209A85E8">
      <w:pPr>
        <w:pStyle w:val="2"/>
        <w:pBdr>
          <w:bottom w:val="single" w:color="1F3864" w:sz="6" w:space="4"/>
        </w:pBdr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 xml:space="preserve">Task 2: Scalability &amp; High Availability </w:t>
      </w:r>
      <w:bookmarkStart w:id="0" w:name="_GoBack"/>
      <w:bookmarkEnd w:id="0"/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Configuration</w:t>
      </w:r>
    </w:p>
    <w:p w14:paraId="241099EE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2.1 Load Balancer &amp; Backend Topology</w:t>
      </w:r>
    </w:p>
    <w:p w14:paraId="6C980C66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To eliminate single points of failure, an Azure Standard Load Balancer (Lab10-LB) was deployed in front of the application layer.</w:t>
      </w:r>
    </w:p>
    <w:p w14:paraId="4B8EB6B2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Frontend IP: Configured with a Public IP (40.80.76.113 / LB-Frontend-IP).</w:t>
      </w:r>
    </w:p>
    <w:p w14:paraId="20C8CADE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Backend Pool (App-Backend-Pool): Contains App-VM (10.0.1.5) and App-VM2 (10.0.1.4).</w:t>
      </w:r>
    </w:p>
    <w:p w14:paraId="48090E0A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Health Probe (HTTP-Probe): Monitored backend instance status via TCP Port 80 at 5-second intervals.</w:t>
      </w:r>
    </w:p>
    <w:p w14:paraId="02580A8C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Load Balancing Rule (HTTP-Rule): Routed incoming port 80 frontend traffic evenly across healthy backend pool instances.</w:t>
      </w:r>
    </w:p>
    <w:p w14:paraId="66FB0E5A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2.2 Configuration Evidence</w:t>
      </w:r>
    </w:p>
    <w:p w14:paraId="50FA1CC8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Backend pool configuration showing App-VM and App-VM2:</w:t>
      </w:r>
    </w:p>
    <w:p w14:paraId="71C1F979">
      <w:pPr>
        <w:spacing w:after="160"/>
      </w:pPr>
      <w:r>
        <w:drawing>
          <wp:inline distT="0" distB="0" distL="114300" distR="114300">
            <wp:extent cx="6374130" cy="3109595"/>
            <wp:effectExtent l="0" t="0" r="762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413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9902">
      <w:pPr>
        <w:spacing w:after="160" w:line="300" w:lineRule="auto"/>
        <w:jc w:val="both"/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Health probe settings for HTTP-Probe:</w:t>
      </w:r>
    </w:p>
    <w:p w14:paraId="7A02C798">
      <w:pPr>
        <w:spacing w:after="160" w:line="300" w:lineRule="auto"/>
        <w:jc w:val="both"/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</w:pPr>
      <w:r>
        <w:drawing>
          <wp:inline distT="0" distB="0" distL="114300" distR="114300">
            <wp:extent cx="6369050" cy="3157855"/>
            <wp:effectExtent l="0" t="0" r="12700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E3F1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2.3 Failure Simulation &amp; Traffic Failover Analysis</w:t>
      </w:r>
    </w:p>
    <w:p w14:paraId="0D84F44D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Simulation Procedure</w:t>
      </w:r>
    </w:p>
    <w:p w14:paraId="5FE5A876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Both App-VM and App-VM2 were initially added to App-Backend-Pool.</w:t>
      </w:r>
    </w:p>
    <w:p w14:paraId="48EDECEE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 manual failure was simulated by initiating a Stop (Deallocate) command on App-VM2 via the Azure Portal.</w:t>
      </w:r>
    </w:p>
    <w:p w14:paraId="5FDA7069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The Load Balancer's HTTP-Probe continuously evaluated the host condition.</w:t>
      </w:r>
    </w:p>
    <w:p w14:paraId="16C0B347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Observations &amp; Results</w:t>
      </w:r>
    </w:p>
    <w:p w14:paraId="2EB8A22C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Upon stopping App-VM2, the health probe detected consecutive failed responses and flagged the instance as unhealthy/down.</w:t>
      </w:r>
    </w:p>
    <w:p w14:paraId="78922755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Traffic routing automatically adapted, directing all incoming user requests exclusively to the remaining healthy node (App-VM).</w:t>
      </w:r>
    </w:p>
    <w:p w14:paraId="4FF6704D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Application access remained continuous with zero downtime reported from the end-user perspective.</w:t>
      </w:r>
    </w:p>
    <w:p w14:paraId="30365FD4">
      <w:pPr>
        <w:spacing w:before="100" w:after="160"/>
      </w:pPr>
    </w:p>
    <w:p w14:paraId="32D4CC43">
      <w:pPr>
        <w:spacing w:after="160" w:line="300" w:lineRule="auto"/>
        <w:jc w:val="both"/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Load Balancer metrics showing health probe status graph:</w:t>
      </w:r>
    </w:p>
    <w:p w14:paraId="4D2AF1AC">
      <w:pPr>
        <w:spacing w:after="160" w:line="300" w:lineRule="auto"/>
        <w:jc w:val="both"/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</w:pPr>
      <w:r>
        <w:drawing>
          <wp:inline distT="0" distB="0" distL="114300" distR="114300">
            <wp:extent cx="6375400" cy="4397375"/>
            <wp:effectExtent l="0" t="0" r="6350" b="317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39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12BE">
      <w:r>
        <w:drawing>
          <wp:inline distT="0" distB="0" distL="114300" distR="114300">
            <wp:extent cx="6369050" cy="3147060"/>
            <wp:effectExtent l="0" t="0" r="12700" b="152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17CE">
      <w:r>
        <w:drawing>
          <wp:inline distT="0" distB="0" distL="114300" distR="114300">
            <wp:extent cx="6367145" cy="4220210"/>
            <wp:effectExtent l="0" t="0" r="14605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AE393">
      <w:r>
        <w:br w:type="page"/>
      </w:r>
    </w:p>
    <w:p w14:paraId="2D95C32F">
      <w:pPr>
        <w:pStyle w:val="2"/>
        <w:pBdr>
          <w:bottom w:val="single" w:color="1F3864" w:sz="6" w:space="4"/>
        </w:pBdr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Task 3: Observability &amp; Cost Analysis</w:t>
      </w:r>
    </w:p>
    <w:p w14:paraId="6BA28D21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3.1 Azure Monitor &amp; Metrics Analysis</w:t>
      </w:r>
    </w:p>
    <w:p w14:paraId="1EB07779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Real-time monitoring was enabled across all deployed virtual machines and network resources. Key performance metrics were tracked:</w:t>
      </w:r>
    </w:p>
    <w:p w14:paraId="244C1800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Percentage CPU: Monitored compute load on application nodes.</w:t>
      </w:r>
    </w:p>
    <w:p w14:paraId="064A11D0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Network In/Out: Evaluated throughput across the Load Balancer and VM interfaces.</w:t>
      </w:r>
    </w:p>
    <w:p w14:paraId="47C4038A">
      <w:pPr>
        <w:pStyle w:val="16"/>
        <w:numPr>
          <w:ilvl w:val="0"/>
          <w:numId w:val="1"/>
        </w:numPr>
        <w:spacing w:after="100" w:line="300" w:lineRule="auto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Health Probe Status: Tracked active availability counts.</w:t>
      </w:r>
    </w:p>
    <w:p w14:paraId="650A6B5B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3.2 High CPU Alert Rule Setup</w:t>
      </w:r>
    </w:p>
    <w:p w14:paraId="49F93ADD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To ensure proactive incident management, an automated alert rule was configured: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00"/>
      </w:tblGrid>
      <w:tr w14:paraId="36C3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FEEBE6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Target Resource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8D115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App-VM</w:t>
            </w:r>
          </w:p>
        </w:tc>
      </w:tr>
      <w:tr w14:paraId="7A0AD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CD1BC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Signal Condition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D6D6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Percentage CPU &gt; 80%</w:t>
            </w:r>
          </w:p>
        </w:tc>
      </w:tr>
      <w:tr w14:paraId="7B416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C7E7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Action Group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6A49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NotifyAdmin (Global scope, Display Name: NotifyAdmin)</w:t>
            </w:r>
          </w:p>
        </w:tc>
      </w:tr>
      <w:tr w14:paraId="0423D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3EEE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Notification Mechanism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E85F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Email alert dispatched to administrator upon threshold breach.</w:t>
            </w:r>
          </w:p>
        </w:tc>
      </w:tr>
    </w:tbl>
    <w:p w14:paraId="634B7021">
      <w:pPr>
        <w:pStyle w:val="3"/>
        <w:spacing w:before="260" w:after="120"/>
      </w:pPr>
      <w:r>
        <w:drawing>
          <wp:inline distT="0" distB="0" distL="114300" distR="114300">
            <wp:extent cx="6361430" cy="3108960"/>
            <wp:effectExtent l="0" t="0" r="1270" b="152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143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2A70">
      <w:r>
        <w:drawing>
          <wp:inline distT="0" distB="0" distL="114300" distR="114300">
            <wp:extent cx="6372225" cy="6435725"/>
            <wp:effectExtent l="0" t="0" r="9525" b="317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4BC0A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3.3 Cost Governance: Monthly Budgeting</w:t>
      </w:r>
    </w:p>
    <w:p w14:paraId="4A59468A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To control operational expenditures and prevent unexpected credit exhaustion: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5800"/>
      </w:tblGrid>
      <w:tr w14:paraId="3FBD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7781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Scope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A31A2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Lab10-RG / Subscription</w:t>
            </w:r>
          </w:p>
        </w:tc>
      </w:tr>
      <w:tr w14:paraId="76493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3C23A9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Budget Name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C6812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Lab10-Monthly-Budget</w:t>
            </w:r>
          </w:p>
        </w:tc>
      </w:tr>
      <w:tr w14:paraId="5F50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0D0FF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60813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$30.00  Monthly</w:t>
            </w:r>
          </w:p>
        </w:tc>
      </w:tr>
      <w:tr w14:paraId="1737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CE9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81922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000000"/>
                <w:sz w:val="22"/>
                <w:szCs w:val="22"/>
              </w:rPr>
              <w:t>Alert Trigger</w:t>
            </w:r>
          </w:p>
        </w:tc>
        <w:tc>
          <w:tcPr>
            <w:tcW w:w="5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70B0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Automated email notification dispatched when actual cost reaches 80% of the budgeted limit.</w:t>
            </w:r>
          </w:p>
        </w:tc>
      </w:tr>
    </w:tbl>
    <w:p w14:paraId="3FB7FA83">
      <w:pPr>
        <w:spacing w:before="200" w:after="160"/>
      </w:pPr>
    </w:p>
    <w:p w14:paraId="386F3A14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/>
          <w:iCs/>
          <w:sz w:val="22"/>
          <w:szCs w:val="22"/>
        </w:rPr>
        <w:t>Cost Management Budgets dashboard showing Lab10-Monthly-Budget:</w:t>
      </w:r>
    </w:p>
    <w:p w14:paraId="67293C93">
      <w:r>
        <w:drawing>
          <wp:inline distT="0" distB="0" distL="114300" distR="114300">
            <wp:extent cx="6365240" cy="3123565"/>
            <wp:effectExtent l="0" t="0" r="16510" b="63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524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D5CE"/>
    <w:p w14:paraId="0BAFA3B0">
      <w:pPr>
        <w:rPr>
          <w:rFonts w:hint="default" w:ascii="Calibri" w:hAnsi="Calibri" w:eastAsia="SimSun" w:cs="Calibri"/>
          <w:i/>
          <w:i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i/>
          <w:iCs/>
          <w:sz w:val="24"/>
          <w:szCs w:val="24"/>
        </w:rPr>
        <w:t>Total Lab Expenditure &amp; Credit Analysis</w:t>
      </w:r>
      <w:r>
        <w:rPr>
          <w:rFonts w:hint="default" w:ascii="Calibri" w:hAnsi="Calibri" w:eastAsia="SimSun" w:cs="Calibri"/>
          <w:i/>
          <w:iCs/>
          <w:sz w:val="24"/>
          <w:szCs w:val="24"/>
          <w:lang w:val="en-US"/>
        </w:rPr>
        <w:t>:</w:t>
      </w:r>
    </w:p>
    <w:p w14:paraId="3044AFF9">
      <w:r>
        <w:drawing>
          <wp:inline distT="0" distB="0" distL="114300" distR="114300">
            <wp:extent cx="6369685" cy="3132455"/>
            <wp:effectExtent l="0" t="0" r="12065" b="1079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A253">
      <w:r>
        <w:drawing>
          <wp:inline distT="0" distB="0" distL="114300" distR="114300">
            <wp:extent cx="6371590" cy="3132455"/>
            <wp:effectExtent l="0" t="0" r="10160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90786"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3.4 Analytical Questions &amp; Technical Evaluation</w:t>
      </w:r>
    </w:p>
    <w:p w14:paraId="18A6150E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Question 1: Compare metrics before and after enabling load balancing. What changed and why?</w:t>
      </w:r>
    </w:p>
    <w:p w14:paraId="27DBA30B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Before Load Balancing</w:t>
      </w:r>
    </w:p>
    <w:p w14:paraId="583CD78C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All incoming traffic hit a single virtual machine instance. During peak traffic or stress testing, CPU utilization and network latency spiked significantly on that single node, creating a single point of failure (SPOF).</w:t>
      </w:r>
    </w:p>
    <w:p w14:paraId="4B521CCC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After Load Balancing</w:t>
      </w:r>
    </w:p>
    <w:p w14:paraId="52A979EC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Traffic is distributed across two backend nodes (App-VM and App-VM2). Individual node CPU utilization decreased, network load was balanced, and system reliability improved. In the event of a single node failure, failover occurs instantly without disrupting service continuity.</w:t>
      </w:r>
    </w:p>
    <w:p w14:paraId="2F9E9A42">
      <w:pPr>
        <w:pStyle w:val="3"/>
        <w:spacing w:before="260" w:after="120"/>
      </w:pPr>
      <w:r>
        <w:rPr>
          <w:rFonts w:ascii="Calibri" w:hAnsi="Calibri" w:eastAsia="Calibri" w:cs="Calibri"/>
          <w:b/>
          <w:bCs/>
          <w:color w:val="2E74B5"/>
          <w:sz w:val="26"/>
          <w:szCs w:val="26"/>
        </w:rPr>
        <w:t>Question 2: Identify which resources incur the highest cost and suggest optimization strategies.</w:t>
      </w:r>
    </w:p>
    <w:p w14:paraId="3AE586E4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Highest Cost Resources</w:t>
      </w:r>
    </w:p>
    <w:p w14:paraId="5164B05C">
      <w:pPr>
        <w:pStyle w:val="16"/>
        <w:numPr>
          <w:ilvl w:val="0"/>
          <w:numId w:val="2"/>
        </w:numPr>
        <w:spacing w:after="100" w:line="300" w:lineRule="auto"/>
        <w:ind w:left="420" w:leftChars="0" w:hanging="420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Virtual Machines (Compute - D-Series): Compute resources running 24/7 account for the primary share of infrastructure spend.</w:t>
      </w:r>
    </w:p>
    <w:p w14:paraId="4020F1BD">
      <w:pPr>
        <w:pStyle w:val="16"/>
        <w:numPr>
          <w:ilvl w:val="0"/>
          <w:numId w:val="2"/>
        </w:numPr>
        <w:spacing w:after="100" w:line="300" w:lineRule="auto"/>
        <w:ind w:left="420" w:leftChars="0" w:hanging="420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Standard Public IP Addresses: Provisioning static/standard public IPs for Load Balancers and VMs incurs fixed hourly charges.</w:t>
      </w:r>
    </w:p>
    <w:p w14:paraId="51C2143F">
      <w:pPr>
        <w:spacing w:before="200" w:after="100"/>
      </w:pPr>
      <w:r>
        <w:rPr>
          <w:rFonts w:ascii="Calibri" w:hAnsi="Calibri" w:eastAsia="Calibri" w:cs="Calibri"/>
          <w:b/>
          <w:bCs/>
          <w:color w:val="404040"/>
          <w:sz w:val="23"/>
          <w:szCs w:val="23"/>
        </w:rPr>
        <w:t>Optimization Strategies</w:t>
      </w:r>
    </w:p>
    <w:p w14:paraId="03D47A92">
      <w:pPr>
        <w:pStyle w:val="16"/>
        <w:numPr>
          <w:ilvl w:val="0"/>
          <w:numId w:val="2"/>
        </w:numPr>
        <w:spacing w:after="100" w:line="300" w:lineRule="auto"/>
        <w:ind w:left="420" w:leftChars="0" w:hanging="420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Auto-Scaling / Scheduled Shutdowns: Implement auto-scaling or Azure Automation runbooks to stop/deallocate non-production instances outside business hours.</w:t>
      </w:r>
    </w:p>
    <w:p w14:paraId="288841F8">
      <w:pPr>
        <w:pStyle w:val="16"/>
        <w:numPr>
          <w:ilvl w:val="0"/>
          <w:numId w:val="2"/>
        </w:numPr>
        <w:spacing w:after="100" w:line="300" w:lineRule="auto"/>
        <w:ind w:left="420" w:leftChars="0" w:hanging="420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Instance Right-Sizing: Evaluate actual CPU usage and migrate from general-purpose D-series to B-series (Burstable) VMs for variable workloads.</w:t>
      </w:r>
    </w:p>
    <w:p w14:paraId="7CDF554C">
      <w:pPr>
        <w:pStyle w:val="16"/>
        <w:numPr>
          <w:ilvl w:val="0"/>
          <w:numId w:val="2"/>
        </w:numPr>
        <w:spacing w:after="100" w:line="300" w:lineRule="auto"/>
        <w:ind w:left="420" w:leftChars="0" w:hanging="420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Azure Reserved Instances (RI): Commit to 1-year or 3-year Reserved VM Instances for production nodes to achieve up to 72% cost savings over pay-as-you-go pricing.</w:t>
      </w:r>
    </w:p>
    <w:p w14:paraId="78E2ED84">
      <w:pPr>
        <w:pStyle w:val="2"/>
        <w:pBdr>
          <w:bottom w:val="single" w:color="1F3864" w:sz="6" w:space="4"/>
        </w:pBdr>
        <w:spacing w:before="320" w:after="160"/>
      </w:pPr>
      <w:r>
        <w:rPr>
          <w:rFonts w:ascii="Calibri" w:hAnsi="Calibri" w:eastAsia="Calibri" w:cs="Calibri"/>
          <w:b/>
          <w:bCs/>
          <w:color w:val="1F3864"/>
          <w:sz w:val="30"/>
          <w:szCs w:val="30"/>
        </w:rPr>
        <w:t>Conclusion</w:t>
      </w:r>
    </w:p>
    <w:p w14:paraId="0E35AC28">
      <w:pPr>
        <w:spacing w:after="160" w:line="300" w:lineRule="auto"/>
        <w:jc w:val="both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deployment successfully met all design requirements:</w:t>
      </w:r>
    </w:p>
    <w:p w14:paraId="5E5E032C">
      <w:pPr>
        <w:pStyle w:val="16"/>
        <w:numPr>
          <w:ilvl w:val="0"/>
          <w:numId w:val="3"/>
        </w:numPr>
        <w:spacing w:after="100" w:line="300" w:lineRule="auto"/>
        <w:ind w:left="425" w:leftChars="0" w:hanging="425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Network isolation was enforced via NSG rules, protecting the database tier from public exposure.</w:t>
      </w:r>
    </w:p>
    <w:p w14:paraId="395B8CA7">
      <w:pPr>
        <w:pStyle w:val="16"/>
        <w:numPr>
          <w:ilvl w:val="0"/>
          <w:numId w:val="3"/>
        </w:numPr>
        <w:spacing w:after="100" w:line="300" w:lineRule="auto"/>
        <w:ind w:left="425" w:leftChars="0" w:hanging="425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High availability and automatic failover were established through Azure Load Balancer and Health Probes.</w:t>
      </w:r>
    </w:p>
    <w:p w14:paraId="605A53B7">
      <w:pPr>
        <w:pStyle w:val="16"/>
        <w:numPr>
          <w:ilvl w:val="0"/>
          <w:numId w:val="3"/>
        </w:numPr>
        <w:spacing w:after="100" w:line="300" w:lineRule="auto"/>
        <w:ind w:left="425" w:leftChars="0" w:hanging="425" w:firstLineChars="0"/>
      </w:pPr>
      <w:r>
        <w:rPr>
          <w:rFonts w:ascii="Calibri" w:hAnsi="Calibri" w:eastAsia="Calibri" w:cs="Calibri"/>
          <w:b w:val="0"/>
          <w:bCs w:val="0"/>
          <w:sz w:val="22"/>
          <w:szCs w:val="22"/>
        </w:rPr>
        <w:t>Full operational transparency and financial governance were implemented using Azure Monitor alerts and Cost Management budgets.</w:t>
      </w:r>
    </w:p>
    <w:sectPr>
      <w:headerReference r:id="rId3" w:type="default"/>
      <w:footerReference r:id="rId4" w:type="default"/>
      <w:pgSz w:w="12240" w:h="15840"/>
      <w:pgMar w:top="1100" w:right="1100" w:bottom="11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7BFD1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726FB">
    <w:pPr>
      <w:pBdr>
        <w:bottom w:val="single" w:color="BFBFBF" w:sz="4" w:space="4"/>
      </w:pBdr>
      <w:jc w:val="right"/>
    </w:pPr>
    <w:r>
      <w:rPr>
        <w:i/>
        <w:iCs/>
        <w:color w:val="808080"/>
        <w:sz w:val="16"/>
        <w:szCs w:val="16"/>
      </w:rPr>
      <w:t>Lab 10 — Cloud Infrastructure, HA &amp; Observability on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  <w:lvl w:ilvl="1" w:tentative="0">
      <w:start w:val="1"/>
      <w:numFmt w:val="bullet"/>
      <w:lvlText w:val="◦"/>
      <w:lvlJc w:val="left"/>
      <w:pPr>
        <w:ind w:left="900" w:hanging="260"/>
      </w:pPr>
    </w:lvl>
  </w:abstractNum>
  <w:abstractNum w:abstractNumId="1">
    <w:nsid w:val="115276D1"/>
    <w:multiLevelType w:val="singleLevel"/>
    <w:tmpl w:val="115276D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5BE1BE7"/>
    <w:multiLevelType w:val="singleLevel"/>
    <w:tmpl w:val="25BE1BE7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5051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1016</Words>
  <Characters>6514</Characters>
  <TotalTime>26</TotalTime>
  <ScaleCrop>false</ScaleCrop>
  <LinksUpToDate>false</LinksUpToDate>
  <CharactersWithSpaces>7409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2026-08-06T16:00:00Z</dcterms:created>
  <dc:creator>Un-named</dc:creator>
  <cp:lastModifiedBy>Esat Jahan Akhi</cp:lastModifiedBy>
  <dcterms:modified xsi:type="dcterms:W3CDTF">2026-08-06T16:52:48Z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eyJoZGlkIjoiNzgxYmZiYjY0ZDAwOTVlMTI3YzdkYjAzZTIwNmU2NDciLCJ1c2VySWQiOiI4ODEzOTMzNTcxOTY1In0=</vt:lpwstr>
  </property>
  <property fmtid="{D5CDD505-2E9C-101B-9397-08002B2CF9AE}" pid="3" name="KSOProductBuildVer">
    <vt:lpwstr>1033-12.1.0.28032</vt:lpwstr>
  </property>
  <property fmtid="{D5CDD505-2E9C-101B-9397-08002B2CF9AE}" pid="4" name="ICV">
    <vt:lpwstr>2EEDA902E9EB4FFBAF46183CC94F09B9_13</vt:lpwstr>
  </property>
</Properties>
</file>