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4D467">
      <w:pPr>
        <w:spacing w:after="120"/>
        <w:jc w:val="center"/>
      </w:pPr>
      <w:r>
        <w:rPr>
          <w:rFonts w:ascii="SimSun" w:hAnsi="SimSun" w:eastAsia="SimSun" w:cs="SimSun"/>
          <w:sz w:val="24"/>
          <w:szCs w:val="24"/>
        </w:rPr>
        <w:drawing>
          <wp:inline distT="0" distB="0" distL="114300" distR="114300">
            <wp:extent cx="617855" cy="497205"/>
            <wp:effectExtent l="0" t="0" r="10795" b="17145"/>
            <wp:docPr id="1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56"/>
                    <pic:cNvPicPr>
                      <a:picLocks noChangeAspect="1"/>
                    </pic:cNvPicPr>
                  </pic:nvPicPr>
                  <pic:blipFill>
                    <a:blip r:embed="rId6"/>
                    <a:stretch>
                      <a:fillRect/>
                    </a:stretch>
                  </pic:blipFill>
                  <pic:spPr>
                    <a:xfrm>
                      <a:off x="0" y="0"/>
                      <a:ext cx="617855" cy="497205"/>
                    </a:xfrm>
                    <a:prstGeom prst="rect">
                      <a:avLst/>
                    </a:prstGeom>
                    <a:noFill/>
                    <a:ln w="9525">
                      <a:noFill/>
                    </a:ln>
                  </pic:spPr>
                </pic:pic>
              </a:graphicData>
            </a:graphic>
          </wp:inline>
        </w:drawing>
      </w:r>
      <w:bookmarkStart w:id="0" w:name="_GoBack"/>
      <w:bookmarkEnd w:id="0"/>
    </w:p>
    <w:p w14:paraId="11C390C7">
      <w:pPr>
        <w:spacing w:after="40"/>
        <w:jc w:val="center"/>
      </w:pPr>
      <w:r>
        <w:rPr>
          <w:rFonts w:ascii="Cambria" w:hAnsi="Cambria" w:eastAsia="Cambria" w:cs="Cambria"/>
          <w:b/>
          <w:bCs/>
          <w:color w:val="1F3864"/>
          <w:sz w:val="30"/>
          <w:szCs w:val="30"/>
        </w:rPr>
        <w:t>University of Frontier Technology, Bangladesh</w:t>
      </w:r>
    </w:p>
    <w:p w14:paraId="5C1D47DC">
      <w:pPr>
        <w:spacing w:after="200"/>
        <w:jc w:val="center"/>
      </w:pPr>
      <w:r>
        <w:rPr>
          <w:rFonts w:ascii="Cambria" w:hAnsi="Cambria" w:eastAsia="Cambria" w:cs="Cambria"/>
          <w:b/>
          <w:bCs/>
          <w:color w:val="2E74B5"/>
          <w:sz w:val="24"/>
          <w:szCs w:val="24"/>
        </w:rPr>
        <w:t>Department of Internet of Things and Robotics Engineering</w:t>
      </w:r>
    </w:p>
    <w:p w14:paraId="7C8A7F31">
      <w:pPr>
        <w:pBdr>
          <w:bottom w:val="single" w:color="2E74B5" w:sz="8" w:space="1"/>
        </w:pBdr>
        <w:spacing w:after="320"/>
      </w:pPr>
    </w:p>
    <w:tbl>
      <w:tblPr>
        <w:tblStyle w:val="9"/>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000"/>
      </w:tblGrid>
      <w:tr w14:paraId="41CC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429E7B95">
            <w:pPr>
              <w:jc w:val="left"/>
            </w:pPr>
            <w:r>
              <w:rPr>
                <w:rFonts w:ascii="Calibri" w:hAnsi="Calibri" w:eastAsia="Calibri" w:cs="Calibri"/>
                <w:b/>
                <w:bCs/>
                <w:i w:val="0"/>
                <w:iCs w:val="0"/>
                <w:color w:val="000000"/>
                <w:sz w:val="22"/>
                <w:szCs w:val="22"/>
              </w:rPr>
              <w:t>Course Code</w:t>
            </w:r>
          </w:p>
        </w:tc>
        <w:tc>
          <w:tcPr>
            <w:tcW w:w="60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5A86968">
            <w:pPr>
              <w:jc w:val="left"/>
            </w:pPr>
            <w:r>
              <w:rPr>
                <w:rFonts w:ascii="Calibri" w:hAnsi="Calibri" w:eastAsia="Calibri" w:cs="Calibri"/>
                <w:b w:val="0"/>
                <w:bCs w:val="0"/>
                <w:i w:val="0"/>
                <w:iCs w:val="0"/>
                <w:color w:val="000000"/>
                <w:sz w:val="22"/>
                <w:szCs w:val="22"/>
              </w:rPr>
              <w:t>CC 483</w:t>
            </w:r>
          </w:p>
        </w:tc>
      </w:tr>
      <w:tr w14:paraId="3241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5674D68A">
            <w:pPr>
              <w:jc w:val="left"/>
            </w:pPr>
            <w:r>
              <w:rPr>
                <w:rFonts w:ascii="Calibri" w:hAnsi="Calibri" w:eastAsia="Calibri" w:cs="Calibri"/>
                <w:b/>
                <w:bCs/>
                <w:i w:val="0"/>
                <w:iCs w:val="0"/>
                <w:color w:val="000000"/>
                <w:sz w:val="22"/>
                <w:szCs w:val="22"/>
              </w:rPr>
              <w:t>Course Title</w:t>
            </w:r>
          </w:p>
        </w:tc>
        <w:tc>
          <w:tcPr>
            <w:tcW w:w="60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59A81B95">
            <w:pPr>
              <w:jc w:val="left"/>
            </w:pPr>
            <w:r>
              <w:rPr>
                <w:rFonts w:ascii="Calibri" w:hAnsi="Calibri" w:eastAsia="Calibri" w:cs="Calibri"/>
                <w:b w:val="0"/>
                <w:bCs w:val="0"/>
                <w:i w:val="0"/>
                <w:iCs w:val="0"/>
                <w:color w:val="000000"/>
                <w:sz w:val="22"/>
                <w:szCs w:val="22"/>
              </w:rPr>
              <w:t>Cloud Computing</w:t>
            </w:r>
          </w:p>
        </w:tc>
      </w:tr>
    </w:tbl>
    <w:p w14:paraId="5CB3511E">
      <w:pPr>
        <w:spacing w:after="260"/>
      </w:pPr>
    </w:p>
    <w:tbl>
      <w:tblPr>
        <w:tblStyle w:val="9"/>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0"/>
      </w:tblGrid>
      <w:tr w14:paraId="75EF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0" w:type="dxa"/>
            <w:tcBorders>
              <w:top w:val="nil"/>
              <w:left w:val="nil"/>
              <w:bottom w:val="nil"/>
              <w:right w:val="nil"/>
            </w:tcBorders>
            <w:shd w:val="clear" w:color="auto" w:fill="1F3864"/>
            <w:tcMar>
              <w:top w:w="180" w:type="dxa"/>
              <w:left w:w="200" w:type="dxa"/>
              <w:bottom w:w="140" w:type="dxa"/>
              <w:right w:w="200" w:type="dxa"/>
            </w:tcMar>
          </w:tcPr>
          <w:p w14:paraId="681BAE47">
            <w:pPr>
              <w:jc w:val="center"/>
            </w:pPr>
            <w:r>
              <w:rPr>
                <w:rFonts w:ascii="Cambria" w:hAnsi="Cambria" w:eastAsia="Cambria" w:cs="Cambria"/>
                <w:b/>
                <w:bCs/>
                <w:color w:val="FFFFFF"/>
                <w:sz w:val="34"/>
                <w:szCs w:val="34"/>
              </w:rPr>
              <w:t>LAB REPORT</w:t>
            </w:r>
          </w:p>
        </w:tc>
      </w:tr>
      <w:tr w14:paraId="47E6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0" w:type="dxa"/>
            <w:tcBorders>
              <w:top w:val="nil"/>
              <w:left w:val="nil"/>
              <w:bottom w:val="nil"/>
              <w:right w:val="nil"/>
            </w:tcBorders>
            <w:shd w:val="clear" w:color="auto" w:fill="2E74B5"/>
            <w:tcMar>
              <w:top w:w="160" w:type="dxa"/>
              <w:left w:w="200" w:type="dxa"/>
              <w:bottom w:w="200" w:type="dxa"/>
              <w:right w:w="200" w:type="dxa"/>
            </w:tcMar>
          </w:tcPr>
          <w:p w14:paraId="57F2B8BA">
            <w:pPr>
              <w:spacing w:after="60"/>
              <w:jc w:val="center"/>
            </w:pPr>
            <w:r>
              <w:rPr>
                <w:rFonts w:ascii="Cambria" w:hAnsi="Cambria" w:eastAsia="Cambria" w:cs="Cambria"/>
                <w:b/>
                <w:bCs/>
                <w:color w:val="FFFFFF"/>
                <w:sz w:val="25"/>
                <w:szCs w:val="25"/>
              </w:rPr>
              <w:t>Lab 10: Cloud Infrastructure, High Availability &amp; Observability on Azure</w:t>
            </w:r>
          </w:p>
          <w:p w14:paraId="21C78258">
            <w:pPr>
              <w:jc w:val="center"/>
            </w:pPr>
            <w:r>
              <w:rPr>
                <w:rFonts w:ascii="Cambria" w:hAnsi="Cambria" w:eastAsia="Cambria" w:cs="Cambria"/>
                <w:i/>
                <w:iCs/>
                <w:color w:val="F2F2F2"/>
                <w:sz w:val="21"/>
                <w:szCs w:val="21"/>
              </w:rPr>
              <w:t>Network Isolation, Load Balancing &amp; Cost Governance on Microsoft Azure</w:t>
            </w:r>
          </w:p>
        </w:tc>
      </w:tr>
    </w:tbl>
    <w:p w14:paraId="594AFCF3">
      <w:pPr>
        <w:spacing w:after="320"/>
      </w:pPr>
    </w:p>
    <w:p w14:paraId="537E092F">
      <w:pPr>
        <w:pBdr>
          <w:bottom w:val="single" w:color="1F3864" w:sz="6" w:space="2"/>
        </w:pBdr>
        <w:spacing w:after="140"/>
        <w:jc w:val="center"/>
      </w:pPr>
      <w:r>
        <w:rPr>
          <w:rFonts w:ascii="Cambria" w:hAnsi="Cambria" w:eastAsia="Cambria" w:cs="Cambria"/>
          <w:b/>
          <w:bCs/>
          <w:color w:val="1F3864"/>
          <w:sz w:val="25"/>
          <w:szCs w:val="25"/>
          <w:u w:val="single"/>
        </w:rPr>
        <w:t>Submitted To</w:t>
      </w:r>
    </w:p>
    <w:p w14:paraId="177C647B">
      <w:pPr>
        <w:spacing w:after="20"/>
        <w:jc w:val="center"/>
      </w:pPr>
      <w:r>
        <w:rPr>
          <w:rFonts w:ascii="Cambria" w:hAnsi="Cambria" w:eastAsia="Cambria" w:cs="Cambria"/>
          <w:b/>
          <w:bCs/>
          <w:sz w:val="23"/>
          <w:szCs w:val="23"/>
        </w:rPr>
        <w:t>Farzana Akter</w:t>
      </w:r>
    </w:p>
    <w:p w14:paraId="67BEB3A0">
      <w:pPr>
        <w:spacing w:after="20"/>
        <w:jc w:val="center"/>
      </w:pPr>
      <w:r>
        <w:rPr>
          <w:rFonts w:ascii="Cambria" w:hAnsi="Cambria" w:eastAsia="Cambria" w:cs="Cambria"/>
          <w:sz w:val="21"/>
          <w:szCs w:val="21"/>
        </w:rPr>
        <w:t>Assistant Professor</w:t>
      </w:r>
    </w:p>
    <w:p w14:paraId="0D68384E">
      <w:pPr>
        <w:spacing w:after="20"/>
        <w:jc w:val="center"/>
      </w:pPr>
      <w:r>
        <w:rPr>
          <w:rFonts w:ascii="Cambria" w:hAnsi="Cambria" w:eastAsia="Cambria" w:cs="Cambria"/>
          <w:sz w:val="21"/>
          <w:szCs w:val="21"/>
        </w:rPr>
        <w:t>Department of Internet of Things and Robotics Engineering</w:t>
      </w:r>
    </w:p>
    <w:p w14:paraId="60C8C083">
      <w:pPr>
        <w:spacing w:after="300"/>
        <w:jc w:val="center"/>
      </w:pPr>
      <w:r>
        <w:rPr>
          <w:rFonts w:ascii="Cambria" w:hAnsi="Cambria" w:eastAsia="Cambria" w:cs="Cambria"/>
          <w:sz w:val="21"/>
          <w:szCs w:val="21"/>
        </w:rPr>
        <w:t>University of Frontier Technology, Bangladesh</w:t>
      </w:r>
    </w:p>
    <w:p w14:paraId="1D66F33D">
      <w:pPr>
        <w:pBdr>
          <w:bottom w:val="single" w:color="1F3864" w:sz="6" w:space="2"/>
        </w:pBdr>
        <w:spacing w:after="140"/>
        <w:jc w:val="center"/>
      </w:pPr>
      <w:r>
        <w:rPr>
          <w:rFonts w:ascii="Cambria" w:hAnsi="Cambria" w:eastAsia="Cambria" w:cs="Cambria"/>
          <w:b/>
          <w:bCs/>
          <w:color w:val="1F3864"/>
          <w:sz w:val="25"/>
          <w:szCs w:val="25"/>
          <w:u w:val="single"/>
        </w:rPr>
        <w:t>Submitted By</w:t>
      </w:r>
    </w:p>
    <w:tbl>
      <w:tblPr>
        <w:tblStyle w:val="9"/>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4000"/>
        <w:gridCol w:w="1800"/>
      </w:tblGrid>
      <w:tr w14:paraId="609E4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7DAB4647">
            <w:pPr>
              <w:jc w:val="center"/>
            </w:pPr>
            <w:r>
              <w:rPr>
                <w:rFonts w:ascii="Calibri" w:hAnsi="Calibri" w:eastAsia="Calibri" w:cs="Calibri"/>
                <w:b/>
                <w:bCs/>
                <w:i w:val="0"/>
                <w:iCs w:val="0"/>
                <w:color w:val="FFFFFF"/>
                <w:sz w:val="22"/>
                <w:szCs w:val="22"/>
              </w:rPr>
              <w:t>Sl</w:t>
            </w:r>
          </w:p>
        </w:tc>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3FC9D1F1">
            <w:pPr>
              <w:jc w:val="center"/>
            </w:pPr>
            <w:r>
              <w:rPr>
                <w:rFonts w:ascii="Calibri" w:hAnsi="Calibri" w:eastAsia="Calibri" w:cs="Calibri"/>
                <w:b/>
                <w:bCs/>
                <w:i w:val="0"/>
                <w:iCs w:val="0"/>
                <w:color w:val="FFFFFF"/>
                <w:sz w:val="22"/>
                <w:szCs w:val="22"/>
              </w:rPr>
              <w:t>Class Roll</w:t>
            </w:r>
          </w:p>
        </w:tc>
        <w:tc>
          <w:tcPr>
            <w:tcW w:w="40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38C9F2C0">
            <w:pPr>
              <w:jc w:val="center"/>
            </w:pPr>
            <w:r>
              <w:rPr>
                <w:rFonts w:ascii="Calibri" w:hAnsi="Calibri" w:eastAsia="Calibri" w:cs="Calibri"/>
                <w:b/>
                <w:bCs/>
                <w:i w:val="0"/>
                <w:iCs w:val="0"/>
                <w:color w:val="FFFFFF"/>
                <w:sz w:val="22"/>
                <w:szCs w:val="22"/>
              </w:rPr>
              <w:t>Name</w:t>
            </w:r>
          </w:p>
        </w:tc>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3A19A4D1">
            <w:pPr>
              <w:jc w:val="center"/>
            </w:pPr>
            <w:r>
              <w:rPr>
                <w:rFonts w:ascii="Calibri" w:hAnsi="Calibri" w:eastAsia="Calibri" w:cs="Calibri"/>
                <w:b/>
                <w:bCs/>
                <w:i w:val="0"/>
                <w:iCs w:val="0"/>
                <w:color w:val="FFFFFF"/>
                <w:sz w:val="22"/>
                <w:szCs w:val="22"/>
              </w:rPr>
              <w:t>Session</w:t>
            </w:r>
          </w:p>
        </w:tc>
      </w:tr>
      <w:tr w14:paraId="13A2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DCB074D">
            <w:pPr>
              <w:jc w:val="center"/>
            </w:pPr>
            <w:r>
              <w:rPr>
                <w:rFonts w:ascii="Calibri" w:hAnsi="Calibri" w:eastAsia="Calibri" w:cs="Calibri"/>
                <w:b w:val="0"/>
                <w:bCs w:val="0"/>
                <w:i w:val="0"/>
                <w:iCs w:val="0"/>
                <w:color w:val="000000"/>
                <w:sz w:val="22"/>
                <w:szCs w:val="22"/>
              </w:rPr>
              <w:t>01</w:t>
            </w:r>
          </w:p>
        </w:tc>
        <w:tc>
          <w:tcPr>
            <w:tcW w:w="1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27C658D4">
            <w:pPr>
              <w:jc w:val="center"/>
            </w:pPr>
            <w:r>
              <w:rPr>
                <w:rFonts w:ascii="Calibri" w:hAnsi="Calibri" w:eastAsia="Calibri" w:cs="Calibri"/>
                <w:b w:val="0"/>
                <w:bCs w:val="0"/>
                <w:i w:val="0"/>
                <w:iCs w:val="0"/>
                <w:color w:val="000000"/>
                <w:sz w:val="22"/>
                <w:szCs w:val="22"/>
              </w:rPr>
              <w:t>2201022</w:t>
            </w:r>
          </w:p>
        </w:tc>
        <w:tc>
          <w:tcPr>
            <w:tcW w:w="40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0482C9F2">
            <w:pPr>
              <w:jc w:val="center"/>
            </w:pPr>
            <w:r>
              <w:rPr>
                <w:rFonts w:ascii="Calibri" w:hAnsi="Calibri" w:eastAsia="Calibri" w:cs="Calibri"/>
                <w:b w:val="0"/>
                <w:bCs w:val="0"/>
                <w:i w:val="0"/>
                <w:iCs w:val="0"/>
                <w:color w:val="000000"/>
                <w:sz w:val="22"/>
                <w:szCs w:val="22"/>
              </w:rPr>
              <w:t>Mst. Esat Jahan Akhi</w:t>
            </w:r>
          </w:p>
        </w:tc>
        <w:tc>
          <w:tcPr>
            <w:tcW w:w="1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168B2BE">
            <w:pPr>
              <w:jc w:val="center"/>
            </w:pPr>
            <w:r>
              <w:rPr>
                <w:rFonts w:ascii="Calibri" w:hAnsi="Calibri" w:eastAsia="Calibri" w:cs="Calibri"/>
                <w:b w:val="0"/>
                <w:bCs w:val="0"/>
                <w:i w:val="0"/>
                <w:iCs w:val="0"/>
                <w:color w:val="000000"/>
                <w:sz w:val="22"/>
                <w:szCs w:val="22"/>
              </w:rPr>
              <w:t>2022-2023</w:t>
            </w:r>
          </w:p>
        </w:tc>
      </w:tr>
    </w:tbl>
    <w:p w14:paraId="3257698B">
      <w:pPr>
        <w:spacing w:before="320" w:after="100"/>
      </w:pPr>
    </w:p>
    <w:tbl>
      <w:tblPr>
        <w:tblStyle w:val="9"/>
        <w:tblW w:w="4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tblGrid>
      <w:tr w14:paraId="35F3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0" w:type="dxa"/>
            <w:tcBorders>
              <w:top w:val="single" w:color="9DC3E6" w:sz="4" w:space="0"/>
              <w:left w:val="single" w:color="9DC3E6" w:sz="4" w:space="0"/>
              <w:bottom w:val="single" w:color="9DC3E6" w:sz="4" w:space="0"/>
              <w:right w:val="single" w:color="9DC3E6" w:sz="4" w:space="0"/>
            </w:tcBorders>
            <w:shd w:val="clear" w:color="auto" w:fill="DCE9F5"/>
            <w:tcMar>
              <w:top w:w="140" w:type="dxa"/>
              <w:left w:w="150" w:type="dxa"/>
              <w:bottom w:w="140" w:type="dxa"/>
              <w:right w:w="150" w:type="dxa"/>
            </w:tcMar>
          </w:tcPr>
          <w:p w14:paraId="4757141B">
            <w:pPr>
              <w:spacing w:after="40"/>
              <w:jc w:val="center"/>
            </w:pPr>
            <w:r>
              <w:rPr>
                <w:rFonts w:ascii="Cambria" w:hAnsi="Cambria" w:eastAsia="Cambria" w:cs="Cambria"/>
                <w:b/>
                <w:bCs/>
                <w:sz w:val="20"/>
                <w:szCs w:val="20"/>
              </w:rPr>
              <w:t>Date of Submission</w:t>
            </w:r>
          </w:p>
          <w:p w14:paraId="338440A1">
            <w:pPr>
              <w:jc w:val="center"/>
            </w:pPr>
            <w:r>
              <w:rPr>
                <w:rFonts w:ascii="Cambria" w:hAnsi="Cambria" w:eastAsia="Cambria" w:cs="Cambria"/>
                <w:b/>
                <w:bCs/>
                <w:color w:val="1F3864"/>
                <w:sz w:val="20"/>
                <w:szCs w:val="20"/>
              </w:rPr>
              <w:t>August 6, 2026</w:t>
            </w:r>
          </w:p>
        </w:tc>
      </w:tr>
    </w:tbl>
    <w:p w14:paraId="328BF0A2">
      <w:pPr>
        <w:pBdr>
          <w:bottom w:val="single" w:color="2E74B5" w:sz="8" w:space="1"/>
        </w:pBdr>
        <w:spacing w:before="400"/>
      </w:pPr>
    </w:p>
    <w:p w14:paraId="695A3013">
      <w:r>
        <w:br w:type="page"/>
      </w:r>
    </w:p>
    <w:p w14:paraId="102FC062">
      <w:pPr>
        <w:sectPr>
          <w:pgSz w:w="12240" w:h="15840"/>
          <w:pgMar w:top="1000" w:right="1100" w:bottom="1000" w:left="1100" w:header="708" w:footer="708" w:gutter="0"/>
          <w:cols w:space="720" w:num="1"/>
          <w:docGrid w:linePitch="360" w:charSpace="0"/>
        </w:sectPr>
      </w:pPr>
    </w:p>
    <w:p w14:paraId="6C89753F">
      <w:pPr>
        <w:pStyle w:val="2"/>
        <w:pBdr>
          <w:bottom w:val="single" w:color="1F3864" w:sz="6" w:space="4"/>
        </w:pBdr>
        <w:spacing w:before="320" w:after="160"/>
      </w:pPr>
      <w:r>
        <w:rPr>
          <w:rFonts w:ascii="Calibri" w:hAnsi="Calibri" w:eastAsia="Calibri" w:cs="Calibri"/>
          <w:b/>
          <w:bCs/>
          <w:color w:val="1F3864"/>
          <w:sz w:val="30"/>
          <w:szCs w:val="30"/>
        </w:rPr>
        <w:t>Executive Summary</w:t>
      </w:r>
    </w:p>
    <w:p w14:paraId="279FA71C">
      <w:pPr>
        <w:spacing w:after="160" w:line="300" w:lineRule="auto"/>
        <w:jc w:val="both"/>
      </w:pPr>
      <w:r>
        <w:rPr>
          <w:rFonts w:ascii="Calibri" w:hAnsi="Calibri" w:eastAsia="Calibri" w:cs="Calibri"/>
          <w:b w:val="0"/>
          <w:bCs w:val="0"/>
          <w:i w:val="0"/>
          <w:iCs w:val="0"/>
          <w:sz w:val="22"/>
          <w:szCs w:val="22"/>
        </w:rPr>
        <w:t>This lab report documents the architectural design, implementation, and operational validation of a secure, resilient, and monitored multi-tier cloud infrastructure on Microsoft Azure. The deployment fulfills three core enterprise system objectives:</w:t>
      </w:r>
    </w:p>
    <w:p w14:paraId="06BACFC3">
      <w:pPr>
        <w:pStyle w:val="16"/>
        <w:numPr>
          <w:ilvl w:val="0"/>
          <w:numId w:val="1"/>
        </w:numPr>
        <w:spacing w:after="100" w:line="300" w:lineRule="auto"/>
      </w:pPr>
      <w:r>
        <w:rPr>
          <w:rFonts w:ascii="Calibri" w:hAnsi="Calibri" w:eastAsia="Calibri" w:cs="Calibri"/>
          <w:b w:val="0"/>
          <w:bCs w:val="0"/>
          <w:sz w:val="22"/>
          <w:szCs w:val="22"/>
        </w:rPr>
        <w:t>Network Security &amp; Isolation (Task 1): Partitioning application and database infrastructure into isolated private subnets using Network Security Groups (NSG) to eliminate direct internet exposure to sensitive data.</w:t>
      </w:r>
    </w:p>
    <w:p w14:paraId="682500D8">
      <w:pPr>
        <w:pStyle w:val="16"/>
        <w:numPr>
          <w:ilvl w:val="0"/>
          <w:numId w:val="1"/>
        </w:numPr>
        <w:spacing w:after="100" w:line="300" w:lineRule="auto"/>
      </w:pPr>
      <w:r>
        <w:rPr>
          <w:rFonts w:ascii="Calibri" w:hAnsi="Calibri" w:eastAsia="Calibri" w:cs="Calibri"/>
          <w:b w:val="0"/>
          <w:bCs w:val="0"/>
          <w:sz w:val="22"/>
          <w:szCs w:val="22"/>
        </w:rPr>
        <w:t>High Availability &amp; Scalability (Task 2): Implementing an Azure Standard Load Balancer with active TCP Health Probes to distribute application workloads and provide seamless failover during single-instance outages.</w:t>
      </w:r>
    </w:p>
    <w:p w14:paraId="30FA207A">
      <w:pPr>
        <w:pStyle w:val="16"/>
        <w:numPr>
          <w:ilvl w:val="0"/>
          <w:numId w:val="1"/>
        </w:numPr>
        <w:spacing w:after="100" w:line="300" w:lineRule="auto"/>
      </w:pPr>
      <w:r>
        <w:rPr>
          <w:rFonts w:ascii="Calibri" w:hAnsi="Calibri" w:eastAsia="Calibri" w:cs="Calibri"/>
          <w:b w:val="0"/>
          <w:bCs w:val="0"/>
          <w:sz w:val="22"/>
          <w:szCs w:val="22"/>
        </w:rPr>
        <w:t>Observability &amp; Cost Governance (Task 3): Enabling metric tracking via Azure Monitor, configuring threshold-based email notifications, and implementing monthly budget caps for cost efficiency.</w:t>
      </w:r>
    </w:p>
    <w:p w14:paraId="27870447">
      <w:pPr>
        <w:spacing w:before="200"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0DC4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13939071">
            <w:pPr>
              <w:jc w:val="left"/>
            </w:pPr>
            <w:r>
              <w:rPr>
                <w:rFonts w:ascii="Calibri" w:hAnsi="Calibri" w:eastAsia="Calibri" w:cs="Calibri"/>
                <w:b/>
                <w:bCs/>
                <w:i w:val="0"/>
                <w:iCs w:val="0"/>
                <w:color w:val="000000"/>
                <w:sz w:val="22"/>
                <w:szCs w:val="22"/>
              </w:rPr>
              <w:t>Resource Group</w:t>
            </w:r>
          </w:p>
        </w:tc>
        <w:tc>
          <w:tcPr>
            <w:tcW w:w="60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716130A0">
            <w:pPr>
              <w:jc w:val="left"/>
            </w:pPr>
            <w:r>
              <w:rPr>
                <w:rFonts w:ascii="Calibri" w:hAnsi="Calibri" w:eastAsia="Calibri" w:cs="Calibri"/>
                <w:b w:val="0"/>
                <w:bCs w:val="0"/>
                <w:i w:val="0"/>
                <w:iCs w:val="0"/>
                <w:color w:val="000000"/>
                <w:sz w:val="22"/>
                <w:szCs w:val="22"/>
              </w:rPr>
              <w:t>Lab10-RG</w:t>
            </w:r>
          </w:p>
        </w:tc>
      </w:tr>
      <w:tr w14:paraId="1F63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19B24199">
            <w:pPr>
              <w:jc w:val="left"/>
            </w:pPr>
            <w:r>
              <w:rPr>
                <w:rFonts w:ascii="Calibri" w:hAnsi="Calibri" w:eastAsia="Calibri" w:cs="Calibri"/>
                <w:b/>
                <w:bCs/>
                <w:i w:val="0"/>
                <w:iCs w:val="0"/>
                <w:color w:val="000000"/>
                <w:sz w:val="22"/>
                <w:szCs w:val="22"/>
              </w:rPr>
              <w:t>Subscription</w:t>
            </w:r>
          </w:p>
        </w:tc>
        <w:tc>
          <w:tcPr>
            <w:tcW w:w="60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3F3AD5AF">
            <w:pPr>
              <w:jc w:val="left"/>
            </w:pPr>
            <w:r>
              <w:rPr>
                <w:rFonts w:ascii="Calibri" w:hAnsi="Calibri" w:eastAsia="Calibri" w:cs="Calibri"/>
                <w:b w:val="0"/>
                <w:bCs w:val="0"/>
                <w:i w:val="0"/>
                <w:iCs w:val="0"/>
                <w:color w:val="000000"/>
                <w:sz w:val="22"/>
                <w:szCs w:val="22"/>
              </w:rPr>
              <w:t>Azure for Students</w:t>
            </w:r>
          </w:p>
        </w:tc>
      </w:tr>
    </w:tbl>
    <w:p w14:paraId="52F4C4DF">
      <w:r>
        <w:br w:type="page"/>
      </w:r>
    </w:p>
    <w:p w14:paraId="4DCAF7C3">
      <w:pPr>
        <w:pStyle w:val="2"/>
        <w:pBdr>
          <w:bottom w:val="single" w:color="1F3864" w:sz="6" w:space="4"/>
        </w:pBdr>
        <w:spacing w:before="320" w:after="160"/>
      </w:pPr>
      <w:r>
        <w:rPr>
          <w:rFonts w:ascii="Calibri" w:hAnsi="Calibri" w:eastAsia="Calibri" w:cs="Calibri"/>
          <w:b/>
          <w:bCs/>
          <w:color w:val="1F3864"/>
          <w:sz w:val="30"/>
          <w:szCs w:val="30"/>
        </w:rPr>
        <w:t>Task 1: Secure Network &amp; Private Database Deployment</w:t>
      </w:r>
    </w:p>
    <w:p w14:paraId="684F4AA3">
      <w:pPr>
        <w:pStyle w:val="3"/>
        <w:spacing w:before="260" w:after="120"/>
      </w:pPr>
      <w:r>
        <w:rPr>
          <w:rFonts w:ascii="Calibri" w:hAnsi="Calibri" w:eastAsia="Calibri" w:cs="Calibri"/>
          <w:b/>
          <w:bCs/>
          <w:color w:val="2E74B5"/>
          <w:sz w:val="26"/>
          <w:szCs w:val="26"/>
        </w:rPr>
        <w:t>1.1 Network Architecture</w:t>
      </w:r>
    </w:p>
    <w:p w14:paraId="596B9FEF">
      <w:pPr>
        <w:spacing w:after="160" w:line="300" w:lineRule="auto"/>
        <w:jc w:val="both"/>
      </w:pPr>
      <w:r>
        <w:rPr>
          <w:rFonts w:ascii="Calibri" w:hAnsi="Calibri" w:eastAsia="Calibri" w:cs="Calibri"/>
          <w:b w:val="0"/>
          <w:bCs w:val="0"/>
          <w:i w:val="0"/>
          <w:iCs w:val="0"/>
          <w:sz w:val="22"/>
          <w:szCs w:val="22"/>
        </w:rPr>
        <w:t>A customized Virtual Network (Lab10-VNet) was configured to isolate infrastructure components. The VNet topology is partitioned into two private subnets:</w:t>
      </w:r>
    </w:p>
    <w:p w14:paraId="2FA72FAC">
      <w:pPr>
        <w:pStyle w:val="16"/>
        <w:numPr>
          <w:ilvl w:val="0"/>
          <w:numId w:val="1"/>
        </w:numPr>
        <w:spacing w:after="100" w:line="300" w:lineRule="auto"/>
      </w:pPr>
      <w:r>
        <w:rPr>
          <w:rFonts w:ascii="Calibri" w:hAnsi="Calibri" w:eastAsia="Calibri" w:cs="Calibri"/>
          <w:b w:val="0"/>
          <w:bCs w:val="0"/>
          <w:sz w:val="22"/>
          <w:szCs w:val="22"/>
        </w:rPr>
        <w:t>AppSubnet (10.0.1.0/24): Hosts front-end/application virtual machines (App-VM and App-VM2).</w:t>
      </w:r>
    </w:p>
    <w:p w14:paraId="66C24355">
      <w:pPr>
        <w:pStyle w:val="16"/>
        <w:numPr>
          <w:ilvl w:val="0"/>
          <w:numId w:val="1"/>
        </w:numPr>
        <w:spacing w:after="100" w:line="300" w:lineRule="auto"/>
      </w:pPr>
      <w:r>
        <w:rPr>
          <w:rFonts w:ascii="Calibri" w:hAnsi="Calibri" w:eastAsia="Calibri" w:cs="Calibri"/>
          <w:b w:val="0"/>
          <w:bCs w:val="0"/>
          <w:sz w:val="22"/>
          <w:szCs w:val="22"/>
        </w:rPr>
        <w:t>DBSubnet (10.0.2.0/24): Dedicated exclusively to backend database infrastructure (DB-VM).</w:t>
      </w:r>
    </w:p>
    <w:p w14:paraId="2227CFFA">
      <w:pPr>
        <w:pStyle w:val="3"/>
        <w:spacing w:before="260" w:after="120"/>
      </w:pPr>
      <w:r>
        <w:rPr>
          <w:rFonts w:ascii="Calibri" w:hAnsi="Calibri" w:eastAsia="Calibri" w:cs="Calibri"/>
          <w:b/>
          <w:bCs/>
          <w:color w:val="2E74B5"/>
          <w:sz w:val="26"/>
          <w:szCs w:val="26"/>
        </w:rPr>
        <w:t>1.2 Security Policy Configuration (NSG Rules)</w:t>
      </w:r>
    </w:p>
    <w:p w14:paraId="02A699DD">
      <w:pPr>
        <w:spacing w:after="160" w:line="300" w:lineRule="auto"/>
        <w:jc w:val="both"/>
      </w:pPr>
      <w:r>
        <w:rPr>
          <w:rFonts w:ascii="Calibri" w:hAnsi="Calibri" w:eastAsia="Calibri" w:cs="Calibri"/>
          <w:b w:val="0"/>
          <w:bCs w:val="0"/>
          <w:i w:val="0"/>
          <w:iCs w:val="0"/>
          <w:sz w:val="22"/>
          <w:szCs w:val="22"/>
        </w:rPr>
        <w:t>Two Network Security Groups were established to enforce perimeter security controls:</w:t>
      </w:r>
    </w:p>
    <w:p w14:paraId="74E9DFFB">
      <w:pPr>
        <w:pStyle w:val="16"/>
        <w:numPr>
          <w:ilvl w:val="0"/>
          <w:numId w:val="1"/>
        </w:numPr>
        <w:spacing w:after="100" w:line="300" w:lineRule="auto"/>
      </w:pPr>
      <w:r>
        <w:rPr>
          <w:rFonts w:ascii="Calibri" w:hAnsi="Calibri" w:eastAsia="Calibri" w:cs="Calibri"/>
          <w:b w:val="0"/>
          <w:bCs w:val="0"/>
          <w:sz w:val="22"/>
          <w:szCs w:val="22"/>
        </w:rPr>
        <w:t>AppNSG: Inbound rules allow HTTP (Port 80) and HTTPS (Port 443) traffic from external networks to serve client web traffic.</w:t>
      </w:r>
    </w:p>
    <w:p w14:paraId="631927D9">
      <w:pPr>
        <w:pStyle w:val="16"/>
        <w:numPr>
          <w:ilvl w:val="0"/>
          <w:numId w:val="1"/>
        </w:numPr>
        <w:spacing w:after="100" w:line="300" w:lineRule="auto"/>
      </w:pPr>
      <w:r>
        <w:rPr>
          <w:rFonts w:ascii="Calibri" w:hAnsi="Calibri" w:eastAsia="Calibri" w:cs="Calibri"/>
          <w:b w:val="0"/>
          <w:bCs w:val="0"/>
          <w:sz w:val="22"/>
          <w:szCs w:val="22"/>
        </w:rPr>
        <w:t>DBNSG: Inbound rules restricted database connections (Port 1433/3306) strictly to source IP addresses originating from AppSubnet (10.0.1.0/24). Direct inbound access from the public internet was explicitly set to Deny All.</w:t>
      </w:r>
    </w:p>
    <w:p w14:paraId="3C5B7546">
      <w:pPr>
        <w:pStyle w:val="3"/>
        <w:spacing w:before="260" w:after="120"/>
      </w:pPr>
      <w:r>
        <w:rPr>
          <w:rFonts w:ascii="Calibri" w:hAnsi="Calibri" w:eastAsia="Calibri" w:cs="Calibri"/>
          <w:b/>
          <w:bCs/>
          <w:color w:val="2E74B5"/>
          <w:sz w:val="26"/>
          <w:szCs w:val="26"/>
        </w:rPr>
        <w:t>1.3 Connectivity &amp; Security Verification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500"/>
        <w:gridCol w:w="1900"/>
        <w:gridCol w:w="2000"/>
        <w:gridCol w:w="1500"/>
      </w:tblGrid>
      <w:tr w14:paraId="5230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633617C1">
            <w:pPr>
              <w:jc w:val="center"/>
            </w:pPr>
            <w:r>
              <w:rPr>
                <w:rFonts w:ascii="Calibri" w:hAnsi="Calibri" w:eastAsia="Calibri" w:cs="Calibri"/>
                <w:b/>
                <w:bCs/>
                <w:i w:val="0"/>
                <w:iCs w:val="0"/>
                <w:color w:val="FFFFFF"/>
                <w:sz w:val="19"/>
                <w:szCs w:val="19"/>
              </w:rPr>
              <w:t>Verification Scenario</w:t>
            </w:r>
          </w:p>
        </w:tc>
        <w:tc>
          <w:tcPr>
            <w:tcW w:w="15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10C7E157">
            <w:pPr>
              <w:jc w:val="center"/>
            </w:pPr>
            <w:r>
              <w:rPr>
                <w:rFonts w:ascii="Calibri" w:hAnsi="Calibri" w:eastAsia="Calibri" w:cs="Calibri"/>
                <w:b/>
                <w:bCs/>
                <w:i w:val="0"/>
                <w:iCs w:val="0"/>
                <w:color w:val="FFFFFF"/>
                <w:sz w:val="19"/>
                <w:szCs w:val="19"/>
              </w:rPr>
              <w:t>Target Endpoint</w:t>
            </w:r>
          </w:p>
        </w:tc>
        <w:tc>
          <w:tcPr>
            <w:tcW w:w="19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6221C8CA">
            <w:pPr>
              <w:jc w:val="center"/>
            </w:pPr>
            <w:r>
              <w:rPr>
                <w:rFonts w:ascii="Calibri" w:hAnsi="Calibri" w:eastAsia="Calibri" w:cs="Calibri"/>
                <w:b/>
                <w:bCs/>
                <w:i w:val="0"/>
                <w:iCs w:val="0"/>
                <w:color w:val="FFFFFF"/>
                <w:sz w:val="19"/>
                <w:szCs w:val="19"/>
              </w:rPr>
              <w:t>Expected Behavior</w:t>
            </w:r>
          </w:p>
        </w:tc>
        <w:tc>
          <w:tcPr>
            <w:tcW w:w="20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51BBE45C">
            <w:pPr>
              <w:jc w:val="center"/>
            </w:pPr>
            <w:r>
              <w:rPr>
                <w:rFonts w:ascii="Calibri" w:hAnsi="Calibri" w:eastAsia="Calibri" w:cs="Calibri"/>
                <w:b/>
                <w:bCs/>
                <w:i w:val="0"/>
                <w:iCs w:val="0"/>
                <w:color w:val="FFFFFF"/>
                <w:sz w:val="19"/>
                <w:szCs w:val="19"/>
              </w:rPr>
              <w:t>Actual Result</w:t>
            </w:r>
          </w:p>
        </w:tc>
        <w:tc>
          <w:tcPr>
            <w:tcW w:w="15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vAlign w:val="center"/>
          </w:tcPr>
          <w:p w14:paraId="0CBAC060">
            <w:pPr>
              <w:jc w:val="center"/>
            </w:pPr>
            <w:r>
              <w:rPr>
                <w:rFonts w:ascii="Calibri" w:hAnsi="Calibri" w:eastAsia="Calibri" w:cs="Calibri"/>
                <w:b/>
                <w:bCs/>
                <w:i w:val="0"/>
                <w:iCs w:val="0"/>
                <w:color w:val="FFFFFF"/>
                <w:sz w:val="19"/>
                <w:szCs w:val="19"/>
              </w:rPr>
              <w:t>Security Status</w:t>
            </w:r>
          </w:p>
        </w:tc>
      </w:tr>
      <w:tr w14:paraId="69BA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D2E6A11">
            <w:pPr>
              <w:jc w:val="left"/>
            </w:pPr>
            <w:r>
              <w:rPr>
                <w:rFonts w:ascii="Calibri" w:hAnsi="Calibri" w:eastAsia="Calibri" w:cs="Calibri"/>
                <w:b w:val="0"/>
                <w:bCs w:val="0"/>
                <w:i w:val="0"/>
                <w:iCs w:val="0"/>
                <w:color w:val="000000"/>
                <w:sz w:val="19"/>
                <w:szCs w:val="19"/>
              </w:rPr>
              <w:t>Public Internet Access to DB</w:t>
            </w:r>
          </w:p>
        </w:tc>
        <w:tc>
          <w:tcPr>
            <w:tcW w:w="15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6D3F292E">
            <w:pPr>
              <w:jc w:val="left"/>
            </w:pPr>
            <w:r>
              <w:rPr>
                <w:rFonts w:ascii="Calibri" w:hAnsi="Calibri" w:eastAsia="Calibri" w:cs="Calibri"/>
                <w:b w:val="0"/>
                <w:bCs w:val="0"/>
                <w:i w:val="0"/>
                <w:iCs w:val="0"/>
                <w:color w:val="000000"/>
                <w:sz w:val="19"/>
                <w:szCs w:val="19"/>
              </w:rPr>
              <w:t>DB-VM (10.0.1.5)</w:t>
            </w:r>
          </w:p>
        </w:tc>
        <w:tc>
          <w:tcPr>
            <w:tcW w:w="19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0EEB29C">
            <w:pPr>
              <w:jc w:val="left"/>
            </w:pPr>
            <w:r>
              <w:rPr>
                <w:rFonts w:ascii="Calibri" w:hAnsi="Calibri" w:eastAsia="Calibri" w:cs="Calibri"/>
                <w:b w:val="0"/>
                <w:bCs w:val="0"/>
                <w:i w:val="0"/>
                <w:iCs w:val="0"/>
                <w:color w:val="000000"/>
                <w:sz w:val="19"/>
                <w:szCs w:val="19"/>
              </w:rPr>
              <w:t>Connection Blocked / Timeout</w:t>
            </w:r>
          </w:p>
        </w:tc>
        <w:tc>
          <w:tcPr>
            <w:tcW w:w="20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294B0B3B">
            <w:pPr>
              <w:jc w:val="left"/>
            </w:pPr>
            <w:r>
              <w:rPr>
                <w:rFonts w:ascii="Calibri" w:hAnsi="Calibri" w:eastAsia="Calibri" w:cs="Calibri"/>
                <w:b w:val="0"/>
                <w:bCs w:val="0"/>
                <w:i w:val="0"/>
                <w:iCs w:val="0"/>
                <w:color w:val="000000"/>
                <w:sz w:val="19"/>
                <w:szCs w:val="19"/>
              </w:rPr>
              <w:t>Request timed out (100% packet loss)</w:t>
            </w:r>
          </w:p>
        </w:tc>
        <w:tc>
          <w:tcPr>
            <w:tcW w:w="15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23600EF5">
            <w:pPr>
              <w:jc w:val="left"/>
            </w:pPr>
            <w:r>
              <w:rPr>
                <w:rFonts w:ascii="Calibri" w:hAnsi="Calibri" w:eastAsia="Calibri" w:cs="Calibri"/>
                <w:b/>
                <w:bCs/>
                <w:i w:val="0"/>
                <w:iCs w:val="0"/>
                <w:color w:val="1E7B34"/>
                <w:sz w:val="19"/>
                <w:szCs w:val="19"/>
              </w:rPr>
              <w:t>PASSED (Secured)</w:t>
            </w:r>
          </w:p>
        </w:tc>
      </w:tr>
      <w:tr w14:paraId="2006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596BFFA6">
            <w:pPr>
              <w:jc w:val="left"/>
            </w:pPr>
            <w:r>
              <w:rPr>
                <w:rFonts w:ascii="Calibri" w:hAnsi="Calibri" w:eastAsia="Calibri" w:cs="Calibri"/>
                <w:b w:val="0"/>
                <w:bCs w:val="0"/>
                <w:i w:val="0"/>
                <w:iCs w:val="0"/>
                <w:color w:val="000000"/>
                <w:sz w:val="19"/>
                <w:szCs w:val="19"/>
              </w:rPr>
              <w:t>App-to-DB Internal Access</w:t>
            </w:r>
          </w:p>
        </w:tc>
        <w:tc>
          <w:tcPr>
            <w:tcW w:w="15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86DEF98">
            <w:pPr>
              <w:jc w:val="left"/>
            </w:pPr>
            <w:r>
              <w:rPr>
                <w:rFonts w:ascii="Calibri" w:hAnsi="Calibri" w:eastAsia="Calibri" w:cs="Calibri"/>
                <w:b w:val="0"/>
                <w:bCs w:val="0"/>
                <w:i w:val="0"/>
                <w:iCs w:val="0"/>
                <w:color w:val="000000"/>
                <w:sz w:val="19"/>
                <w:szCs w:val="19"/>
              </w:rPr>
              <w:t>DB-VM (10.0.1.5)</w:t>
            </w:r>
          </w:p>
        </w:tc>
        <w:tc>
          <w:tcPr>
            <w:tcW w:w="19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03D4A314">
            <w:pPr>
              <w:jc w:val="left"/>
            </w:pPr>
            <w:r>
              <w:rPr>
                <w:rFonts w:ascii="Calibri" w:hAnsi="Calibri" w:eastAsia="Calibri" w:cs="Calibri"/>
                <w:b w:val="0"/>
                <w:bCs w:val="0"/>
                <w:i w:val="0"/>
                <w:iCs w:val="0"/>
                <w:color w:val="000000"/>
                <w:sz w:val="19"/>
                <w:szCs w:val="19"/>
              </w:rPr>
              <w:t>Connection Allowed</w:t>
            </w:r>
          </w:p>
        </w:tc>
        <w:tc>
          <w:tcPr>
            <w:tcW w:w="20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B625BAF">
            <w:pPr>
              <w:jc w:val="left"/>
            </w:pPr>
            <w:r>
              <w:rPr>
                <w:rFonts w:ascii="Calibri" w:hAnsi="Calibri" w:eastAsia="Calibri" w:cs="Calibri"/>
                <w:b w:val="0"/>
                <w:bCs w:val="0"/>
                <w:i w:val="0"/>
                <w:iCs w:val="0"/>
                <w:color w:val="000000"/>
                <w:sz w:val="19"/>
                <w:szCs w:val="19"/>
              </w:rPr>
              <w:t>64 bytes reply (0% packet loss)</w:t>
            </w:r>
          </w:p>
        </w:tc>
        <w:tc>
          <w:tcPr>
            <w:tcW w:w="15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3B833BB1">
            <w:pPr>
              <w:jc w:val="left"/>
            </w:pPr>
            <w:r>
              <w:rPr>
                <w:rFonts w:ascii="Calibri" w:hAnsi="Calibri" w:eastAsia="Calibri" w:cs="Calibri"/>
                <w:b/>
                <w:bCs/>
                <w:i w:val="0"/>
                <w:iCs w:val="0"/>
                <w:color w:val="1E7B34"/>
                <w:sz w:val="19"/>
                <w:szCs w:val="19"/>
              </w:rPr>
              <w:t>PASSED (Connected)</w:t>
            </w:r>
          </w:p>
        </w:tc>
      </w:tr>
    </w:tbl>
    <w:p w14:paraId="34596109">
      <w:pPr>
        <w:spacing w:before="220" w:after="100"/>
      </w:pPr>
      <w:r>
        <w:rPr>
          <w:rFonts w:ascii="Calibri" w:hAnsi="Calibri" w:eastAsia="Calibri" w:cs="Calibri"/>
          <w:b/>
          <w:bCs/>
          <w:i/>
          <w:iCs/>
          <w:sz w:val="21"/>
          <w:szCs w:val="21"/>
        </w:rPr>
        <w:t>Evidence of Perimeter Isolation &amp; Routing Validation:</w:t>
      </w:r>
    </w:p>
    <w:p w14:paraId="0CE59A3D">
      <w:pPr>
        <w:spacing w:after="160"/>
      </w:pPr>
      <w:r>
        <w:drawing>
          <wp:inline distT="0" distB="0" distL="114300" distR="114300">
            <wp:extent cx="6369685" cy="2922905"/>
            <wp:effectExtent l="0" t="0" r="1206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369685" cy="2922905"/>
                    </a:xfrm>
                    <a:prstGeom prst="rect">
                      <a:avLst/>
                    </a:prstGeom>
                    <a:noFill/>
                    <a:ln>
                      <a:noFill/>
                    </a:ln>
                  </pic:spPr>
                </pic:pic>
              </a:graphicData>
            </a:graphic>
          </wp:inline>
        </w:drawing>
      </w:r>
    </w:p>
    <w:p w14:paraId="0AE60E29">
      <w:r>
        <w:drawing>
          <wp:inline distT="0" distB="0" distL="114300" distR="114300">
            <wp:extent cx="6374130" cy="4173855"/>
            <wp:effectExtent l="0" t="0" r="7620" b="171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374130" cy="4173855"/>
                    </a:xfrm>
                    <a:prstGeom prst="rect">
                      <a:avLst/>
                    </a:prstGeom>
                    <a:noFill/>
                    <a:ln>
                      <a:noFill/>
                    </a:ln>
                  </pic:spPr>
                </pic:pic>
              </a:graphicData>
            </a:graphic>
          </wp:inline>
        </w:drawing>
      </w:r>
      <w:r>
        <w:br w:type="page"/>
      </w:r>
    </w:p>
    <w:p w14:paraId="0C9EBA0B">
      <w:pPr>
        <w:pStyle w:val="2"/>
        <w:pBdr>
          <w:bottom w:val="single" w:color="1F3864" w:sz="6" w:space="4"/>
        </w:pBdr>
        <w:spacing w:before="320" w:after="160"/>
      </w:pPr>
      <w:r>
        <w:rPr>
          <w:rFonts w:ascii="Calibri" w:hAnsi="Calibri" w:eastAsia="Calibri" w:cs="Calibri"/>
          <w:b/>
          <w:bCs/>
          <w:color w:val="1F3864"/>
          <w:sz w:val="30"/>
          <w:szCs w:val="30"/>
        </w:rPr>
        <w:t>Task 2: Scalability &amp; High Availability Configuration</w:t>
      </w:r>
    </w:p>
    <w:p w14:paraId="22DE8E4A">
      <w:pPr>
        <w:pStyle w:val="3"/>
        <w:spacing w:before="260" w:after="120"/>
      </w:pPr>
      <w:r>
        <w:rPr>
          <w:rFonts w:ascii="Calibri" w:hAnsi="Calibri" w:eastAsia="Calibri" w:cs="Calibri"/>
          <w:b/>
          <w:bCs/>
          <w:color w:val="2E74B5"/>
          <w:sz w:val="26"/>
          <w:szCs w:val="26"/>
        </w:rPr>
        <w:t>2.1 Load Balancer Setup</w:t>
      </w:r>
    </w:p>
    <w:p w14:paraId="44D759BB">
      <w:pPr>
        <w:spacing w:after="160" w:line="300" w:lineRule="auto"/>
        <w:jc w:val="both"/>
      </w:pPr>
      <w:r>
        <w:rPr>
          <w:rFonts w:ascii="Calibri" w:hAnsi="Calibri" w:eastAsia="Calibri" w:cs="Calibri"/>
          <w:b w:val="0"/>
          <w:bCs w:val="0"/>
          <w:i w:val="0"/>
          <w:iCs w:val="0"/>
          <w:sz w:val="22"/>
          <w:szCs w:val="22"/>
        </w:rPr>
        <w:t>An Azure Standard Load Balancer (Lab10-LB) was deployed to distribute incoming application traffic:</w:t>
      </w:r>
    </w:p>
    <w:p w14:paraId="53F5C79F">
      <w:pPr>
        <w:pStyle w:val="16"/>
        <w:numPr>
          <w:ilvl w:val="0"/>
          <w:numId w:val="1"/>
        </w:numPr>
        <w:spacing w:after="100" w:line="300" w:lineRule="auto"/>
      </w:pPr>
      <w:r>
        <w:rPr>
          <w:rFonts w:ascii="Calibri" w:hAnsi="Calibri" w:eastAsia="Calibri" w:cs="Calibri"/>
          <w:b w:val="0"/>
          <w:bCs w:val="0"/>
          <w:sz w:val="22"/>
          <w:szCs w:val="22"/>
        </w:rPr>
        <w:t>Frontend IP Configuration: Bound to a Public IP (LB-Frontend-IP – 40.80.76.113).</w:t>
      </w:r>
    </w:p>
    <w:p w14:paraId="42805EBB">
      <w:pPr>
        <w:pStyle w:val="16"/>
        <w:numPr>
          <w:ilvl w:val="0"/>
          <w:numId w:val="1"/>
        </w:numPr>
        <w:spacing w:after="100" w:line="300" w:lineRule="auto"/>
      </w:pPr>
      <w:r>
        <w:rPr>
          <w:rFonts w:ascii="Calibri" w:hAnsi="Calibri" w:eastAsia="Calibri" w:cs="Calibri"/>
          <w:b w:val="0"/>
          <w:bCs w:val="0"/>
          <w:sz w:val="22"/>
          <w:szCs w:val="22"/>
        </w:rPr>
        <w:t>Backend Pool (App-Backend-Pool): Contains compute nodes App-VM (10.0.1.5) and App-VM2 (10.0.1.4).</w:t>
      </w:r>
    </w:p>
    <w:p w14:paraId="67768A8F">
      <w:pPr>
        <w:pStyle w:val="16"/>
        <w:numPr>
          <w:ilvl w:val="0"/>
          <w:numId w:val="1"/>
        </w:numPr>
        <w:spacing w:after="100" w:line="300" w:lineRule="auto"/>
      </w:pPr>
      <w:r>
        <w:rPr>
          <w:rFonts w:ascii="Calibri" w:hAnsi="Calibri" w:eastAsia="Calibri" w:cs="Calibri"/>
          <w:b w:val="0"/>
          <w:bCs w:val="0"/>
          <w:sz w:val="22"/>
          <w:szCs w:val="22"/>
        </w:rPr>
        <w:t>Health Probe (HTTP-Probe): Monitors backend host availability via TCP Port 80 at 5-second sampling intervals.</w:t>
      </w:r>
    </w:p>
    <w:p w14:paraId="488858B1">
      <w:pPr>
        <w:pStyle w:val="16"/>
        <w:numPr>
          <w:ilvl w:val="0"/>
          <w:numId w:val="1"/>
        </w:numPr>
        <w:spacing w:after="100" w:line="300" w:lineRule="auto"/>
      </w:pPr>
      <w:r>
        <w:rPr>
          <w:rFonts w:ascii="Calibri" w:hAnsi="Calibri" w:eastAsia="Calibri" w:cs="Calibri"/>
          <w:b w:val="0"/>
          <w:bCs w:val="0"/>
          <w:sz w:val="22"/>
          <w:szCs w:val="22"/>
        </w:rPr>
        <w:t>Load Balancing Rule (HTTP-Rule): Evenly distributes port 80 incoming requests across active backend instances.</w:t>
      </w:r>
    </w:p>
    <w:p w14:paraId="07DE5063">
      <w:pPr>
        <w:spacing w:before="200" w:after="100"/>
      </w:pPr>
      <w:r>
        <w:rPr>
          <w:rFonts w:ascii="Calibri" w:hAnsi="Calibri" w:eastAsia="Calibri" w:cs="Calibri"/>
          <w:b/>
          <w:bCs/>
          <w:i/>
          <w:iCs/>
          <w:sz w:val="21"/>
          <w:szCs w:val="21"/>
        </w:rPr>
        <w:t>Configuration Evidence:</w:t>
      </w:r>
    </w:p>
    <w:p w14:paraId="31E70884">
      <w:pPr>
        <w:spacing w:after="160"/>
      </w:pPr>
      <w:r>
        <w:drawing>
          <wp:inline distT="0" distB="0" distL="114300" distR="114300">
            <wp:extent cx="6374130" cy="3109595"/>
            <wp:effectExtent l="0" t="0" r="7620" b="146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374130" cy="3109595"/>
                    </a:xfrm>
                    <a:prstGeom prst="rect">
                      <a:avLst/>
                    </a:prstGeom>
                    <a:noFill/>
                    <a:ln>
                      <a:noFill/>
                    </a:ln>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40"/>
      </w:tblGrid>
      <w:tr w14:paraId="60CC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dashed" w:color="A6A6A6" w:sz="6" w:space="0"/>
              <w:left w:val="dashed" w:color="A6A6A6" w:sz="6" w:space="0"/>
              <w:bottom w:val="dashed" w:color="A6A6A6" w:sz="6" w:space="0"/>
              <w:right w:val="dashed" w:color="A6A6A6" w:sz="6" w:space="0"/>
            </w:tcBorders>
            <w:shd w:val="clear" w:color="auto" w:fill="F2F2F2"/>
            <w:tcMar>
              <w:top w:w="400" w:type="dxa"/>
              <w:left w:w="250" w:type="dxa"/>
              <w:bottom w:w="400" w:type="dxa"/>
              <w:right w:w="250" w:type="dxa"/>
            </w:tcMar>
          </w:tcPr>
          <w:p w14:paraId="4FF668A1">
            <w:pPr>
              <w:spacing w:before="60"/>
              <w:jc w:val="center"/>
            </w:pPr>
            <w:r>
              <w:drawing>
                <wp:inline distT="0" distB="0" distL="114300" distR="114300">
                  <wp:extent cx="6369050" cy="3157855"/>
                  <wp:effectExtent l="0" t="0" r="12700"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6369050" cy="3157855"/>
                          </a:xfrm>
                          <a:prstGeom prst="rect">
                            <a:avLst/>
                          </a:prstGeom>
                          <a:noFill/>
                          <a:ln>
                            <a:noFill/>
                          </a:ln>
                        </pic:spPr>
                      </pic:pic>
                    </a:graphicData>
                  </a:graphic>
                </wp:inline>
              </w:drawing>
            </w:r>
          </w:p>
        </w:tc>
      </w:tr>
    </w:tbl>
    <w:p w14:paraId="65577176">
      <w:pPr>
        <w:pStyle w:val="3"/>
        <w:spacing w:before="260" w:after="120"/>
      </w:pPr>
      <w:r>
        <w:rPr>
          <w:rFonts w:ascii="Calibri" w:hAnsi="Calibri" w:eastAsia="Calibri" w:cs="Calibri"/>
          <w:b/>
          <w:bCs/>
          <w:color w:val="2E74B5"/>
          <w:sz w:val="26"/>
          <w:szCs w:val="26"/>
        </w:rPr>
        <w:t>2.2 Failure Simulation &amp; Failover Performance</w:t>
      </w:r>
    </w:p>
    <w:p w14:paraId="7E5ABADD">
      <w:pPr>
        <w:spacing w:after="160" w:line="300" w:lineRule="auto"/>
        <w:jc w:val="both"/>
      </w:pPr>
      <w:r>
        <w:rPr>
          <w:rFonts w:ascii="Calibri" w:hAnsi="Calibri" w:eastAsia="Calibri" w:cs="Calibri"/>
          <w:b w:val="0"/>
          <w:bCs w:val="0"/>
          <w:i w:val="0"/>
          <w:iCs w:val="0"/>
          <w:sz w:val="22"/>
          <w:szCs w:val="22"/>
        </w:rPr>
        <w:t>To evaluate fault tolerance:</w:t>
      </w:r>
    </w:p>
    <w:p w14:paraId="36A68364">
      <w:pPr>
        <w:pStyle w:val="16"/>
        <w:numPr>
          <w:ilvl w:val="0"/>
          <w:numId w:val="1"/>
        </w:numPr>
        <w:spacing w:after="100" w:line="300" w:lineRule="auto"/>
      </w:pPr>
      <w:r>
        <w:rPr>
          <w:rFonts w:ascii="Calibri" w:hAnsi="Calibri" w:eastAsia="Calibri" w:cs="Calibri"/>
          <w:b w:val="0"/>
          <w:bCs w:val="0"/>
          <w:sz w:val="22"/>
          <w:szCs w:val="22"/>
        </w:rPr>
        <w:t>App-VM2 was manually deallocated (stopped) via the Azure Portal to simulate a node outage.</w:t>
      </w:r>
    </w:p>
    <w:p w14:paraId="1DC84700">
      <w:pPr>
        <w:pStyle w:val="16"/>
        <w:numPr>
          <w:ilvl w:val="0"/>
          <w:numId w:val="1"/>
        </w:numPr>
        <w:spacing w:after="100" w:line="300" w:lineRule="auto"/>
      </w:pPr>
      <w:r>
        <w:rPr>
          <w:rFonts w:ascii="Calibri" w:hAnsi="Calibri" w:eastAsia="Calibri" w:cs="Calibri"/>
          <w:b w:val="0"/>
          <w:bCs w:val="0"/>
          <w:sz w:val="22"/>
          <w:szCs w:val="22"/>
        </w:rPr>
        <w:t>The HTTP-Probe detected health check failures and marked App-VM2 as unavailable.</w:t>
      </w:r>
    </w:p>
    <w:p w14:paraId="2E26CD75">
      <w:pPr>
        <w:pStyle w:val="16"/>
        <w:numPr>
          <w:ilvl w:val="0"/>
          <w:numId w:val="1"/>
        </w:numPr>
        <w:spacing w:after="100" w:line="300" w:lineRule="auto"/>
      </w:pPr>
      <w:r>
        <w:rPr>
          <w:rFonts w:ascii="Calibri" w:hAnsi="Calibri" w:eastAsia="Calibri" w:cs="Calibri"/>
          <w:b w:val="0"/>
          <w:bCs w:val="0"/>
          <w:sz w:val="22"/>
          <w:szCs w:val="22"/>
        </w:rPr>
        <w:t>Traffic was dynamically rerouted entirely to the operational node (App-VM), maintaining uninterrupted application access.</w:t>
      </w:r>
    </w:p>
    <w:p w14:paraId="6CC0B756">
      <w:pPr>
        <w:spacing w:before="160"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40"/>
      </w:tblGrid>
      <w:tr w14:paraId="46B7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dashed" w:color="A6A6A6" w:sz="6" w:space="0"/>
              <w:left w:val="dashed" w:color="A6A6A6" w:sz="6" w:space="0"/>
              <w:bottom w:val="dashed" w:color="A6A6A6" w:sz="6" w:space="0"/>
              <w:right w:val="dashed" w:color="A6A6A6" w:sz="6" w:space="0"/>
            </w:tcBorders>
            <w:shd w:val="clear" w:color="auto" w:fill="F2F2F2"/>
            <w:tcMar>
              <w:top w:w="400" w:type="dxa"/>
              <w:left w:w="250" w:type="dxa"/>
              <w:bottom w:w="400" w:type="dxa"/>
              <w:right w:w="250" w:type="dxa"/>
            </w:tcMar>
          </w:tcPr>
          <w:p w14:paraId="3E472AD2">
            <w:pPr>
              <w:spacing w:before="60"/>
              <w:jc w:val="center"/>
            </w:pPr>
            <w:r>
              <w:drawing>
                <wp:inline distT="0" distB="0" distL="114300" distR="114300">
                  <wp:extent cx="6375400" cy="4397375"/>
                  <wp:effectExtent l="0" t="0" r="6350" b="317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6375400" cy="4397375"/>
                          </a:xfrm>
                          <a:prstGeom prst="rect">
                            <a:avLst/>
                          </a:prstGeom>
                          <a:noFill/>
                          <a:ln>
                            <a:noFill/>
                          </a:ln>
                        </pic:spPr>
                      </pic:pic>
                    </a:graphicData>
                  </a:graphic>
                </wp:inline>
              </w:drawing>
            </w:r>
          </w:p>
        </w:tc>
      </w:tr>
    </w:tbl>
    <w:p w14:paraId="21D0F88D">
      <w:r>
        <w:drawing>
          <wp:inline distT="0" distB="0" distL="114300" distR="114300">
            <wp:extent cx="6369050" cy="3147060"/>
            <wp:effectExtent l="0" t="0" r="12700" b="1524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6369050" cy="3147060"/>
                    </a:xfrm>
                    <a:prstGeom prst="rect">
                      <a:avLst/>
                    </a:prstGeom>
                    <a:noFill/>
                    <a:ln>
                      <a:noFill/>
                    </a:ln>
                  </pic:spPr>
                </pic:pic>
              </a:graphicData>
            </a:graphic>
          </wp:inline>
        </w:drawing>
      </w:r>
    </w:p>
    <w:p w14:paraId="73E893C8">
      <w:r>
        <w:drawing>
          <wp:inline distT="0" distB="0" distL="114300" distR="114300">
            <wp:extent cx="6367145" cy="4220210"/>
            <wp:effectExtent l="0" t="0" r="14605" b="889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6367145" cy="4220210"/>
                    </a:xfrm>
                    <a:prstGeom prst="rect">
                      <a:avLst/>
                    </a:prstGeom>
                    <a:noFill/>
                    <a:ln>
                      <a:noFill/>
                    </a:ln>
                  </pic:spPr>
                </pic:pic>
              </a:graphicData>
            </a:graphic>
          </wp:inline>
        </w:drawing>
      </w:r>
      <w:r>
        <w:br w:type="page"/>
      </w:r>
    </w:p>
    <w:p w14:paraId="2943A058">
      <w:pPr>
        <w:pStyle w:val="2"/>
        <w:pBdr>
          <w:bottom w:val="single" w:color="1F3864" w:sz="6" w:space="4"/>
        </w:pBdr>
        <w:spacing w:before="320" w:after="160"/>
      </w:pPr>
      <w:r>
        <w:rPr>
          <w:rFonts w:ascii="Calibri" w:hAnsi="Calibri" w:eastAsia="Calibri" w:cs="Calibri"/>
          <w:b/>
          <w:bCs/>
          <w:color w:val="1F3864"/>
          <w:sz w:val="30"/>
          <w:szCs w:val="30"/>
        </w:rPr>
        <w:t>Task 3: Observability &amp; Cost Governance</w:t>
      </w:r>
    </w:p>
    <w:p w14:paraId="644509E3">
      <w:pPr>
        <w:pStyle w:val="3"/>
        <w:spacing w:before="260" w:after="120"/>
      </w:pPr>
      <w:r>
        <w:rPr>
          <w:rFonts w:ascii="Calibri" w:hAnsi="Calibri" w:eastAsia="Calibri" w:cs="Calibri"/>
          <w:b/>
          <w:bCs/>
          <w:color w:val="2E74B5"/>
          <w:sz w:val="26"/>
          <w:szCs w:val="26"/>
        </w:rPr>
        <w:t>3.1 Metrics Monitoring &amp; Metric Alert Rule</w:t>
      </w:r>
    </w:p>
    <w:p w14:paraId="16D6BF4F">
      <w:pPr>
        <w:spacing w:after="160" w:line="300" w:lineRule="auto"/>
        <w:jc w:val="both"/>
      </w:pPr>
      <w:r>
        <w:rPr>
          <w:rFonts w:ascii="Calibri" w:hAnsi="Calibri" w:eastAsia="Calibri" w:cs="Calibri"/>
          <w:b w:val="0"/>
          <w:bCs w:val="0"/>
          <w:i w:val="0"/>
          <w:iCs w:val="0"/>
          <w:sz w:val="22"/>
          <w:szCs w:val="22"/>
        </w:rPr>
        <w:t>Azure Monitor was configured across all infrastructure components. An automated alert rule was set up to mitigate performance bottlenecks: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3D97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79EADCFA">
            <w:pPr>
              <w:jc w:val="left"/>
            </w:pPr>
            <w:r>
              <w:rPr>
                <w:rFonts w:ascii="Calibri" w:hAnsi="Calibri" w:eastAsia="Calibri" w:cs="Calibri"/>
                <w:b/>
                <w:bCs/>
                <w:i w:val="0"/>
                <w:iCs w:val="0"/>
                <w:color w:val="000000"/>
                <w:sz w:val="22"/>
                <w:szCs w:val="22"/>
              </w:rPr>
              <w:t>Target Resource</w:t>
            </w:r>
          </w:p>
        </w:tc>
        <w:tc>
          <w:tcPr>
            <w:tcW w:w="5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2AE5AE9F">
            <w:pPr>
              <w:jc w:val="left"/>
            </w:pPr>
            <w:r>
              <w:rPr>
                <w:rFonts w:ascii="Calibri" w:hAnsi="Calibri" w:eastAsia="Calibri" w:cs="Calibri"/>
                <w:b w:val="0"/>
                <w:bCs w:val="0"/>
                <w:i w:val="0"/>
                <w:iCs w:val="0"/>
                <w:color w:val="000000"/>
                <w:sz w:val="22"/>
                <w:szCs w:val="22"/>
              </w:rPr>
              <w:t>App-VM</w:t>
            </w:r>
          </w:p>
        </w:tc>
      </w:tr>
      <w:tr w14:paraId="102C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53E6B29E">
            <w:pPr>
              <w:jc w:val="left"/>
            </w:pPr>
            <w:r>
              <w:rPr>
                <w:rFonts w:ascii="Calibri" w:hAnsi="Calibri" w:eastAsia="Calibri" w:cs="Calibri"/>
                <w:b/>
                <w:bCs/>
                <w:i w:val="0"/>
                <w:iCs w:val="0"/>
                <w:color w:val="000000"/>
                <w:sz w:val="22"/>
                <w:szCs w:val="22"/>
              </w:rPr>
              <w:t>Condition</w:t>
            </w:r>
          </w:p>
        </w:tc>
        <w:tc>
          <w:tcPr>
            <w:tcW w:w="5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54863B18">
            <w:pPr>
              <w:jc w:val="left"/>
            </w:pPr>
            <w:r>
              <w:rPr>
                <w:rFonts w:ascii="Calibri" w:hAnsi="Calibri" w:eastAsia="Calibri" w:cs="Calibri"/>
                <w:b w:val="0"/>
                <w:bCs w:val="0"/>
                <w:i w:val="0"/>
                <w:iCs w:val="0"/>
                <w:color w:val="000000"/>
                <w:sz w:val="22"/>
                <w:szCs w:val="22"/>
              </w:rPr>
              <w:t>Percentage CPU &gt; 80%</w:t>
            </w:r>
          </w:p>
        </w:tc>
      </w:tr>
      <w:tr w14:paraId="68C9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2B35A355">
            <w:pPr>
              <w:jc w:val="left"/>
            </w:pPr>
            <w:r>
              <w:rPr>
                <w:rFonts w:ascii="Calibri" w:hAnsi="Calibri" w:eastAsia="Calibri" w:cs="Calibri"/>
                <w:b/>
                <w:bCs/>
                <w:i w:val="0"/>
                <w:iCs w:val="0"/>
                <w:color w:val="000000"/>
                <w:sz w:val="22"/>
                <w:szCs w:val="22"/>
              </w:rPr>
              <w:t>Action Group</w:t>
            </w:r>
          </w:p>
        </w:tc>
        <w:tc>
          <w:tcPr>
            <w:tcW w:w="5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653DB133">
            <w:pPr>
              <w:jc w:val="left"/>
            </w:pPr>
            <w:r>
              <w:rPr>
                <w:rFonts w:ascii="Calibri" w:hAnsi="Calibri" w:eastAsia="Calibri" w:cs="Calibri"/>
                <w:b w:val="0"/>
                <w:bCs w:val="0"/>
                <w:i w:val="0"/>
                <w:iCs w:val="0"/>
                <w:color w:val="000000"/>
                <w:sz w:val="22"/>
                <w:szCs w:val="22"/>
              </w:rPr>
              <w:t>NotifyAdmin (Global scope, Display Name: NotifyAdmin)</w:t>
            </w:r>
          </w:p>
        </w:tc>
      </w:tr>
      <w:tr w14:paraId="0600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00AAC1EA">
            <w:pPr>
              <w:jc w:val="left"/>
            </w:pPr>
            <w:r>
              <w:rPr>
                <w:rFonts w:ascii="Calibri" w:hAnsi="Calibri" w:eastAsia="Calibri" w:cs="Calibri"/>
                <w:b/>
                <w:bCs/>
                <w:i w:val="0"/>
                <w:iCs w:val="0"/>
                <w:color w:val="000000"/>
                <w:sz w:val="22"/>
                <w:szCs w:val="22"/>
              </w:rPr>
              <w:t>Channel</w:t>
            </w:r>
          </w:p>
        </w:tc>
        <w:tc>
          <w:tcPr>
            <w:tcW w:w="5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12A2A26E">
            <w:pPr>
              <w:jc w:val="left"/>
            </w:pPr>
            <w:r>
              <w:rPr>
                <w:rFonts w:ascii="Calibri" w:hAnsi="Calibri" w:eastAsia="Calibri" w:cs="Calibri"/>
                <w:b w:val="0"/>
                <w:bCs w:val="0"/>
                <w:i w:val="0"/>
                <w:iCs w:val="0"/>
                <w:color w:val="000000"/>
                <w:sz w:val="22"/>
                <w:szCs w:val="22"/>
              </w:rPr>
              <w:t>Email notification dispatching alerts to administrators upon threshold breach.</w:t>
            </w:r>
          </w:p>
        </w:tc>
      </w:tr>
    </w:tbl>
    <w:p w14:paraId="2E63BE9C">
      <w:pPr>
        <w:spacing w:before="200" w:after="100"/>
      </w:pPr>
      <w:r>
        <w:rPr>
          <w:rFonts w:ascii="Calibri" w:hAnsi="Calibri" w:eastAsia="Calibri" w:cs="Calibri"/>
          <w:b/>
          <w:bCs/>
          <w:i/>
          <w:iCs/>
          <w:sz w:val="21"/>
          <w:szCs w:val="21"/>
        </w:rPr>
        <w:t>Alert Setup &amp; Delivery Evidence: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20"/>
      </w:tblGrid>
      <w:tr w14:paraId="60A9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dashed" w:color="A6A6A6" w:sz="6" w:space="0"/>
              <w:left w:val="dashed" w:color="A6A6A6" w:sz="6" w:space="0"/>
              <w:bottom w:val="dashed" w:color="A6A6A6" w:sz="6" w:space="0"/>
              <w:right w:val="dashed" w:color="A6A6A6" w:sz="6" w:space="0"/>
            </w:tcBorders>
            <w:shd w:val="clear" w:color="auto" w:fill="F2F2F2"/>
            <w:tcMar>
              <w:top w:w="400" w:type="dxa"/>
              <w:left w:w="250" w:type="dxa"/>
              <w:bottom w:w="400" w:type="dxa"/>
              <w:right w:w="250" w:type="dxa"/>
            </w:tcMar>
          </w:tcPr>
          <w:p w14:paraId="6A76EB5A">
            <w:pPr>
              <w:spacing w:before="60"/>
              <w:jc w:val="center"/>
            </w:pPr>
            <w:r>
              <w:drawing>
                <wp:inline distT="0" distB="0" distL="114300" distR="114300">
                  <wp:extent cx="6361430" cy="3108960"/>
                  <wp:effectExtent l="0" t="0" r="1270" b="1524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4"/>
                          <a:stretch>
                            <a:fillRect/>
                          </a:stretch>
                        </pic:blipFill>
                        <pic:spPr>
                          <a:xfrm>
                            <a:off x="0" y="0"/>
                            <a:ext cx="6361430" cy="3108960"/>
                          </a:xfrm>
                          <a:prstGeom prst="rect">
                            <a:avLst/>
                          </a:prstGeom>
                          <a:noFill/>
                          <a:ln>
                            <a:noFill/>
                          </a:ln>
                        </pic:spPr>
                      </pic:pic>
                    </a:graphicData>
                  </a:graphic>
                </wp:inline>
              </w:drawing>
            </w:r>
          </w:p>
        </w:tc>
      </w:tr>
    </w:tbl>
    <w:p w14:paraId="32D1773A">
      <w:pPr>
        <w:spacing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40"/>
      </w:tblGrid>
      <w:tr w14:paraId="61F3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dashed" w:color="A6A6A6" w:sz="6" w:space="0"/>
              <w:left w:val="dashed" w:color="A6A6A6" w:sz="6" w:space="0"/>
              <w:bottom w:val="dashed" w:color="A6A6A6" w:sz="6" w:space="0"/>
              <w:right w:val="dashed" w:color="A6A6A6" w:sz="6" w:space="0"/>
            </w:tcBorders>
            <w:shd w:val="clear" w:color="auto" w:fill="F2F2F2"/>
            <w:tcMar>
              <w:top w:w="400" w:type="dxa"/>
              <w:left w:w="250" w:type="dxa"/>
              <w:bottom w:w="400" w:type="dxa"/>
              <w:right w:w="250" w:type="dxa"/>
            </w:tcMar>
          </w:tcPr>
          <w:p w14:paraId="406C0DA4">
            <w:pPr>
              <w:spacing w:before="60"/>
              <w:jc w:val="center"/>
            </w:pPr>
            <w:r>
              <w:drawing>
                <wp:inline distT="0" distB="0" distL="114300" distR="114300">
                  <wp:extent cx="6372225" cy="6435725"/>
                  <wp:effectExtent l="0" t="0" r="9525" b="317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5"/>
                          <a:stretch>
                            <a:fillRect/>
                          </a:stretch>
                        </pic:blipFill>
                        <pic:spPr>
                          <a:xfrm>
                            <a:off x="0" y="0"/>
                            <a:ext cx="6372225" cy="6435725"/>
                          </a:xfrm>
                          <a:prstGeom prst="rect">
                            <a:avLst/>
                          </a:prstGeom>
                          <a:noFill/>
                          <a:ln>
                            <a:noFill/>
                          </a:ln>
                        </pic:spPr>
                      </pic:pic>
                    </a:graphicData>
                  </a:graphic>
                </wp:inline>
              </w:drawing>
            </w:r>
          </w:p>
        </w:tc>
      </w:tr>
    </w:tbl>
    <w:p w14:paraId="5A1D0322">
      <w:pPr>
        <w:pStyle w:val="3"/>
        <w:spacing w:before="260" w:after="120"/>
      </w:pPr>
      <w:r>
        <w:rPr>
          <w:rFonts w:ascii="Calibri" w:hAnsi="Calibri" w:eastAsia="Calibri" w:cs="Calibri"/>
          <w:b/>
          <w:bCs/>
          <w:color w:val="2E74B5"/>
          <w:sz w:val="26"/>
          <w:szCs w:val="26"/>
        </w:rPr>
        <w:t>3.2 Cost Management &amp; Monthly Budgeting</w:t>
      </w:r>
    </w:p>
    <w:p w14:paraId="1FD9BAD2">
      <w:pPr>
        <w:spacing w:after="160" w:line="300" w:lineRule="auto"/>
        <w:jc w:val="both"/>
      </w:pPr>
      <w:r>
        <w:rPr>
          <w:rFonts w:ascii="Calibri" w:hAnsi="Calibri" w:eastAsia="Calibri" w:cs="Calibri"/>
          <w:b w:val="0"/>
          <w:bCs w:val="0"/>
          <w:i w:val="0"/>
          <w:iCs w:val="0"/>
          <w:sz w:val="22"/>
          <w:szCs w:val="22"/>
        </w:rPr>
        <w:t>To manage resource usage and stay within credit allocations: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1C89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6A10EF66">
            <w:pPr>
              <w:jc w:val="left"/>
            </w:pPr>
            <w:r>
              <w:rPr>
                <w:rFonts w:ascii="Calibri" w:hAnsi="Calibri" w:eastAsia="Calibri" w:cs="Calibri"/>
                <w:b/>
                <w:bCs/>
                <w:i w:val="0"/>
                <w:iCs w:val="0"/>
                <w:color w:val="000000"/>
                <w:sz w:val="22"/>
                <w:szCs w:val="22"/>
              </w:rPr>
              <w:t>Scope</w:t>
            </w:r>
          </w:p>
        </w:tc>
        <w:tc>
          <w:tcPr>
            <w:tcW w:w="5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6F671A1D">
            <w:pPr>
              <w:jc w:val="left"/>
            </w:pPr>
            <w:r>
              <w:rPr>
                <w:rFonts w:ascii="Calibri" w:hAnsi="Calibri" w:eastAsia="Calibri" w:cs="Calibri"/>
                <w:b w:val="0"/>
                <w:bCs w:val="0"/>
                <w:i w:val="0"/>
                <w:iCs w:val="0"/>
                <w:color w:val="000000"/>
                <w:sz w:val="22"/>
                <w:szCs w:val="22"/>
              </w:rPr>
              <w:t>Lab10-RG / Subscription</w:t>
            </w:r>
          </w:p>
        </w:tc>
      </w:tr>
      <w:tr w14:paraId="4CD0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17F2A9B6">
            <w:pPr>
              <w:jc w:val="left"/>
            </w:pPr>
            <w:r>
              <w:rPr>
                <w:rFonts w:ascii="Calibri" w:hAnsi="Calibri" w:eastAsia="Calibri" w:cs="Calibri"/>
                <w:b/>
                <w:bCs/>
                <w:i w:val="0"/>
                <w:iCs w:val="0"/>
                <w:color w:val="000000"/>
                <w:sz w:val="22"/>
                <w:szCs w:val="22"/>
              </w:rPr>
              <w:t>Budget Name</w:t>
            </w:r>
          </w:p>
        </w:tc>
        <w:tc>
          <w:tcPr>
            <w:tcW w:w="5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0E4D16E0">
            <w:pPr>
              <w:jc w:val="left"/>
            </w:pPr>
            <w:r>
              <w:rPr>
                <w:rFonts w:ascii="Calibri" w:hAnsi="Calibri" w:eastAsia="Calibri" w:cs="Calibri"/>
                <w:b w:val="0"/>
                <w:bCs w:val="0"/>
                <w:i w:val="0"/>
                <w:iCs w:val="0"/>
                <w:color w:val="000000"/>
                <w:sz w:val="22"/>
                <w:szCs w:val="22"/>
              </w:rPr>
              <w:t>Lab10-Monthly-Budget</w:t>
            </w:r>
          </w:p>
        </w:tc>
      </w:tr>
      <w:tr w14:paraId="33D4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C3E6" w:sz="4" w:space="0"/>
              <w:left w:val="single" w:color="9DC3E6" w:sz="4" w:space="0"/>
              <w:bottom w:val="single" w:color="9DC3E6" w:sz="4" w:space="0"/>
              <w:right w:val="single" w:color="9DC3E6" w:sz="4" w:space="0"/>
            </w:tcBorders>
            <w:shd w:val="clear" w:color="auto" w:fill="DCE9F5"/>
            <w:tcMar>
              <w:top w:w="100" w:type="dxa"/>
              <w:left w:w="150" w:type="dxa"/>
              <w:bottom w:w="100" w:type="dxa"/>
              <w:right w:w="150" w:type="dxa"/>
            </w:tcMar>
            <w:vAlign w:val="center"/>
          </w:tcPr>
          <w:p w14:paraId="0ACDCFAD">
            <w:pPr>
              <w:jc w:val="left"/>
            </w:pPr>
            <w:r>
              <w:rPr>
                <w:rFonts w:ascii="Calibri" w:hAnsi="Calibri" w:eastAsia="Calibri" w:cs="Calibri"/>
                <w:b/>
                <w:bCs/>
                <w:i w:val="0"/>
                <w:iCs w:val="0"/>
                <w:color w:val="000000"/>
                <w:sz w:val="22"/>
                <w:szCs w:val="22"/>
              </w:rPr>
              <w:t>Threshold Limit</w:t>
            </w:r>
          </w:p>
        </w:tc>
        <w:tc>
          <w:tcPr>
            <w:tcW w:w="5800" w:type="dxa"/>
            <w:tcBorders>
              <w:top w:val="single" w:color="9DC3E6" w:sz="4" w:space="0"/>
              <w:left w:val="single" w:color="9DC3E6" w:sz="4" w:space="0"/>
              <w:bottom w:val="single" w:color="9DC3E6" w:sz="4" w:space="0"/>
              <w:right w:val="single" w:color="9DC3E6" w:sz="4" w:space="0"/>
            </w:tcBorders>
            <w:tcMar>
              <w:top w:w="100" w:type="dxa"/>
              <w:left w:w="150" w:type="dxa"/>
              <w:bottom w:w="100" w:type="dxa"/>
              <w:right w:w="150" w:type="dxa"/>
            </w:tcMar>
            <w:vAlign w:val="center"/>
          </w:tcPr>
          <w:p w14:paraId="5758361E">
            <w:pPr>
              <w:jc w:val="left"/>
            </w:pPr>
            <w:r>
              <w:rPr>
                <w:rFonts w:ascii="Calibri" w:hAnsi="Calibri" w:eastAsia="Calibri" w:cs="Calibri"/>
                <w:b w:val="0"/>
                <w:bCs w:val="0"/>
                <w:i w:val="0"/>
                <w:iCs w:val="0"/>
                <w:color w:val="000000"/>
                <w:sz w:val="22"/>
                <w:szCs w:val="22"/>
              </w:rPr>
              <w:t>$30.00 Monthly Cap (Alert triggered at 80% consumption)</w:t>
            </w:r>
          </w:p>
        </w:tc>
      </w:tr>
    </w:tbl>
    <w:p w14:paraId="45CF9261">
      <w:pPr>
        <w:spacing w:before="200" w:after="100"/>
      </w:pPr>
      <w:r>
        <w:rPr>
          <w:rFonts w:ascii="Calibri" w:hAnsi="Calibri" w:eastAsia="Calibri" w:cs="Calibri"/>
          <w:b/>
          <w:bCs/>
          <w:i/>
          <w:iCs/>
          <w:sz w:val="21"/>
          <w:szCs w:val="21"/>
        </w:rPr>
        <w:t>Financial Tracking Analysis: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40"/>
      </w:tblGrid>
      <w:tr w14:paraId="66AF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dashed" w:color="A6A6A6" w:sz="6" w:space="0"/>
              <w:left w:val="dashed" w:color="A6A6A6" w:sz="6" w:space="0"/>
              <w:bottom w:val="dashed" w:color="A6A6A6" w:sz="6" w:space="0"/>
              <w:right w:val="dashed" w:color="A6A6A6" w:sz="6" w:space="0"/>
            </w:tcBorders>
            <w:shd w:val="clear" w:color="auto" w:fill="F2F2F2"/>
            <w:tcMar>
              <w:top w:w="400" w:type="dxa"/>
              <w:left w:w="250" w:type="dxa"/>
              <w:bottom w:w="400" w:type="dxa"/>
              <w:right w:w="250" w:type="dxa"/>
            </w:tcMar>
          </w:tcPr>
          <w:p w14:paraId="26ED4ECE">
            <w:pPr>
              <w:spacing w:before="60"/>
              <w:jc w:val="center"/>
            </w:pPr>
            <w:r>
              <w:drawing>
                <wp:inline distT="0" distB="0" distL="114300" distR="114300">
                  <wp:extent cx="6365240" cy="3123565"/>
                  <wp:effectExtent l="0" t="0" r="16510" b="6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6365240" cy="3123565"/>
                          </a:xfrm>
                          <a:prstGeom prst="rect">
                            <a:avLst/>
                          </a:prstGeom>
                          <a:noFill/>
                          <a:ln>
                            <a:noFill/>
                          </a:ln>
                        </pic:spPr>
                      </pic:pic>
                    </a:graphicData>
                  </a:graphic>
                </wp:inline>
              </w:drawing>
            </w:r>
          </w:p>
        </w:tc>
      </w:tr>
    </w:tbl>
    <w:p w14:paraId="09B173EF">
      <w:pPr>
        <w:spacing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40"/>
      </w:tblGrid>
      <w:tr w14:paraId="308D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dashed" w:color="A6A6A6" w:sz="6" w:space="0"/>
              <w:left w:val="dashed" w:color="A6A6A6" w:sz="6" w:space="0"/>
              <w:bottom w:val="dashed" w:color="A6A6A6" w:sz="6" w:space="0"/>
              <w:right w:val="dashed" w:color="A6A6A6" w:sz="6" w:space="0"/>
            </w:tcBorders>
            <w:shd w:val="clear" w:color="auto" w:fill="F2F2F2"/>
            <w:tcMar>
              <w:top w:w="400" w:type="dxa"/>
              <w:left w:w="250" w:type="dxa"/>
              <w:bottom w:w="400" w:type="dxa"/>
              <w:right w:w="250" w:type="dxa"/>
            </w:tcMar>
          </w:tcPr>
          <w:p w14:paraId="2A0E7ACA">
            <w:pPr>
              <w:spacing w:before="60"/>
              <w:jc w:val="center"/>
            </w:pPr>
            <w:r>
              <w:drawing>
                <wp:inline distT="0" distB="0" distL="114300" distR="114300">
                  <wp:extent cx="6369685" cy="3132455"/>
                  <wp:effectExtent l="0" t="0" r="12065" b="1079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7"/>
                          <a:stretch>
                            <a:fillRect/>
                          </a:stretch>
                        </pic:blipFill>
                        <pic:spPr>
                          <a:xfrm>
                            <a:off x="0" y="0"/>
                            <a:ext cx="6369685" cy="3132455"/>
                          </a:xfrm>
                          <a:prstGeom prst="rect">
                            <a:avLst/>
                          </a:prstGeom>
                          <a:noFill/>
                          <a:ln>
                            <a:noFill/>
                          </a:ln>
                        </pic:spPr>
                      </pic:pic>
                    </a:graphicData>
                  </a:graphic>
                </wp:inline>
              </w:drawing>
            </w:r>
          </w:p>
        </w:tc>
      </w:tr>
    </w:tbl>
    <w:p w14:paraId="6301562F">
      <w:pPr>
        <w:spacing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40"/>
      </w:tblGrid>
      <w:tr w14:paraId="5B55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dashed" w:color="A6A6A6" w:sz="6" w:space="0"/>
              <w:left w:val="dashed" w:color="A6A6A6" w:sz="6" w:space="0"/>
              <w:bottom w:val="dashed" w:color="A6A6A6" w:sz="6" w:space="0"/>
              <w:right w:val="dashed" w:color="A6A6A6" w:sz="6" w:space="0"/>
            </w:tcBorders>
            <w:shd w:val="clear" w:color="auto" w:fill="F2F2F2"/>
            <w:tcMar>
              <w:top w:w="400" w:type="dxa"/>
              <w:left w:w="250" w:type="dxa"/>
              <w:bottom w:w="400" w:type="dxa"/>
              <w:right w:w="250" w:type="dxa"/>
            </w:tcMar>
          </w:tcPr>
          <w:p w14:paraId="0B450A6E">
            <w:pPr>
              <w:spacing w:before="60"/>
              <w:jc w:val="center"/>
            </w:pPr>
            <w:r>
              <w:drawing>
                <wp:inline distT="0" distB="0" distL="114300" distR="114300">
                  <wp:extent cx="6371590" cy="3132455"/>
                  <wp:effectExtent l="0" t="0" r="10160" b="1079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6371590" cy="3132455"/>
                          </a:xfrm>
                          <a:prstGeom prst="rect">
                            <a:avLst/>
                          </a:prstGeom>
                          <a:noFill/>
                          <a:ln>
                            <a:noFill/>
                          </a:ln>
                        </pic:spPr>
                      </pic:pic>
                    </a:graphicData>
                  </a:graphic>
                </wp:inline>
              </w:drawing>
            </w:r>
          </w:p>
        </w:tc>
      </w:tr>
    </w:tbl>
    <w:p w14:paraId="1F0BAD1D">
      <w:r>
        <w:br w:type="page"/>
      </w:r>
    </w:p>
    <w:p w14:paraId="42EF6F22">
      <w:pPr>
        <w:pStyle w:val="2"/>
        <w:pBdr>
          <w:bottom w:val="single" w:color="1F3864" w:sz="6" w:space="4"/>
        </w:pBdr>
        <w:spacing w:before="320" w:after="160"/>
      </w:pPr>
      <w:r>
        <w:rPr>
          <w:rFonts w:ascii="Calibri" w:hAnsi="Calibri" w:eastAsia="Calibri" w:cs="Calibri"/>
          <w:b/>
          <w:bCs/>
          <w:color w:val="1F3864"/>
          <w:sz w:val="30"/>
          <w:szCs w:val="30"/>
        </w:rPr>
        <w:t>3.3 Analytical Answers &amp; Technical Discussion</w:t>
      </w:r>
    </w:p>
    <w:p w14:paraId="1B18B5B3">
      <w:pPr>
        <w:pStyle w:val="3"/>
        <w:spacing w:before="260" w:after="120"/>
      </w:pPr>
      <w:r>
        <w:rPr>
          <w:rFonts w:ascii="Calibri" w:hAnsi="Calibri" w:eastAsia="Calibri" w:cs="Calibri"/>
          <w:b/>
          <w:bCs/>
          <w:color w:val="2E74B5"/>
          <w:sz w:val="26"/>
          <w:szCs w:val="26"/>
        </w:rPr>
        <w:t>Question 1: Compare metrics before and after enabling load balancing. What changed and why?</w:t>
      </w:r>
    </w:p>
    <w:p w14:paraId="5ABBEA13">
      <w:pPr>
        <w:spacing w:before="200" w:after="100"/>
      </w:pPr>
      <w:r>
        <w:rPr>
          <w:rFonts w:ascii="Calibri" w:hAnsi="Calibri" w:eastAsia="Calibri" w:cs="Calibri"/>
          <w:b/>
          <w:bCs/>
          <w:color w:val="404040"/>
          <w:sz w:val="23"/>
          <w:szCs w:val="23"/>
        </w:rPr>
        <w:t>Before Load Balancing</w:t>
      </w:r>
    </w:p>
    <w:p w14:paraId="7E8201F8">
      <w:pPr>
        <w:spacing w:after="160" w:line="300" w:lineRule="auto"/>
        <w:jc w:val="both"/>
      </w:pPr>
      <w:r>
        <w:rPr>
          <w:rFonts w:ascii="Calibri" w:hAnsi="Calibri" w:eastAsia="Calibri" w:cs="Calibri"/>
          <w:b w:val="0"/>
          <w:bCs w:val="0"/>
          <w:i w:val="0"/>
          <w:iCs w:val="0"/>
          <w:sz w:val="22"/>
          <w:szCs w:val="22"/>
        </w:rPr>
        <w:t>All incoming traffic was handled by a single Virtual Machine instance. Under high request rates or compute loads, CPU utilization and response latencies spiked on that single instance, creating a Single Point of Failure (SPOF).</w:t>
      </w:r>
    </w:p>
    <w:p w14:paraId="40641E25">
      <w:pPr>
        <w:spacing w:before="200" w:after="100"/>
      </w:pPr>
      <w:r>
        <w:rPr>
          <w:rFonts w:ascii="Calibri" w:hAnsi="Calibri" w:eastAsia="Calibri" w:cs="Calibri"/>
          <w:b/>
          <w:bCs/>
          <w:color w:val="404040"/>
          <w:sz w:val="23"/>
          <w:szCs w:val="23"/>
        </w:rPr>
        <w:t>After Load Balancing</w:t>
      </w:r>
    </w:p>
    <w:p w14:paraId="1E0828BC">
      <w:pPr>
        <w:spacing w:after="160" w:line="300" w:lineRule="auto"/>
        <w:jc w:val="both"/>
      </w:pPr>
      <w:r>
        <w:rPr>
          <w:rFonts w:ascii="Calibri" w:hAnsi="Calibri" w:eastAsia="Calibri" w:cs="Calibri"/>
          <w:b w:val="0"/>
          <w:bCs w:val="0"/>
          <w:i w:val="0"/>
          <w:iCs w:val="0"/>
          <w:sz w:val="22"/>
          <w:szCs w:val="22"/>
        </w:rPr>
        <w:t>Incoming requests are evenly partitioned across multiple compute instances (App-VM and App-VM2). Individual CPU usage per node dropped, network throughput was evenly distributed, and overall system fault tolerance improved. If one node experiences failure, the load balancer routes requests to surviving nodes with zero user impact.</w:t>
      </w:r>
    </w:p>
    <w:p w14:paraId="5B61EA0C">
      <w:pPr>
        <w:pStyle w:val="3"/>
        <w:spacing w:before="260" w:after="120"/>
      </w:pPr>
      <w:r>
        <w:rPr>
          <w:rFonts w:ascii="Calibri" w:hAnsi="Calibri" w:eastAsia="Calibri" w:cs="Calibri"/>
          <w:b/>
          <w:bCs/>
          <w:color w:val="2E74B5"/>
          <w:sz w:val="26"/>
          <w:szCs w:val="26"/>
        </w:rPr>
        <w:t>Question 2: Identify which resources incur the highest cost and suggest optimization strategies.</w:t>
      </w:r>
    </w:p>
    <w:p w14:paraId="46140004">
      <w:pPr>
        <w:spacing w:before="200" w:after="100"/>
      </w:pPr>
      <w:r>
        <w:rPr>
          <w:rFonts w:ascii="Calibri" w:hAnsi="Calibri" w:eastAsia="Calibri" w:cs="Calibri"/>
          <w:b/>
          <w:bCs/>
          <w:color w:val="404040"/>
          <w:sz w:val="23"/>
          <w:szCs w:val="23"/>
        </w:rPr>
        <w:t>Highest Cost Resources</w:t>
      </w:r>
    </w:p>
    <w:p w14:paraId="6B270E77">
      <w:pPr>
        <w:pStyle w:val="16"/>
        <w:numPr>
          <w:ilvl w:val="0"/>
          <w:numId w:val="1"/>
        </w:numPr>
        <w:spacing w:after="100" w:line="300" w:lineRule="auto"/>
      </w:pPr>
      <w:r>
        <w:rPr>
          <w:rFonts w:ascii="Calibri" w:hAnsi="Calibri" w:eastAsia="Calibri" w:cs="Calibri"/>
          <w:b w:val="0"/>
          <w:bCs w:val="0"/>
          <w:sz w:val="22"/>
          <w:szCs w:val="22"/>
        </w:rPr>
        <w:t>Virtual Machines (Compute – $0.47): Continuous running compute instances account for the primary portion of cloud spending.</w:t>
      </w:r>
    </w:p>
    <w:p w14:paraId="4DDD0136">
      <w:pPr>
        <w:pStyle w:val="16"/>
        <w:numPr>
          <w:ilvl w:val="0"/>
          <w:numId w:val="1"/>
        </w:numPr>
        <w:spacing w:after="100" w:line="300" w:lineRule="auto"/>
      </w:pPr>
      <w:r>
        <w:rPr>
          <w:rFonts w:ascii="Calibri" w:hAnsi="Calibri" w:eastAsia="Calibri" w:cs="Calibri"/>
          <w:b w:val="0"/>
          <w:bCs w:val="0"/>
          <w:sz w:val="22"/>
          <w:szCs w:val="22"/>
        </w:rPr>
        <w:t>Storage Disks ($0.26): Provisioned OS and data disks incur persistent hourly storage costs regardless of compute state.</w:t>
      </w:r>
    </w:p>
    <w:p w14:paraId="78529463">
      <w:pPr>
        <w:spacing w:before="200" w:after="100"/>
      </w:pPr>
      <w:r>
        <w:rPr>
          <w:rFonts w:ascii="Calibri" w:hAnsi="Calibri" w:eastAsia="Calibri" w:cs="Calibri"/>
          <w:b/>
          <w:bCs/>
          <w:color w:val="404040"/>
          <w:sz w:val="23"/>
          <w:szCs w:val="23"/>
        </w:rPr>
        <w:t>Optimization Strategies</w:t>
      </w:r>
    </w:p>
    <w:p w14:paraId="747019A0">
      <w:pPr>
        <w:pStyle w:val="16"/>
        <w:numPr>
          <w:ilvl w:val="0"/>
          <w:numId w:val="1"/>
        </w:numPr>
        <w:spacing w:after="100" w:line="300" w:lineRule="auto"/>
      </w:pPr>
      <w:r>
        <w:rPr>
          <w:rFonts w:ascii="Calibri" w:hAnsi="Calibri" w:eastAsia="Calibri" w:cs="Calibri"/>
          <w:b w:val="0"/>
          <w:bCs w:val="0"/>
          <w:sz w:val="22"/>
          <w:szCs w:val="22"/>
        </w:rPr>
        <w:t>Auto-Scaling &amp; Scheduled Shutdowns: Configure automated shutdown schedules or Azure Auto-Scaling during non-business hours to deallocate non-production compute resources.</w:t>
      </w:r>
    </w:p>
    <w:p w14:paraId="577ABA05">
      <w:pPr>
        <w:pStyle w:val="16"/>
        <w:numPr>
          <w:ilvl w:val="0"/>
          <w:numId w:val="1"/>
        </w:numPr>
        <w:spacing w:after="100" w:line="300" w:lineRule="auto"/>
      </w:pPr>
      <w:r>
        <w:rPr>
          <w:rFonts w:ascii="Calibri" w:hAnsi="Calibri" w:eastAsia="Calibri" w:cs="Calibri"/>
          <w:b w:val="0"/>
          <w:bCs w:val="0"/>
          <w:sz w:val="22"/>
          <w:szCs w:val="22"/>
        </w:rPr>
        <w:t>Instance Right-Sizing: Monitor average CPU utilization; migrate low-utilization nodes from general-purpose instances to burstable (B-Series) virtual machines.</w:t>
      </w:r>
    </w:p>
    <w:p w14:paraId="0C856DF8">
      <w:pPr>
        <w:pStyle w:val="16"/>
        <w:numPr>
          <w:ilvl w:val="0"/>
          <w:numId w:val="1"/>
        </w:numPr>
        <w:spacing w:after="100" w:line="300" w:lineRule="auto"/>
      </w:pPr>
      <w:r>
        <w:rPr>
          <w:rFonts w:ascii="Calibri" w:hAnsi="Calibri" w:eastAsia="Calibri" w:cs="Calibri"/>
          <w:b w:val="0"/>
          <w:bCs w:val="0"/>
          <w:sz w:val="22"/>
          <w:szCs w:val="22"/>
        </w:rPr>
        <w:t>Azure Reserved Instances (RI): Utilize 1-year or 3-year reservation commitments for baseline production workloads to achieve cost savings up to 72% over standard pay-as-you-go rates.</w:t>
      </w:r>
    </w:p>
    <w:p w14:paraId="1F1B7D35">
      <w:pPr>
        <w:pStyle w:val="2"/>
        <w:pBdr>
          <w:bottom w:val="single" w:color="1F3864" w:sz="6" w:space="4"/>
        </w:pBdr>
        <w:spacing w:before="320" w:after="160"/>
      </w:pPr>
      <w:r>
        <w:rPr>
          <w:rFonts w:ascii="Calibri" w:hAnsi="Calibri" w:eastAsia="Calibri" w:cs="Calibri"/>
          <w:b/>
          <w:bCs/>
          <w:color w:val="1F3864"/>
          <w:sz w:val="30"/>
          <w:szCs w:val="30"/>
        </w:rPr>
        <w:t>Conclusion</w:t>
      </w:r>
    </w:p>
    <w:p w14:paraId="68F40DDF">
      <w:pPr>
        <w:spacing w:after="160" w:line="300" w:lineRule="auto"/>
        <w:jc w:val="both"/>
      </w:pPr>
      <w:r>
        <w:rPr>
          <w:rFonts w:ascii="Calibri" w:hAnsi="Calibri" w:eastAsia="Calibri" w:cs="Calibri"/>
          <w:b w:val="0"/>
          <w:bCs w:val="0"/>
          <w:i w:val="0"/>
          <w:iCs w:val="0"/>
          <w:sz w:val="22"/>
          <w:szCs w:val="22"/>
        </w:rPr>
        <w:t>The deployment successfully met all design requirements:</w:t>
      </w:r>
    </w:p>
    <w:p w14:paraId="746A3799">
      <w:pPr>
        <w:pStyle w:val="16"/>
        <w:numPr>
          <w:ilvl w:val="0"/>
          <w:numId w:val="1"/>
        </w:numPr>
        <w:spacing w:after="100" w:line="300" w:lineRule="auto"/>
      </w:pPr>
      <w:r>
        <w:rPr>
          <w:rFonts w:ascii="Calibri" w:hAnsi="Calibri" w:eastAsia="Calibri" w:cs="Calibri"/>
          <w:b w:val="0"/>
          <w:bCs w:val="0"/>
          <w:sz w:val="22"/>
          <w:szCs w:val="22"/>
        </w:rPr>
        <w:t>Security: Subnet segregation and NSG rules successfully blocked public access to internal database endpoints while maintaining authorized application-tier access.</w:t>
      </w:r>
    </w:p>
    <w:p w14:paraId="48C60BF2">
      <w:pPr>
        <w:pStyle w:val="16"/>
        <w:numPr>
          <w:ilvl w:val="0"/>
          <w:numId w:val="1"/>
        </w:numPr>
        <w:spacing w:after="100" w:line="300" w:lineRule="auto"/>
      </w:pPr>
      <w:r>
        <w:rPr>
          <w:rFonts w:ascii="Calibri" w:hAnsi="Calibri" w:eastAsia="Calibri" w:cs="Calibri"/>
          <w:b w:val="0"/>
          <w:bCs w:val="0"/>
          <w:sz w:val="22"/>
          <w:szCs w:val="22"/>
        </w:rPr>
        <w:t>Reliability: The Azure Load Balancer and health probe mechanisms enabled continuous application service during simulated virtual machine failures.</w:t>
      </w:r>
    </w:p>
    <w:p w14:paraId="4B6B08D0">
      <w:pPr>
        <w:pStyle w:val="16"/>
        <w:numPr>
          <w:ilvl w:val="0"/>
          <w:numId w:val="1"/>
        </w:numPr>
        <w:spacing w:after="100" w:line="300" w:lineRule="auto"/>
      </w:pPr>
      <w:r>
        <w:rPr>
          <w:rFonts w:ascii="Calibri" w:hAnsi="Calibri" w:eastAsia="Calibri" w:cs="Calibri"/>
          <w:b w:val="0"/>
          <w:bCs w:val="0"/>
          <w:sz w:val="22"/>
          <w:szCs w:val="22"/>
        </w:rPr>
        <w:t>Governance: Azure Monitor alerts and Cost Management budget thresholds established full operational transparency and cost governance.</w:t>
      </w:r>
    </w:p>
    <w:sectPr>
      <w:headerReference r:id="rId3" w:type="default"/>
      <w:footerReference r:id="rId4" w:type="default"/>
      <w:pgSz w:w="12240" w:h="15840"/>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Nirmala UI">
    <w:panose1 w:val="020B0502040204020203"/>
    <w:charset w:val="00"/>
    <w:family w:val="auto"/>
    <w:pitch w:val="default"/>
    <w:sig w:usb0="80FF8023" w:usb1="0200004A" w:usb2="00000200" w:usb3="00040000" w:csb0="00000001"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56598">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28460">
    <w:pPr>
      <w:pBdr>
        <w:bottom w:val="single" w:color="BFBFBF" w:sz="4" w:space="4"/>
      </w:pBdr>
      <w:jc w:val="right"/>
    </w:pPr>
    <w:r>
      <w:rPr>
        <w:i/>
        <w:iCs/>
        <w:color w:val="808080"/>
        <w:sz w:val="16"/>
        <w:szCs w:val="16"/>
      </w:rPr>
      <w:t>Lab 10 — Cloud Infrastructure, HA &amp; Observability on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documentProtection w:enforcement="0"/>
  <w:compat>
    <w:compatSetting w:name="compatibilityMode" w:uri="http://schemas.microsoft.com/office/word" w:val="15"/>
  </w:compat>
  <w:rsids>
    <w:rsidRoot w:val="00000000"/>
    <w:rsid w:val="76C41C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1100</Words>
  <Characters>6930</Characters>
  <TotalTime>10</TotalTime>
  <ScaleCrop>false</ScaleCrop>
  <LinksUpToDate>false</LinksUpToDate>
  <CharactersWithSpaces>7897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2026-08-06T21:58:00Z</dcterms:created>
  <dc:creator>Un-named</dc:creator>
  <cp:lastModifiedBy>Esat Jahan Akhi</cp:lastModifiedBy>
  <dcterms:modified xsi:type="dcterms:W3CDTF">2026-08-06T22:15:35Z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eyJoZGlkIjoiNzgxYmZiYjY0ZDAwOTVlMTI3YzdkYjAzZTIwNmU2NDciLCJ1c2VySWQiOiI4ODEzOTMzNTcxOTY1In0=</vt:lpwstr>
  </property>
  <property fmtid="{D5CDD505-2E9C-101B-9397-08002B2CF9AE}" pid="3" name="KSOProductBuildVer">
    <vt:lpwstr>1033-12.1.0.28032</vt:lpwstr>
  </property>
  <property fmtid="{D5CDD505-2E9C-101B-9397-08002B2CF9AE}" pid="4" name="ICV">
    <vt:lpwstr>C69D83964935471BA1BC91E4158D5D50_12</vt:lpwstr>
  </property>
</Properties>
</file>