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7E1C" w:rsidRPr="005A7483" w:rsidRDefault="005A7483" w:rsidP="00E16C6D">
      <w:pPr>
        <w:spacing w:line="360" w:lineRule="auto"/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 xml:space="preserve">3.5 </w:t>
      </w:r>
      <w:r w:rsidR="009244C2" w:rsidRPr="005A7483">
        <w:rPr>
          <w:b/>
          <w:bCs/>
          <w:sz w:val="28"/>
          <w:szCs w:val="28"/>
          <w:lang w:val="en-GB"/>
        </w:rPr>
        <w:t>Descriptive statistics</w:t>
      </w:r>
    </w:p>
    <w:p w:rsidR="0049053B" w:rsidRDefault="009244C2" w:rsidP="00E16C6D">
      <w:pPr>
        <w:spacing w:line="360" w:lineRule="auto"/>
        <w:rPr>
          <w:lang w:val="en-GB"/>
        </w:rPr>
      </w:pPr>
      <w:r w:rsidRPr="00571AF4">
        <w:rPr>
          <w:lang w:val="en-GB"/>
        </w:rPr>
        <w:t>In this section</w:t>
      </w:r>
      <w:r w:rsidR="0049053B">
        <w:rPr>
          <w:lang w:val="en-GB"/>
        </w:rPr>
        <w:t>,</w:t>
      </w:r>
      <w:r w:rsidR="00571AF4">
        <w:rPr>
          <w:lang w:val="en-GB"/>
        </w:rPr>
        <w:t xml:space="preserve"> we will examine the more apparent patterns of our collected data.</w:t>
      </w:r>
      <w:r w:rsidR="000E5D83">
        <w:rPr>
          <w:lang w:val="en-GB"/>
        </w:rPr>
        <w:t xml:space="preserve"> This is done to familiarize ourselves with the data, before we commence on the analysis.</w:t>
      </w:r>
    </w:p>
    <w:p w:rsidR="005A7483" w:rsidRDefault="005A7483" w:rsidP="00E16C6D">
      <w:pPr>
        <w:spacing w:line="360" w:lineRule="auto"/>
        <w:rPr>
          <w:lang w:val="en-GB"/>
        </w:rPr>
      </w:pPr>
    </w:p>
    <w:p w:rsidR="005A7483" w:rsidRPr="005A7483" w:rsidRDefault="005A7483" w:rsidP="00E16C6D">
      <w:pPr>
        <w:spacing w:line="360" w:lineRule="auto"/>
        <w:rPr>
          <w:b/>
          <w:bCs/>
          <w:lang w:val="en-GB"/>
        </w:rPr>
      </w:pPr>
      <w:r>
        <w:rPr>
          <w:b/>
          <w:bCs/>
          <w:lang w:val="en-GB"/>
        </w:rPr>
        <w:t>3.5.1 Key Statistic</w:t>
      </w:r>
    </w:p>
    <w:p w:rsidR="00557E44" w:rsidRDefault="00557E44" w:rsidP="00E16C6D">
      <w:pPr>
        <w:spacing w:line="360" w:lineRule="auto"/>
        <w:rPr>
          <w:lang w:val="en-GB"/>
        </w:rPr>
      </w:pPr>
      <w:r>
        <w:rPr>
          <w:lang w:val="en-GB"/>
        </w:rPr>
        <w:t>Some key statistical characteristic is presented in table 1:</w:t>
      </w:r>
    </w:p>
    <w:p w:rsidR="00557E44" w:rsidRDefault="00557E44" w:rsidP="00E16C6D">
      <w:pPr>
        <w:spacing w:line="360" w:lineRule="auto"/>
        <w:jc w:val="center"/>
        <w:rPr>
          <w:lang w:val="en-GB"/>
        </w:rPr>
      </w:pPr>
      <w:r w:rsidRPr="00C97223">
        <w:drawing>
          <wp:inline distT="0" distB="0" distL="0" distR="0" wp14:anchorId="03A034F6" wp14:editId="341C69C1">
            <wp:extent cx="4705564" cy="2008365"/>
            <wp:effectExtent l="0" t="0" r="0" b="0"/>
            <wp:docPr id="6" name="Bille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19942" cy="2014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B03" w:rsidRDefault="00557E44" w:rsidP="00E16C6D">
      <w:pPr>
        <w:spacing w:line="360" w:lineRule="auto"/>
        <w:rPr>
          <w:rFonts w:eastAsiaTheme="minorEastAsia"/>
          <w:lang w:val="en-GB"/>
        </w:rPr>
      </w:pPr>
      <w:r>
        <w:rPr>
          <w:lang w:val="en-GB"/>
        </w:rPr>
        <w:t xml:space="preserve">Initially, it should be addressed that some of the properties has 0 rooms and consists of 0 </w:t>
      </w:r>
      <m:oMath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m</m:t>
            </m:r>
          </m:e>
          <m:sup>
            <m:r>
              <w:rPr>
                <w:rFonts w:ascii="Cambria Math" w:hAnsi="Cambria Math"/>
                <w:lang w:val="en-GB"/>
              </w:rPr>
              <m:t>2</m:t>
            </m:r>
          </m:sup>
        </m:sSup>
      </m:oMath>
      <w:r>
        <w:rPr>
          <w:rFonts w:eastAsiaTheme="minorEastAsia"/>
          <w:lang w:val="en-GB"/>
        </w:rPr>
        <w:t xml:space="preserve">.  This is due to the fact that we have also included land </w:t>
      </w:r>
      <w:r w:rsidR="00F310F7">
        <w:rPr>
          <w:rFonts w:eastAsiaTheme="minorEastAsia"/>
          <w:lang w:val="en-GB"/>
        </w:rPr>
        <w:t xml:space="preserve">on which housing has not yet been build. </w:t>
      </w:r>
      <w:r w:rsidR="007028F5">
        <w:rPr>
          <w:rFonts w:eastAsiaTheme="minorEastAsia"/>
          <w:lang w:val="en-GB"/>
        </w:rPr>
        <w:t xml:space="preserve">Examining the </w:t>
      </w:r>
      <w:r w:rsidR="007028F5">
        <w:rPr>
          <w:rFonts w:eastAsiaTheme="minorEastAsia"/>
          <w:lang w:val="en-GB"/>
        </w:rPr>
        <w:t xml:space="preserve">25%-quintile and the 75%-quintile of the </w:t>
      </w:r>
      <w:r w:rsidR="007028F5">
        <w:rPr>
          <w:rFonts w:eastAsiaTheme="minorEastAsia"/>
          <w:lang w:val="en-GB"/>
        </w:rPr>
        <w:t xml:space="preserve">valuation </w:t>
      </w:r>
      <w:r w:rsidR="007028F5">
        <w:rPr>
          <w:rFonts w:eastAsiaTheme="minorEastAsia"/>
          <w:lang w:val="en-GB"/>
        </w:rPr>
        <w:t>prices, it becomes apparent that there are</w:t>
      </w:r>
      <w:r w:rsidR="00173F51">
        <w:rPr>
          <w:rFonts w:eastAsiaTheme="minorEastAsia"/>
          <w:lang w:val="en-GB"/>
        </w:rPr>
        <w:t xml:space="preserve"> some</w:t>
      </w:r>
      <w:r w:rsidR="007028F5">
        <w:rPr>
          <w:rFonts w:eastAsiaTheme="minorEastAsia"/>
          <w:lang w:val="en-GB"/>
        </w:rPr>
        <w:t xml:space="preserve"> </w:t>
      </w:r>
      <w:r w:rsidR="002879BC">
        <w:rPr>
          <w:rFonts w:eastAsiaTheme="minorEastAsia"/>
          <w:lang w:val="en-GB"/>
        </w:rPr>
        <w:t xml:space="preserve">substantial </w:t>
      </w:r>
      <w:r w:rsidR="007028F5">
        <w:rPr>
          <w:rFonts w:eastAsiaTheme="minorEastAsia"/>
          <w:lang w:val="en-GB"/>
        </w:rPr>
        <w:t>outliers both</w:t>
      </w:r>
      <w:r w:rsidR="00173F51">
        <w:rPr>
          <w:rFonts w:eastAsiaTheme="minorEastAsia"/>
          <w:lang w:val="en-GB"/>
        </w:rPr>
        <w:t xml:space="preserve"> to</w:t>
      </w:r>
      <w:r w:rsidR="007028F5">
        <w:rPr>
          <w:rFonts w:eastAsiaTheme="minorEastAsia"/>
          <w:lang w:val="en-GB"/>
        </w:rPr>
        <w:t xml:space="preserve"> the cheaper and</w:t>
      </w:r>
      <w:r w:rsidR="000E5D83">
        <w:rPr>
          <w:rFonts w:eastAsiaTheme="minorEastAsia"/>
          <w:lang w:val="en-GB"/>
        </w:rPr>
        <w:t xml:space="preserve"> to</w:t>
      </w:r>
      <w:r w:rsidR="007028F5">
        <w:rPr>
          <w:rFonts w:eastAsiaTheme="minorEastAsia"/>
          <w:lang w:val="en-GB"/>
        </w:rPr>
        <w:t xml:space="preserve"> expensive side. </w:t>
      </w:r>
      <w:r w:rsidR="000E5D83">
        <w:rPr>
          <w:rFonts w:eastAsiaTheme="minorEastAsia"/>
          <w:lang w:val="en-GB"/>
        </w:rPr>
        <w:t xml:space="preserve">This is also the case with rooms and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pPr>
          <m:e>
            <m:r>
              <w:rPr>
                <w:rFonts w:ascii="Cambria Math" w:eastAsiaTheme="minorEastAsia" w:hAnsi="Cambria Math"/>
                <w:lang w:val="en-GB"/>
              </w:rPr>
              <m:t>m</m:t>
            </m:r>
          </m:e>
          <m:sup>
            <m:r>
              <w:rPr>
                <w:rFonts w:ascii="Cambria Math" w:eastAsiaTheme="minorEastAsia" w:hAnsi="Cambria Math"/>
                <w:lang w:val="en-GB"/>
              </w:rPr>
              <m:t>2</m:t>
            </m:r>
          </m:sup>
        </m:sSup>
      </m:oMath>
      <w:r w:rsidR="000E5D83">
        <w:rPr>
          <w:rFonts w:eastAsiaTheme="minorEastAsia"/>
          <w:lang w:val="en-GB"/>
        </w:rPr>
        <w:t xml:space="preserve">, where the highest values are sizably higher than the 75%-quintile. </w:t>
      </w:r>
      <w:r w:rsidR="004D7988">
        <w:rPr>
          <w:rFonts w:eastAsiaTheme="minorEastAsia"/>
          <w:lang w:val="en-GB"/>
        </w:rPr>
        <w:br/>
      </w:r>
      <w:r w:rsidR="004D7988">
        <w:rPr>
          <w:rFonts w:eastAsiaTheme="minorEastAsia"/>
          <w:lang w:val="en-GB"/>
        </w:rPr>
        <w:t>It is worth noting, that the</w:t>
      </w:r>
      <w:r w:rsidR="00446060">
        <w:rPr>
          <w:rFonts w:eastAsiaTheme="minorEastAsia"/>
          <w:lang w:val="en-GB"/>
        </w:rPr>
        <w:t>re</w:t>
      </w:r>
      <w:r w:rsidR="004D7988">
        <w:rPr>
          <w:rFonts w:eastAsiaTheme="minorEastAsia"/>
          <w:lang w:val="en-GB"/>
        </w:rPr>
        <w:t xml:space="preserve"> is quite a big difference between the lowest average municipal income of DKK 257,776. and the highest of DKK 583,331. This difference becomes further noteworthy when assessing the 75%-quintile. The difference from the 75%-quintile to the highest average municipal income is more than 4 time</w:t>
      </w:r>
      <w:r w:rsidR="00446060">
        <w:rPr>
          <w:rFonts w:eastAsiaTheme="minorEastAsia"/>
          <w:lang w:val="en-GB"/>
        </w:rPr>
        <w:t>s</w:t>
      </w:r>
      <w:r w:rsidR="004D7988">
        <w:rPr>
          <w:rFonts w:eastAsiaTheme="minorEastAsia"/>
          <w:lang w:val="en-GB"/>
        </w:rPr>
        <w:t xml:space="preserve"> the difference </w:t>
      </w:r>
      <w:r w:rsidR="00446060">
        <w:rPr>
          <w:rFonts w:eastAsiaTheme="minorEastAsia"/>
          <w:lang w:val="en-GB"/>
        </w:rPr>
        <w:t>of</w:t>
      </w:r>
      <w:r w:rsidR="004D7988">
        <w:rPr>
          <w:rFonts w:eastAsiaTheme="minorEastAsia"/>
          <w:lang w:val="en-GB"/>
        </w:rPr>
        <w:t xml:space="preserve"> the 75%-quintile and the lowest income.</w:t>
      </w:r>
      <w:r w:rsidR="00007B03">
        <w:rPr>
          <w:rFonts w:eastAsiaTheme="minorEastAsia"/>
          <w:lang w:val="en-GB"/>
        </w:rPr>
        <w:t xml:space="preserve"> The income distribution is </w:t>
      </w:r>
      <w:r w:rsidR="00D5602B">
        <w:rPr>
          <w:rFonts w:eastAsiaTheme="minorEastAsia"/>
          <w:lang w:val="en-GB"/>
        </w:rPr>
        <w:t>visualised</w:t>
      </w:r>
      <w:r w:rsidR="00007B03">
        <w:rPr>
          <w:rFonts w:eastAsiaTheme="minorEastAsia"/>
          <w:lang w:val="en-GB"/>
        </w:rPr>
        <w:t xml:space="preserve"> in the following figure:</w:t>
      </w:r>
    </w:p>
    <w:p w:rsidR="00007B03" w:rsidRDefault="00007B03" w:rsidP="00007B03">
      <w:pPr>
        <w:spacing w:line="360" w:lineRule="auto"/>
        <w:jc w:val="center"/>
        <w:rPr>
          <w:rFonts w:eastAsiaTheme="minorEastAsia"/>
          <w:lang w:val="en-GB"/>
        </w:rPr>
      </w:pPr>
      <w:r>
        <w:rPr>
          <w:rFonts w:eastAsiaTheme="minorEastAsia"/>
          <w:noProof/>
          <w:lang w:val="en-GB"/>
        </w:rPr>
        <w:lastRenderedPageBreak/>
        <w:drawing>
          <wp:inline distT="0" distB="0" distL="0" distR="0" wp14:anchorId="16DE3291" wp14:editId="65469A2C">
            <wp:extent cx="6217271" cy="2391507"/>
            <wp:effectExtent l="0" t="0" r="6350" b="0"/>
            <wp:docPr id="8" name="Billede 8" descr="Et billede, der indeholder skærmbillede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oxplot_Incom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6145" cy="2402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988" w:rsidRDefault="00007B03" w:rsidP="009E2984">
      <w:pPr>
        <w:spacing w:line="360" w:lineRule="auto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The boxplot illustrates that the distribution is heavily left-skewed</w:t>
      </w:r>
      <w:r w:rsidR="009E2984">
        <w:rPr>
          <w:rFonts w:eastAsiaTheme="minorEastAsia"/>
          <w:lang w:val="en-GB"/>
        </w:rPr>
        <w:t>, where some municipalities has a sizably higher</w:t>
      </w:r>
      <w:r w:rsidR="00D5602B">
        <w:rPr>
          <w:rFonts w:eastAsiaTheme="minorEastAsia"/>
          <w:lang w:val="en-GB"/>
        </w:rPr>
        <w:t xml:space="preserve"> average</w:t>
      </w:r>
      <w:r w:rsidR="009E2984">
        <w:rPr>
          <w:rFonts w:eastAsiaTheme="minorEastAsia"/>
          <w:lang w:val="en-GB"/>
        </w:rPr>
        <w:t xml:space="preserve"> income than the rest of the Danish municipalities. </w:t>
      </w:r>
      <w:r w:rsidR="00DB034A">
        <w:rPr>
          <w:rFonts w:eastAsiaTheme="minorEastAsia"/>
          <w:lang w:val="en-GB"/>
        </w:rPr>
        <w:br/>
      </w:r>
    </w:p>
    <w:p w:rsidR="00DB034A" w:rsidRPr="005A7483" w:rsidRDefault="00DB034A" w:rsidP="00DB034A">
      <w:pPr>
        <w:spacing w:line="360" w:lineRule="auto"/>
        <w:rPr>
          <w:b/>
          <w:bCs/>
          <w:lang w:val="en-GB"/>
        </w:rPr>
      </w:pPr>
      <w:r>
        <w:rPr>
          <w:b/>
          <w:bCs/>
          <w:lang w:val="en-GB"/>
        </w:rPr>
        <w:t>3.5.</w:t>
      </w:r>
      <w:r>
        <w:rPr>
          <w:b/>
          <w:bCs/>
          <w:lang w:val="en-GB"/>
        </w:rPr>
        <w:t>2</w:t>
      </w:r>
      <w:r>
        <w:rPr>
          <w:b/>
          <w:bCs/>
          <w:lang w:val="en-GB"/>
        </w:rPr>
        <w:t xml:space="preserve"> Prices in Municipalities</w:t>
      </w:r>
    </w:p>
    <w:p w:rsidR="00DB034A" w:rsidRPr="00571AF4" w:rsidRDefault="00DB034A" w:rsidP="00DB034A">
      <w:pPr>
        <w:spacing w:line="360" w:lineRule="auto"/>
        <w:rPr>
          <w:lang w:val="en-GB"/>
        </w:rPr>
      </w:pPr>
      <w:r>
        <w:rPr>
          <w:lang w:val="en-GB"/>
        </w:rPr>
        <w:t>We plot the</w:t>
      </w:r>
      <w:r>
        <w:rPr>
          <w:lang w:val="en-GB"/>
        </w:rPr>
        <w:t xml:space="preserve"> </w:t>
      </w:r>
      <w:r>
        <w:rPr>
          <w:lang w:val="en-GB"/>
        </w:rPr>
        <w:t xml:space="preserve">average </w:t>
      </w:r>
      <w:r w:rsidR="00015D8A">
        <w:rPr>
          <w:lang w:val="en-GB"/>
        </w:rPr>
        <w:t>square meter</w:t>
      </w:r>
      <w:r>
        <w:rPr>
          <w:lang w:val="en-GB"/>
        </w:rPr>
        <w:t xml:space="preserve"> valuation price in the different municipalities</w:t>
      </w:r>
      <w:r>
        <w:rPr>
          <w:lang w:val="en-GB"/>
        </w:rPr>
        <w:t>:</w:t>
      </w:r>
    </w:p>
    <w:p w:rsidR="00DB034A" w:rsidRPr="0049053B" w:rsidRDefault="00DB034A" w:rsidP="00DB034A">
      <w:pPr>
        <w:spacing w:line="360" w:lineRule="auto"/>
        <w:jc w:val="center"/>
        <w:rPr>
          <w:noProof/>
          <w:lang w:val="en-US"/>
        </w:rPr>
      </w:pPr>
      <w:r>
        <w:rPr>
          <w:noProof/>
        </w:rPr>
        <w:drawing>
          <wp:inline distT="0" distB="0" distL="0" distR="0" wp14:anchorId="30C20503" wp14:editId="1E47219A">
            <wp:extent cx="5110619" cy="1965827"/>
            <wp:effectExtent l="0" t="0" r="0" b="3175"/>
            <wp:docPr id="5" name="Billede 5" descr="Et billede, der indeholder skærmbillede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oxplot_Municipality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7861" cy="1968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E27" w:rsidRPr="00C97223" w:rsidRDefault="00DB034A" w:rsidP="00F35E27">
      <w:pPr>
        <w:spacing w:line="360" w:lineRule="auto"/>
        <w:rPr>
          <w:noProof/>
          <w:color w:val="000000" w:themeColor="text1"/>
          <w:lang w:val="en-US"/>
        </w:rPr>
      </w:pPr>
      <w:r>
        <w:rPr>
          <w:noProof/>
          <w:color w:val="000000" w:themeColor="text1"/>
          <w:lang w:val="en-US"/>
        </w:rPr>
        <w:t xml:space="preserve">It becomes apparent that the distribution is quite </w:t>
      </w:r>
      <w:r w:rsidR="00743DAD">
        <w:rPr>
          <w:noProof/>
          <w:color w:val="000000" w:themeColor="text1"/>
          <w:lang w:val="en-US"/>
        </w:rPr>
        <w:t>left-skewed</w:t>
      </w:r>
      <w:r>
        <w:rPr>
          <w:noProof/>
          <w:color w:val="000000" w:themeColor="text1"/>
          <w:lang w:val="en-US"/>
        </w:rPr>
        <w:t xml:space="preserve"> and that there are </w:t>
      </w:r>
      <w:r w:rsidR="00F35E27">
        <w:rPr>
          <w:noProof/>
          <w:color w:val="000000" w:themeColor="text1"/>
          <w:lang w:val="en-US"/>
        </w:rPr>
        <w:t xml:space="preserve">a </w:t>
      </w:r>
      <w:r>
        <w:rPr>
          <w:noProof/>
          <w:color w:val="000000" w:themeColor="text1"/>
          <w:lang w:val="en-US"/>
        </w:rPr>
        <w:t>few municipalities who’s price per square</w:t>
      </w:r>
      <w:r w:rsidR="00743DAD">
        <w:rPr>
          <w:noProof/>
          <w:color w:val="000000" w:themeColor="text1"/>
          <w:lang w:val="en-US"/>
        </w:rPr>
        <w:t xml:space="preserve"> </w:t>
      </w:r>
      <w:r>
        <w:rPr>
          <w:noProof/>
          <w:color w:val="000000" w:themeColor="text1"/>
          <w:lang w:val="en-US"/>
        </w:rPr>
        <w:t>meter is much higher than the rest of the municipalities.</w:t>
      </w:r>
      <w:r w:rsidR="00A95D61">
        <w:rPr>
          <w:noProof/>
          <w:color w:val="000000" w:themeColor="text1"/>
          <w:lang w:val="en-US"/>
        </w:rPr>
        <w:t xml:space="preserve"> </w:t>
      </w:r>
      <w:r w:rsidR="00F35E27">
        <w:rPr>
          <w:noProof/>
          <w:color w:val="000000" w:themeColor="text1"/>
          <w:lang w:val="en-US"/>
        </w:rPr>
        <w:t xml:space="preserve">Recalling the geoplot in figure 1, these expensive outliers are heavily consentrated around- and north of Copenhagen. </w:t>
      </w:r>
    </w:p>
    <w:p w:rsidR="00DB034A" w:rsidRPr="00F35E27" w:rsidRDefault="00A95D61" w:rsidP="00E16C6D">
      <w:pPr>
        <w:spacing w:line="360" w:lineRule="auto"/>
        <w:rPr>
          <w:noProof/>
          <w:color w:val="000000" w:themeColor="text1"/>
          <w:lang w:val="en-US"/>
        </w:rPr>
      </w:pPr>
      <w:r>
        <w:rPr>
          <w:noProof/>
          <w:color w:val="000000" w:themeColor="text1"/>
          <w:lang w:val="en-US"/>
        </w:rPr>
        <w:t xml:space="preserve">The distribution looks similar to that of figure </w:t>
      </w:r>
      <w:r>
        <w:rPr>
          <w:noProof/>
          <w:color w:val="FF0000"/>
          <w:lang w:val="en-US"/>
        </w:rPr>
        <w:t>XX (The previous boxplot)</w:t>
      </w:r>
      <w:r>
        <w:rPr>
          <w:noProof/>
          <w:color w:val="000000" w:themeColor="text1"/>
          <w:lang w:val="en-US"/>
        </w:rPr>
        <w:t>, though we cannot declare any correlation between</w:t>
      </w:r>
      <w:r w:rsidR="00DB034A">
        <w:rPr>
          <w:noProof/>
          <w:color w:val="000000" w:themeColor="text1"/>
          <w:lang w:val="en-US"/>
        </w:rPr>
        <w:t xml:space="preserve"> </w:t>
      </w:r>
      <w:r>
        <w:rPr>
          <w:noProof/>
          <w:color w:val="000000" w:themeColor="text1"/>
          <w:lang w:val="en-US"/>
        </w:rPr>
        <w:t xml:space="preserve">average municipal income and average municipal price per square meter. </w:t>
      </w:r>
      <w:r w:rsidR="00953830">
        <w:rPr>
          <w:noProof/>
          <w:color w:val="000000" w:themeColor="text1"/>
          <w:lang w:val="en-US"/>
        </w:rPr>
        <w:t>Nonetheless, it</w:t>
      </w:r>
      <w:r w:rsidR="00953830">
        <w:rPr>
          <w:noProof/>
          <w:color w:val="000000" w:themeColor="text1"/>
          <w:lang w:val="en-US"/>
        </w:rPr>
        <w:t xml:space="preserve"> becomes apparent that the valuation price of property is highly discriminated by municipal factors.</w:t>
      </w:r>
      <w:r w:rsidR="00F35E27">
        <w:rPr>
          <w:noProof/>
          <w:color w:val="000000" w:themeColor="text1"/>
          <w:lang w:val="en-US"/>
        </w:rPr>
        <w:t xml:space="preserve"> The scope of this assignment is exactly to examine these factors and attempt to use these to evaluate an</w:t>
      </w:r>
      <w:r w:rsidR="00B95D6C">
        <w:rPr>
          <w:noProof/>
          <w:color w:val="000000" w:themeColor="text1"/>
          <w:lang w:val="en-US"/>
        </w:rPr>
        <w:t xml:space="preserve"> unseen,</w:t>
      </w:r>
      <w:r w:rsidR="00F35E27">
        <w:rPr>
          <w:noProof/>
          <w:color w:val="000000" w:themeColor="text1"/>
          <w:lang w:val="en-US"/>
        </w:rPr>
        <w:t xml:space="preserve"> out-of-sample property. </w:t>
      </w:r>
    </w:p>
    <w:p w:rsidR="004D7988" w:rsidRDefault="004D7988" w:rsidP="00E16C6D">
      <w:pPr>
        <w:spacing w:line="360" w:lineRule="auto"/>
        <w:rPr>
          <w:rFonts w:eastAsiaTheme="minorEastAsia"/>
          <w:lang w:val="en-GB"/>
        </w:rPr>
      </w:pPr>
    </w:p>
    <w:p w:rsidR="00973657" w:rsidRPr="005A7483" w:rsidRDefault="005A7483" w:rsidP="00E16C6D">
      <w:pPr>
        <w:spacing w:line="360" w:lineRule="auto"/>
        <w:rPr>
          <w:b/>
          <w:bCs/>
          <w:lang w:val="en-GB"/>
        </w:rPr>
      </w:pPr>
      <w:r>
        <w:rPr>
          <w:b/>
          <w:bCs/>
          <w:lang w:val="en-GB"/>
        </w:rPr>
        <w:t>3.5.</w:t>
      </w:r>
      <w:r w:rsidR="006A44D0">
        <w:rPr>
          <w:b/>
          <w:bCs/>
          <w:lang w:val="en-GB"/>
        </w:rPr>
        <w:t>3</w:t>
      </w:r>
      <w:bookmarkStart w:id="0" w:name="_GoBack"/>
      <w:bookmarkEnd w:id="0"/>
      <w:r>
        <w:rPr>
          <w:b/>
          <w:bCs/>
          <w:lang w:val="en-GB"/>
        </w:rPr>
        <w:t xml:space="preserve"> </w:t>
      </w:r>
      <w:r>
        <w:rPr>
          <w:b/>
          <w:bCs/>
          <w:lang w:val="en-GB"/>
        </w:rPr>
        <w:t>Property Type</w:t>
      </w:r>
    </w:p>
    <w:p w:rsidR="00973657" w:rsidRPr="004A6CEF" w:rsidRDefault="00973657" w:rsidP="00E16C6D">
      <w:pPr>
        <w:spacing w:line="360" w:lineRule="auto"/>
        <w:rPr>
          <w:rFonts w:eastAsiaTheme="minorEastAsia"/>
          <w:color w:val="000000" w:themeColor="text1"/>
          <w:lang w:val="en-GB"/>
        </w:rPr>
      </w:pPr>
      <w:r>
        <w:rPr>
          <w:rFonts w:eastAsiaTheme="minorEastAsia"/>
          <w:lang w:val="en-GB"/>
        </w:rPr>
        <w:t xml:space="preserve">Another worthwhile consideration is that we have included all types of properties. It would be reasonable to assume that there is an average difference in valuation pricing </w:t>
      </w:r>
      <w:r w:rsidR="004A6CEF">
        <w:rPr>
          <w:rFonts w:eastAsiaTheme="minorEastAsia"/>
          <w:lang w:val="en-GB"/>
        </w:rPr>
        <w:t xml:space="preserve">depending on the type of property. Figure </w:t>
      </w:r>
      <w:r w:rsidR="004A6CEF">
        <w:rPr>
          <w:rFonts w:eastAsiaTheme="minorEastAsia"/>
          <w:color w:val="FF0000"/>
          <w:lang w:val="en-GB"/>
        </w:rPr>
        <w:t>XX</w:t>
      </w:r>
      <w:r w:rsidR="004A6CEF">
        <w:rPr>
          <w:rFonts w:eastAsiaTheme="minorEastAsia"/>
          <w:color w:val="000000" w:themeColor="text1"/>
          <w:lang w:val="en-GB"/>
        </w:rPr>
        <w:t xml:space="preserve"> display</w:t>
      </w:r>
      <w:r w:rsidR="00C213B0">
        <w:rPr>
          <w:rFonts w:eastAsiaTheme="minorEastAsia"/>
          <w:color w:val="000000" w:themeColor="text1"/>
          <w:lang w:val="en-GB"/>
        </w:rPr>
        <w:t>s</w:t>
      </w:r>
      <w:r w:rsidR="004A6CEF">
        <w:rPr>
          <w:rFonts w:eastAsiaTheme="minorEastAsia"/>
          <w:color w:val="000000" w:themeColor="text1"/>
          <w:lang w:val="en-GB"/>
        </w:rPr>
        <w:t xml:space="preserve"> the median </w:t>
      </w:r>
      <w:r w:rsidR="00C213B0">
        <w:rPr>
          <w:rFonts w:eastAsiaTheme="minorEastAsia"/>
          <w:color w:val="000000" w:themeColor="text1"/>
          <w:lang w:val="en-GB"/>
        </w:rPr>
        <w:t xml:space="preserve">valuation </w:t>
      </w:r>
      <w:r w:rsidR="004A6CEF">
        <w:rPr>
          <w:rFonts w:eastAsiaTheme="minorEastAsia"/>
          <w:color w:val="000000" w:themeColor="text1"/>
          <w:lang w:val="en-GB"/>
        </w:rPr>
        <w:t>price for each type:</w:t>
      </w:r>
    </w:p>
    <w:p w:rsidR="00973657" w:rsidRDefault="00973657" w:rsidP="00E16C6D">
      <w:pPr>
        <w:spacing w:line="360" w:lineRule="auto"/>
        <w:jc w:val="center"/>
        <w:rPr>
          <w:rFonts w:eastAsiaTheme="minorEastAsia"/>
          <w:lang w:val="en-GB"/>
        </w:rPr>
      </w:pPr>
    </w:p>
    <w:p w:rsidR="007028F5" w:rsidRDefault="002D3270" w:rsidP="00E16C6D">
      <w:pPr>
        <w:spacing w:line="360" w:lineRule="auto"/>
        <w:jc w:val="center"/>
        <w:rPr>
          <w:rFonts w:eastAsiaTheme="minorEastAsia"/>
          <w:lang w:val="en-GB"/>
        </w:rPr>
      </w:pPr>
      <w:r>
        <w:rPr>
          <w:rFonts w:eastAsiaTheme="minorEastAsia"/>
          <w:noProof/>
          <w:lang w:val="en-GB"/>
        </w:rPr>
        <w:drawing>
          <wp:inline distT="0" distB="0" distL="0" distR="0">
            <wp:extent cx="4262284" cy="2841375"/>
            <wp:effectExtent l="0" t="0" r="5080" b="3810"/>
            <wp:docPr id="7" name="Billede 7" descr="Et billede, der indeholder skærmbillede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arplot_Estat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6975" cy="2844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E1C" w:rsidRPr="00DB034A" w:rsidRDefault="004A1AF7" w:rsidP="00DB034A">
      <w:pPr>
        <w:spacing w:line="360" w:lineRule="auto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It is interesting to note that the most expensive properties are apartments as opposed to </w:t>
      </w:r>
      <w:r w:rsidR="00A12E9F">
        <w:rPr>
          <w:rFonts w:eastAsiaTheme="minorEastAsia"/>
          <w:lang w:val="en-GB"/>
        </w:rPr>
        <w:t xml:space="preserve">houses. </w:t>
      </w:r>
      <w:r w:rsidR="00BF3EF8">
        <w:rPr>
          <w:rFonts w:eastAsiaTheme="minorEastAsia"/>
          <w:lang w:val="en-GB"/>
        </w:rPr>
        <w:t xml:space="preserve">This is not especially surprising though, as </w:t>
      </w:r>
      <w:r w:rsidR="00FD74F2">
        <w:rPr>
          <w:rFonts w:eastAsiaTheme="minorEastAsia"/>
          <w:lang w:val="en-GB"/>
        </w:rPr>
        <w:t>it</w:t>
      </w:r>
      <w:r w:rsidR="00BF3EF8">
        <w:rPr>
          <w:rFonts w:eastAsiaTheme="minorEastAsia"/>
          <w:lang w:val="en-GB"/>
        </w:rPr>
        <w:t xml:space="preserve"> is a well-established trend </w:t>
      </w:r>
      <w:r w:rsidR="00FD74F2">
        <w:rPr>
          <w:rFonts w:eastAsiaTheme="minorEastAsia"/>
          <w:lang w:val="en-GB"/>
        </w:rPr>
        <w:t xml:space="preserve">that </w:t>
      </w:r>
      <w:r w:rsidR="00BF3EF8">
        <w:rPr>
          <w:rFonts w:eastAsiaTheme="minorEastAsia"/>
          <w:lang w:val="en-GB"/>
        </w:rPr>
        <w:t>real estate prices in major cities</w:t>
      </w:r>
      <w:r w:rsidR="00FD74F2">
        <w:rPr>
          <w:rFonts w:eastAsiaTheme="minorEastAsia"/>
          <w:lang w:val="en-GB"/>
        </w:rPr>
        <w:t xml:space="preserve"> are </w:t>
      </w:r>
      <w:r w:rsidR="00FD74F2">
        <w:rPr>
          <w:rFonts w:eastAsiaTheme="minorEastAsia"/>
          <w:lang w:val="en-GB"/>
        </w:rPr>
        <w:t>skyrocketing</w:t>
      </w:r>
      <w:r w:rsidR="00BF3EF8">
        <w:rPr>
          <w:rFonts w:eastAsiaTheme="minorEastAsia"/>
          <w:lang w:val="en-GB"/>
        </w:rPr>
        <w:t xml:space="preserve">. </w:t>
      </w:r>
      <w:r w:rsidR="00FA072F">
        <w:rPr>
          <w:rFonts w:eastAsiaTheme="minorEastAsia"/>
          <w:lang w:val="en-GB"/>
        </w:rPr>
        <w:t>Refraining from delving deeper into to</w:t>
      </w:r>
      <w:r w:rsidR="00890897">
        <w:rPr>
          <w:rFonts w:eastAsiaTheme="minorEastAsia"/>
          <w:lang w:val="en-GB"/>
        </w:rPr>
        <w:t xml:space="preserve"> a</w:t>
      </w:r>
      <w:r w:rsidR="00FA072F">
        <w:rPr>
          <w:rFonts w:eastAsiaTheme="minorEastAsia"/>
          <w:lang w:val="en-GB"/>
        </w:rPr>
        <w:t xml:space="preserve"> discussion of global urbanization, we </w:t>
      </w:r>
      <w:r w:rsidR="00E84CDB">
        <w:rPr>
          <w:rFonts w:eastAsiaTheme="minorEastAsia"/>
          <w:lang w:val="en-GB"/>
        </w:rPr>
        <w:t>retain the fact that</w:t>
      </w:r>
      <w:r w:rsidR="009D0EFA">
        <w:rPr>
          <w:rFonts w:eastAsiaTheme="minorEastAsia"/>
          <w:lang w:val="en-GB"/>
        </w:rPr>
        <w:t xml:space="preserve"> </w:t>
      </w:r>
      <w:r w:rsidR="00770167">
        <w:rPr>
          <w:rFonts w:eastAsiaTheme="minorEastAsia"/>
          <w:lang w:val="en-GB"/>
        </w:rPr>
        <w:t>property</w:t>
      </w:r>
      <w:r w:rsidR="00E84CDB">
        <w:rPr>
          <w:rFonts w:eastAsiaTheme="minorEastAsia"/>
          <w:lang w:val="en-GB"/>
        </w:rPr>
        <w:t xml:space="preserve"> type does have a</w:t>
      </w:r>
      <w:r w:rsidR="00770167">
        <w:rPr>
          <w:rFonts w:eastAsiaTheme="minorEastAsia"/>
          <w:lang w:val="en-GB"/>
        </w:rPr>
        <w:t>n</w:t>
      </w:r>
      <w:r w:rsidR="00E84CDB">
        <w:rPr>
          <w:rFonts w:eastAsiaTheme="minorEastAsia"/>
          <w:lang w:val="en-GB"/>
        </w:rPr>
        <w:t xml:space="preserve"> apparently significant effect on valuation pricings on average. </w:t>
      </w:r>
      <w:r w:rsidR="00254F5A">
        <w:rPr>
          <w:rFonts w:eastAsiaTheme="minorEastAsia"/>
          <w:lang w:val="en-GB"/>
        </w:rPr>
        <w:t>We will include the ‘</w:t>
      </w:r>
      <w:r w:rsidR="00254F5A">
        <w:rPr>
          <w:rFonts w:eastAsiaTheme="minorEastAsia"/>
          <w:i/>
          <w:iCs/>
          <w:lang w:val="en-GB"/>
        </w:rPr>
        <w:t xml:space="preserve">type’ </w:t>
      </w:r>
      <w:r w:rsidR="00254F5A">
        <w:rPr>
          <w:rFonts w:eastAsiaTheme="minorEastAsia"/>
          <w:lang w:val="en-GB"/>
        </w:rPr>
        <w:t xml:space="preserve">feature in our impending model training to control for this effect. </w:t>
      </w:r>
    </w:p>
    <w:sectPr w:rsidR="00677E1C" w:rsidRPr="00DB034A" w:rsidSect="0013565F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E1C"/>
    <w:rsid w:val="00007B03"/>
    <w:rsid w:val="00015D8A"/>
    <w:rsid w:val="000E5D83"/>
    <w:rsid w:val="0011743D"/>
    <w:rsid w:val="0013565F"/>
    <w:rsid w:val="00173F51"/>
    <w:rsid w:val="00254F5A"/>
    <w:rsid w:val="00270DB6"/>
    <w:rsid w:val="002879BC"/>
    <w:rsid w:val="002B051D"/>
    <w:rsid w:val="002D3270"/>
    <w:rsid w:val="002D40F8"/>
    <w:rsid w:val="00363C59"/>
    <w:rsid w:val="00446060"/>
    <w:rsid w:val="0049053B"/>
    <w:rsid w:val="004A1AF7"/>
    <w:rsid w:val="004A6CEF"/>
    <w:rsid w:val="004D7988"/>
    <w:rsid w:val="00557E44"/>
    <w:rsid w:val="00561E49"/>
    <w:rsid w:val="00571AF4"/>
    <w:rsid w:val="005A7483"/>
    <w:rsid w:val="005B572B"/>
    <w:rsid w:val="005C5A93"/>
    <w:rsid w:val="00633491"/>
    <w:rsid w:val="0067701D"/>
    <w:rsid w:val="00677E1C"/>
    <w:rsid w:val="006A44D0"/>
    <w:rsid w:val="007028F5"/>
    <w:rsid w:val="00743DAD"/>
    <w:rsid w:val="00770167"/>
    <w:rsid w:val="00810A70"/>
    <w:rsid w:val="00890897"/>
    <w:rsid w:val="00890E9B"/>
    <w:rsid w:val="008C2855"/>
    <w:rsid w:val="00900453"/>
    <w:rsid w:val="009244C2"/>
    <w:rsid w:val="00953830"/>
    <w:rsid w:val="00973657"/>
    <w:rsid w:val="009D0EFA"/>
    <w:rsid w:val="009E2984"/>
    <w:rsid w:val="009E3DC4"/>
    <w:rsid w:val="00A12E9F"/>
    <w:rsid w:val="00A226EA"/>
    <w:rsid w:val="00A95D61"/>
    <w:rsid w:val="00AC439F"/>
    <w:rsid w:val="00B16ED0"/>
    <w:rsid w:val="00B73EF7"/>
    <w:rsid w:val="00B95D6C"/>
    <w:rsid w:val="00BA5E83"/>
    <w:rsid w:val="00BC231D"/>
    <w:rsid w:val="00BC4958"/>
    <w:rsid w:val="00BF3EF8"/>
    <w:rsid w:val="00C213B0"/>
    <w:rsid w:val="00C427DF"/>
    <w:rsid w:val="00C97223"/>
    <w:rsid w:val="00CD4F88"/>
    <w:rsid w:val="00CF3652"/>
    <w:rsid w:val="00D5602B"/>
    <w:rsid w:val="00D82D7D"/>
    <w:rsid w:val="00DB034A"/>
    <w:rsid w:val="00DB3BFB"/>
    <w:rsid w:val="00E16C6D"/>
    <w:rsid w:val="00E26DB9"/>
    <w:rsid w:val="00E84CDB"/>
    <w:rsid w:val="00EE2572"/>
    <w:rsid w:val="00F310F7"/>
    <w:rsid w:val="00F31A56"/>
    <w:rsid w:val="00F35E27"/>
    <w:rsid w:val="00FA072F"/>
    <w:rsid w:val="00FB3A7C"/>
    <w:rsid w:val="00FD7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E2AB276"/>
  <w15:chartTrackingRefBased/>
  <w15:docId w15:val="{080ACD9E-0A9E-FE41-83E6-A8DFD9FC6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Pladsholdertekst">
    <w:name w:val="Placeholder Text"/>
    <w:basedOn w:val="Standardskrifttypeiafsnit"/>
    <w:uiPriority w:val="99"/>
    <w:semiHidden/>
    <w:rsid w:val="00557E4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tif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484</Words>
  <Characters>2591</Characters>
  <Application>Microsoft Office Word</Application>
  <DocSecurity>0</DocSecurity>
  <Lines>48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Esben Brøgger Lemminger</dc:creator>
  <cp:keywords/>
  <dc:description/>
  <cp:lastModifiedBy>Esben Brøgger Lemminger</cp:lastModifiedBy>
  <cp:revision>72</cp:revision>
  <dcterms:created xsi:type="dcterms:W3CDTF">2019-08-28T07:45:00Z</dcterms:created>
  <dcterms:modified xsi:type="dcterms:W3CDTF">2019-08-28T10:08:00Z</dcterms:modified>
</cp:coreProperties>
</file>