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/>
        <w:textAlignment w:val="auto"/>
      </w:pPr>
      <w:bookmarkStart w:id="0" w:name="_Toc2033"/>
      <w:r>
        <w:rPr>
          <w:rFonts w:hint="eastAsia" w:ascii="黑体" w:hAnsi="黑体" w:eastAsia="黑体" w:cs="黑体"/>
          <w:b w:val="0"/>
          <w:sz w:val="30"/>
          <w:szCs w:val="30"/>
          <w:lang w:val="en-US" w:eastAsia="zh-CN"/>
        </w:rPr>
        <w:t>4.1角色游戏中小班幼儿同伴互动主要类型的分析</w:t>
      </w:r>
      <w:bookmarkEnd w:id="0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textAlignment w:val="auto"/>
        <w:rPr>
          <w:rFonts w:hint="eastAsia" w:ascii="黑体" w:hAnsi="黑体" w:eastAsia="黑体" w:cs="黑体"/>
          <w:spacing w:val="0"/>
          <w:w w:val="100"/>
        </w:rPr>
      </w:pPr>
      <w:r>
        <w:rPr>
          <w:rFonts w:hint="eastAsia" w:ascii="黑体" w:hAnsi="黑体" w:eastAsia="黑体" w:cs="黑体"/>
          <w:spacing w:val="0"/>
          <w:w w:val="100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spacing w:val="0"/>
          <w:w w:val="100"/>
          <w:lang w:val="en-US" w:eastAsia="zh-CN"/>
        </w:rPr>
        <w:t>2</w:t>
      </w:r>
      <w:r>
        <w:rPr>
          <w:rFonts w:hint="eastAsia" w:ascii="黑体" w:hAnsi="黑体" w:eastAsia="黑体" w:cs="黑体"/>
          <w:spacing w:val="0"/>
          <w:w w:val="100"/>
          <w:lang w:val="en-US" w:eastAsia="zh-CN"/>
        </w:rPr>
        <w:t xml:space="preserve"> 幼儿角色游戏同伴互动分布表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132"/>
        <w:gridCol w:w="2132"/>
        <w:gridCol w:w="1049"/>
      </w:tblGrid>
      <w:tr>
        <w:trPr>
          <w:jc w:val="center"/>
        </w:trPr>
        <w:tc>
          <w:tcPr>
            <w:tcW w:w="1804" w:type="dxa"/>
            <w:tcBorders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 xml:space="preserve">互动类型 </w:t>
            </w:r>
          </w:p>
        </w:tc>
        <w:tc>
          <w:tcPr>
            <w:tcW w:w="2132" w:type="dxa"/>
            <w:tcBorders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次数</w:t>
            </w:r>
          </w:p>
        </w:tc>
        <w:tc>
          <w:tcPr>
            <w:tcW w:w="2132" w:type="dxa"/>
            <w:tcBorders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百分比</w:t>
            </w:r>
          </w:p>
        </w:tc>
        <w:tc>
          <w:tcPr>
            <w:tcW w:w="1049" w:type="dxa"/>
            <w:tcBorders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/>
              <w:textAlignment w:val="baseline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合作</w:t>
            </w:r>
          </w:p>
        </w:tc>
        <w:tc>
          <w:tcPr>
            <w:tcW w:w="2132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2132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42.6</w:t>
            </w: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%</w:t>
            </w:r>
            <w:r>
              <w:rPr>
                <w:rFonts w:ascii="Times New Roman" w:hAnsi="Times New Roman" w:eastAsia="Times New Roman" w:cs="Times New Roman"/>
                <w:spacing w:val="-31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/>
              <w:textAlignment w:val="baseline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 xml:space="preserve"> 冲突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34.3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1"/>
                <w:szCs w:val="21"/>
              </w:rPr>
              <w:t>%</w:t>
            </w:r>
            <w:r>
              <w:rPr>
                <w:rFonts w:ascii="Times New Roman" w:hAnsi="Times New Roman" w:eastAsia="Times New Roman" w:cs="Times New Roman"/>
                <w:spacing w:val="-31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/>
              <w:textAlignment w:val="baseline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协商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23.1</w:t>
            </w: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%</w:t>
            </w:r>
            <w:r>
              <w:rPr>
                <w:rFonts w:ascii="Times New Roman" w:hAnsi="Times New Roman" w:eastAsia="Times New Roman" w:cs="Times New Roman"/>
                <w:spacing w:val="-31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/>
              <w:textAlignment w:val="baseline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both"/>
        <w:textAlignment w:val="auto"/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通过观察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发现小班幼儿角色游戏同伴互动的类型中，合作、冲突和协商出现的频率最高，所以将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这三个维度作为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研究的重点。由表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可知，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幼儿的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合作行为最多，共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46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次，占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42.6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%</w:t>
      </w:r>
      <w:r>
        <w:rPr>
          <w:rFonts w:ascii="Times New Roman" w:hAnsi="Times New Roman" w:eastAsia="Times New Roman" w:cs="Times New Roman"/>
          <w:spacing w:val="-31"/>
          <w:sz w:val="24"/>
          <w:szCs w:val="24"/>
        </w:rPr>
        <w:t xml:space="preserve"> 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；冲突行为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其次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，共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37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次，占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34.3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%</w:t>
      </w:r>
      <w:r>
        <w:rPr>
          <w:rFonts w:ascii="Times New Roman" w:hAnsi="Times New Roman" w:eastAsia="Times New Roman" w:cs="Times New Roman"/>
          <w:spacing w:val="-31"/>
          <w:sz w:val="24"/>
          <w:szCs w:val="24"/>
        </w:rPr>
        <w:t xml:space="preserve"> 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，协商行为最少，共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hint="eastAsia" w:ascii="Times New Roman Regular" w:hAnsi="Times New Roman Regular" w:eastAsia="宋体" w:cs="Times New Roman Regular"/>
          <w:bCs/>
          <w:kern w:val="2"/>
          <w:sz w:val="24"/>
          <w:szCs w:val="24"/>
          <w:lang w:val="en-US" w:eastAsia="zh-CN" w:bidi="ar-SA"/>
        </w:rPr>
        <w:t>次，占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23.1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%</w:t>
      </w:r>
      <w:r>
        <w:rPr>
          <w:rFonts w:ascii="Times New Roman" w:hAnsi="Times New Roman" w:eastAsia="Times New Roman" w:cs="Times New Roman"/>
          <w:spacing w:val="-31"/>
          <w:sz w:val="24"/>
          <w:szCs w:val="24"/>
        </w:rPr>
        <w:t xml:space="preserve"> </w:t>
      </w:r>
      <w:r>
        <w:rPr>
          <w:rFonts w:hint="eastAsia" w:ascii="Times New Roman Regular" w:hAnsi="Times New Roman Regular" w:cs="Times New Roman Regular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1" w:name="_Toc3888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4.1.1 合作行为最多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720" w:firstLineChars="300"/>
        <w:jc w:val="both"/>
        <w:textAlignment w:val="auto"/>
        <w:rPr>
          <w:rFonts w:hint="eastAsia"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Cs/>
          <w:kern w:val="2"/>
          <w:sz w:val="24"/>
          <w:szCs w:val="24"/>
          <w:lang w:val="en-US" w:eastAsia="zh-CN" w:bidi="ar-SA"/>
        </w:rPr>
        <w:t>案例</w:t>
      </w:r>
      <w:r>
        <w:rPr>
          <w:rFonts w:hint="default" w:ascii="Times New Roman" w:hAnsi="Times New Roman" w:eastAsia="楷体" w:cs="Times New Roman"/>
          <w:bCs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楷体" w:hAnsi="楷体" w:eastAsia="楷体" w:cs="楷体"/>
          <w:bCs/>
          <w:kern w:val="2"/>
          <w:sz w:val="24"/>
          <w:szCs w:val="24"/>
          <w:lang w:val="en-US" w:eastAsia="zh-CN" w:bidi="ar-SA"/>
        </w:rPr>
        <w:t>：我们一起烤串吧</w:t>
      </w:r>
    </w:p>
    <w:p>
      <w:pPr>
        <w:spacing w:beforeLines="0" w:afterLines="0" w:line="360" w:lineRule="auto"/>
        <w:jc w:val="both"/>
        <w:rPr>
          <w:rFonts w:hint="eastAsia"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position w:val="-68"/>
          <w:lang w:val="en-US" w:eastAsia="zh-CN"/>
        </w:rPr>
        <w:t xml:space="preserve">      </w:t>
      </w:r>
      <w:r>
        <w:rPr>
          <w:position w:val="-68"/>
        </w:rPr>
        <w:drawing>
          <wp:inline distT="0" distB="0" distL="0" distR="0">
            <wp:extent cx="4319905" cy="1800225"/>
            <wp:effectExtent l="0" t="0" r="23495" b="3175"/>
            <wp:docPr id="5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10" w:afterLines="0" w:line="360" w:lineRule="auto"/>
        <w:ind w:firstLine="480" w:firstLineChars="200"/>
        <w:jc w:val="both"/>
        <w:textAlignment w:val="auto"/>
        <w:rPr>
          <w:rFonts w:hint="default"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Cs/>
          <w:kern w:val="2"/>
          <w:sz w:val="24"/>
          <w:szCs w:val="24"/>
          <w:lang w:val="en-US" w:eastAsia="zh-CN" w:bidi="ar-SA"/>
        </w:rPr>
        <w:t xml:space="preserve">                   </w:t>
      </w:r>
      <w:r>
        <w:rPr>
          <w:rFonts w:hint="eastAsia" w:ascii="黑体" w:hAnsi="黑体" w:eastAsia="黑体" w:cs="黑体"/>
          <w:bCs/>
          <w:kern w:val="2"/>
          <w:sz w:val="21"/>
          <w:szCs w:val="21"/>
          <w:lang w:val="en-US" w:eastAsia="zh-CN" w:bidi="ar-SA"/>
        </w:rPr>
        <w:t>图1 我们一起烤串吧场景图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Cs/>
          <w:kern w:val="2"/>
          <w:sz w:val="24"/>
          <w:szCs w:val="24"/>
          <w:lang w:val="en-US" w:eastAsia="zh-CN" w:bidi="ar-SA"/>
        </w:rPr>
        <w:t>希希一个人在摆摊烤串，依依看到之后走了过来说：“我们一起烤串可以吗希希？”希希说:“好啊，我们一起烤。”不一会儿，烧烤摊旁边的小朋友越来越多，他们一起围在桌子旁边做起了烧烤。但是烤炉只有一个，好几个小朋友都抢着要烤串。老师走过来对他们说：“烧烤店是不是要有收银员和客人呀？”于是幼儿们开始合作开烧烤店，有的幼儿负责烤，有的负责卖，有的幼儿当顾客，他们在一起玩的非常开心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D4AF"/>
    <w:rsid w:val="5FF3D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99"/>
    <w:rPr>
      <w:rFonts w:eastAsia="黑体" w:asciiTheme="majorHAnsi" w:hAnsiTheme="majorHAnsi" w:cstheme="majorBidi"/>
      <w:sz w:val="20"/>
      <w:szCs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表注"/>
    <w:basedOn w:val="4"/>
    <w:qFormat/>
    <w:uiPriority w:val="0"/>
    <w:pPr>
      <w:spacing w:before="50" w:beforeLines="50"/>
      <w:jc w:val="center"/>
    </w:pPr>
    <w:rPr>
      <w:rFonts w:ascii="Times New Roman" w:hAnsi="Times New Roman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2024-08-13T17:23:00Z</dcterms:created>
  <dc:creator>刘运超</dc:creator>
  <cp:lastModifiedBy>刘运超</cp:lastModifiedBy>
  <dcterms:modified xsi:type="dcterms:W3CDTF">2024-08-13T17:23:35Z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2514F206ECA1D1810C26BB6601662E7A_41</vt:lpwstr>
  </property>
</Properties>
</file>