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after="0" w:lineRule="auto"/>
        <w:ind w:right="0"/>
        <w:jc w:val="left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f0zcv3dd58u" w:id="0"/>
      <w:bookmarkEnd w:id="0"/>
      <w:r w:rsidDel="00000000" w:rsidR="00000000" w:rsidRPr="00000000">
        <w:rPr>
          <w:b w:val="0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jc w:val="left"/>
        <w:rPr/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Pensamento Computacional na vida </w:t>
      </w:r>
      <w:r w:rsidDel="00000000" w:rsidR="00000000" w:rsidRPr="00000000">
        <w:rPr>
          <w:rtl w:val="0"/>
        </w:rPr>
        <w:t xml:space="preserve">cotidiana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Cada grupo de trabalho deve escolher uma situação cotidiana em 5 minutos, depois em um documento compartilhado (google docs ou similar), em cada categoria de Pensamento Computacional, refletir aquilo que eles conseguem identificar na situação do modelo escolhido.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jc w:val="left"/>
        <w:rPr/>
      </w:pPr>
      <w:bookmarkStart w:colFirst="0" w:colLast="0" w:name="_voi0nwtddi5t" w:id="2"/>
      <w:bookmarkEnd w:id="2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Identificar os elementos do Pensamento Computacional (detecção de padrões, decomposição de problemas, abstração do que é importante e detecção de algoritmos presentes) em situações da vida cotidiana. Isso nos permitirá ter uma imagem clara do problema e de sua solução.</w:t>
      </w:r>
    </w:p>
    <w:p w:rsidR="00000000" w:rsidDel="00000000" w:rsidP="00000000" w:rsidRDefault="00000000" w:rsidRPr="00000000" w14:paraId="00000006">
      <w:pPr>
        <w:pStyle w:val="Heading3"/>
        <w:pageBreakBefore w:val="0"/>
        <w:rPr>
          <w:rFonts w:ascii="Rajdhani" w:cs="Rajdhani" w:eastAsia="Rajdhani" w:hAnsi="Rajdhani"/>
          <w:b w:val="1"/>
          <w:sz w:val="34"/>
          <w:szCs w:val="34"/>
        </w:rPr>
      </w:pPr>
      <w:bookmarkStart w:colFirst="0" w:colLast="0" w:name="_37jxg69mstv6" w:id="3"/>
      <w:bookmarkEnd w:id="3"/>
      <w:r w:rsidDel="00000000" w:rsidR="00000000" w:rsidRPr="00000000">
        <w:rPr>
          <w:rtl w:val="0"/>
        </w:rPr>
        <w:t xml:space="preserve">Exemplo “viajar de metrô”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9050" distT="19050" distL="19050" distR="19050">
            <wp:extent cx="6121050" cy="3098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23675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2640"/>
        <w:gridCol w:w="2505"/>
        <w:gridCol w:w="2520"/>
        <w:tblGridChange w:id="0">
          <w:tblGrid>
            <w:gridCol w:w="1920"/>
            <w:gridCol w:w="2640"/>
            <w:gridCol w:w="2505"/>
            <w:gridCol w:w="25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after="0" w:line="240" w:lineRule="auto"/>
              <w:jc w:val="left"/>
              <w:rPr>
                <w:rFonts w:ascii="Rajdhani" w:cs="Rajdhani" w:eastAsia="Rajdhani" w:hAnsi="Rajdhani"/>
                <w:sz w:val="38"/>
                <w:szCs w:val="38"/>
              </w:rPr>
            </w:pPr>
            <w:r w:rsidDel="00000000" w:rsidR="00000000" w:rsidRPr="00000000">
              <w:rPr>
                <w:rFonts w:ascii="Rajdhani" w:cs="Rajdhani" w:eastAsia="Rajdhani" w:hAnsi="Rajdhani"/>
                <w:sz w:val="38"/>
                <w:szCs w:val="38"/>
                <w:rtl w:val="0"/>
              </w:rPr>
              <w:t xml:space="preserve">Padrões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after="0" w:line="240" w:lineRule="auto"/>
              <w:jc w:val="left"/>
              <w:rPr>
                <w:rFonts w:ascii="Rajdhani" w:cs="Rajdhani" w:eastAsia="Rajdhani" w:hAnsi="Rajdhani"/>
                <w:sz w:val="38"/>
                <w:szCs w:val="38"/>
              </w:rPr>
            </w:pPr>
            <w:r w:rsidDel="00000000" w:rsidR="00000000" w:rsidRPr="00000000">
              <w:rPr>
                <w:rFonts w:ascii="Rajdhani" w:cs="Rajdhani" w:eastAsia="Rajdhani" w:hAnsi="Rajdhani"/>
                <w:sz w:val="38"/>
                <w:szCs w:val="38"/>
                <w:rtl w:val="0"/>
              </w:rPr>
              <w:t xml:space="preserve">Decompor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after="0" w:line="240" w:lineRule="auto"/>
              <w:jc w:val="left"/>
              <w:rPr>
                <w:rFonts w:ascii="Rajdhani" w:cs="Rajdhani" w:eastAsia="Rajdhani" w:hAnsi="Rajdhani"/>
                <w:sz w:val="38"/>
                <w:szCs w:val="38"/>
              </w:rPr>
            </w:pPr>
            <w:r w:rsidDel="00000000" w:rsidR="00000000" w:rsidRPr="00000000">
              <w:rPr>
                <w:rFonts w:ascii="Rajdhani" w:cs="Rajdhani" w:eastAsia="Rajdhani" w:hAnsi="Rajdhani"/>
                <w:sz w:val="38"/>
                <w:szCs w:val="38"/>
                <w:rtl w:val="0"/>
              </w:rPr>
              <w:t xml:space="preserve">Abstrações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after="0" w:line="240" w:lineRule="auto"/>
              <w:jc w:val="left"/>
              <w:rPr>
                <w:rFonts w:ascii="Rajdhani" w:cs="Rajdhani" w:eastAsia="Rajdhani" w:hAnsi="Rajdhani"/>
                <w:sz w:val="38"/>
                <w:szCs w:val="38"/>
              </w:rPr>
            </w:pPr>
            <w:r w:rsidDel="00000000" w:rsidR="00000000" w:rsidRPr="00000000">
              <w:rPr>
                <w:rFonts w:ascii="Rajdhani" w:cs="Rajdhani" w:eastAsia="Rajdhani" w:hAnsi="Rajdhani"/>
                <w:sz w:val="38"/>
                <w:szCs w:val="38"/>
                <w:rtl w:val="0"/>
              </w:rPr>
              <w:t xml:space="preserve">Algoritmos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Vagões e pessoas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Entrada e saída do vagão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Local para entrar ou sair.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Vidro nas portas para comunicar o que acontece em cada lado.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Ficar à direita quando possível.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Sair do vagão com prioridade antes de entrar novos passageiros.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Momentos de abertura, fechamento, problemas quando partes do corpo ficam presas.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Pessoas com Deficiências.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Sensibilidade do sistema de abertura, velocidade, anúncio de ativação.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guarda é responsável por acionar o mecanismo, mas é desabilitada se o trem estiver em movimento, mantendo as portas fechadas.</w:t>
              <w:br w:type="textWrapping"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Quantidade de passageiros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Localização de pessoas, em pé, com mobilidade reduzida.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Corrimão para pessoas com bagagem, que estão em pé dentro do vagão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Regras em cartazes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21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Duas pistas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Ida e volta.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Informações sobre para onde ir nos túneis com iconografia particular, diferente de publicidades.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Separar passageiros.</w:t>
            </w:r>
          </w:p>
        </w:tc>
      </w:tr>
    </w:tbl>
    <w:p w:rsidR="00000000" w:rsidDel="00000000" w:rsidP="00000000" w:rsidRDefault="00000000" w:rsidRPr="00000000" w14:paraId="00000022">
      <w:pPr>
        <w:pStyle w:val="Heading3"/>
        <w:pageBreakBefore w:val="0"/>
        <w:rPr/>
      </w:pPr>
      <w:bookmarkStart w:colFirst="0" w:colLast="0" w:name="_j544q281g1s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Agora é a sua vez, pense em um cenário como este, completando cada categoria com valores que nos ajudem a ter um modelo mental do problema.</w:t>
      </w:r>
    </w:p>
    <w:p w:rsidR="00000000" w:rsidDel="00000000" w:rsidP="00000000" w:rsidRDefault="00000000" w:rsidRPr="00000000" w14:paraId="00000024">
      <w:pPr>
        <w:pageBreakBefore w:val="0"/>
        <w:rPr>
          <w:b w:val="1"/>
        </w:rPr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Boa sorte!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104775</wp:posOffset>
            </wp:positionV>
            <wp:extent cx="1049147" cy="1524402"/>
            <wp:effectExtent b="0" l="0" r="0" t="0"/>
            <wp:wrapSquare wrapText="bothSides" distB="57150" distT="57150" distL="57150" distR="571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9147" cy="15244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3862</wp:posOffset>
          </wp:positionH>
          <wp:positionV relativeFrom="page">
            <wp:posOffset>-47624</wp:posOffset>
          </wp:positionV>
          <wp:extent cx="7553325" cy="1019175"/>
          <wp:effectExtent b="0" l="0" r="0" t="0"/>
          <wp:wrapSquare wrapText="bothSides" distB="0" distT="0" distL="0" distR="0"/>
          <wp:docPr id="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5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