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某计算机主存容量为8MB，Cache容量为2KB，字块长度为8个字32位/字，按字节寻址。</w:t>
      </w:r>
    </w:p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（1）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  <w:t>cache和主存的地址分别为多少位？</w:t>
      </w:r>
    </w:p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若采用直接映射，为了完成主存地址到Cache地址的映射，主存地址各字段应该如何分配？</w:t>
      </w:r>
    </w:p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）若采用全相联映射，主存地址各字段应该如何分配？</w:t>
      </w:r>
    </w:p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）若采用两路组相联映射，主存地址各字段应该如何分配？</w:t>
      </w:r>
    </w:p>
    <w:p>
      <w:pPr>
        <w:pStyle w:val="2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</w:rPr>
        <w:t>）若采用四路组相联映射，主存地址各字段应该如何分配？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23431"/>
    <w:rsid w:val="14323431"/>
    <w:rsid w:val="6DD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2020-04-14T08:14:00Z</dcterms:created>
  <dc:creator>swang</dc:creator>
  <cp:lastModifiedBy>swang</cp:lastModifiedBy>
  <dcterms:modified xsi:type="dcterms:W3CDTF">2020-04-14T08:20:29Z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