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94468" w14:textId="77777777" w:rsidR="00613059" w:rsidRPr="00613059" w:rsidRDefault="00613059" w:rsidP="00613059">
      <w:pPr>
        <w:rPr>
          <w:b/>
          <w:bCs/>
        </w:rPr>
      </w:pPr>
      <w:r w:rsidRPr="00613059">
        <w:rPr>
          <w:b/>
          <w:bCs/>
        </w:rPr>
        <w:t>1. El Marco Normativo Fundamental</w:t>
      </w:r>
    </w:p>
    <w:p w14:paraId="6DF24868" w14:textId="77777777" w:rsidR="00613059" w:rsidRPr="00613059" w:rsidRDefault="00613059" w:rsidP="00613059">
      <w:r w:rsidRPr="00613059">
        <w:t>El andamiaje legal de la archivística colombiana se sostiene sobre tres pilares normativos principales:</w:t>
      </w:r>
    </w:p>
    <w:p w14:paraId="02D0BD17" w14:textId="77777777" w:rsidR="00613059" w:rsidRPr="00613059" w:rsidRDefault="00613059" w:rsidP="00613059">
      <w:pPr>
        <w:rPr>
          <w:b/>
          <w:bCs/>
        </w:rPr>
      </w:pPr>
      <w:r w:rsidRPr="00613059">
        <w:rPr>
          <w:b/>
          <w:bCs/>
        </w:rPr>
        <w:t xml:space="preserve">Ley 594 de 2000 (Ley General de Archivos) </w:t>
      </w:r>
    </w:p>
    <w:p w14:paraId="1CF2BFD9" w14:textId="77777777" w:rsidR="00613059" w:rsidRPr="00613059" w:rsidRDefault="00613059" w:rsidP="00613059">
      <w:r w:rsidRPr="00613059">
        <w:t xml:space="preserve">Es la piedra angular de todo el sistema. Establece las reglas, principios generales, la obligatoriedad de la organización de los archivos públicos, la categorización de los archivos (Gestión, Central e Histórico) y las sanciones por el incumplimiento o destrucción no autorizada del patrimonio documental. </w:t>
      </w:r>
    </w:p>
    <w:p w14:paraId="27B6ACEC" w14:textId="77777777" w:rsidR="00613059" w:rsidRPr="00613059" w:rsidRDefault="00613059" w:rsidP="00613059">
      <w:pPr>
        <w:rPr>
          <w:b/>
          <w:bCs/>
        </w:rPr>
      </w:pPr>
      <w:r w:rsidRPr="00613059">
        <w:rPr>
          <w:b/>
          <w:bCs/>
        </w:rPr>
        <w:t xml:space="preserve">Decreto 1080 de 2015 (Decreto Único Reglamentario del Sector Cultura) </w:t>
      </w:r>
    </w:p>
    <w:p w14:paraId="26148FFC" w14:textId="77777777" w:rsidR="00613059" w:rsidRPr="00613059" w:rsidRDefault="00613059" w:rsidP="00613059">
      <w:r w:rsidRPr="00613059">
        <w:t xml:space="preserve">Este decreto compila toda la reglamentación previa del sector. En su </w:t>
      </w:r>
      <w:r w:rsidRPr="00613059">
        <w:rPr>
          <w:b/>
          <w:bCs/>
        </w:rPr>
        <w:t>Título V</w:t>
      </w:r>
      <w:r w:rsidRPr="00613059">
        <w:t>, detalla las directrices específicas para la gestión de documentos, la conceptualización de los Sistemas de Gestión de Documentos Electrónicos de Archivo (SGDEA) y las responsabilidades del Sistema Nacional de Archivos.</w:t>
      </w:r>
    </w:p>
    <w:p w14:paraId="7DE47D80" w14:textId="77777777" w:rsidR="00613059" w:rsidRPr="00613059" w:rsidRDefault="00613059" w:rsidP="00613059">
      <w:pPr>
        <w:rPr>
          <w:b/>
          <w:bCs/>
        </w:rPr>
      </w:pPr>
      <w:r w:rsidRPr="00613059">
        <w:rPr>
          <w:b/>
          <w:bCs/>
        </w:rPr>
        <w:t xml:space="preserve">Acuerdo 001 de 2024 (Acuerdo Único de la Función Archivística) </w:t>
      </w:r>
    </w:p>
    <w:p w14:paraId="41AF983A" w14:textId="77777777" w:rsidR="00613059" w:rsidRPr="00613059" w:rsidRDefault="00613059" w:rsidP="00613059">
      <w:r w:rsidRPr="00613059">
        <w:t>Es la norma más reciente emitida por el AGN que unifica, actualiza y simplifica las directrices técnicas, administrativas y tecnológicas del sector. Reemplaza y deroga múltiples acuerdos anteriores para adaptarse a los entornos de transformación digital del Estado colombiano.</w:t>
      </w:r>
    </w:p>
    <w:p w14:paraId="086FC550" w14:textId="77777777" w:rsidR="00613059" w:rsidRPr="00613059" w:rsidRDefault="00613059" w:rsidP="00613059">
      <w:pPr>
        <w:rPr>
          <w:b/>
          <w:bCs/>
        </w:rPr>
      </w:pPr>
      <w:r w:rsidRPr="00613059">
        <w:rPr>
          <w:b/>
          <w:bCs/>
        </w:rPr>
        <w:t>2. Los 8 Instrumentos Archivísticos Obligatorios</w:t>
      </w:r>
    </w:p>
    <w:p w14:paraId="42F1322E" w14:textId="77777777" w:rsidR="00613059" w:rsidRPr="00613059" w:rsidRDefault="00613059" w:rsidP="00613059">
      <w:r w:rsidRPr="00613059">
        <w:t xml:space="preserve">Para materializar la normatividad, el AGN exige el desarrollo de herramientas técnicas específicas. Toda entidad debe contar con estos </w:t>
      </w:r>
      <w:r w:rsidRPr="00613059">
        <w:rPr>
          <w:b/>
          <w:bCs/>
        </w:rPr>
        <w:t>8 instrumentos clave</w:t>
      </w:r>
      <w:r w:rsidRPr="00613059">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4"/>
        <w:gridCol w:w="1289"/>
        <w:gridCol w:w="4885"/>
      </w:tblGrid>
      <w:tr w:rsidR="00613059" w:rsidRPr="00613059" w14:paraId="701CDFB7" w14:textId="77777777" w:rsidTr="00613059">
        <w:trPr>
          <w:tblHeader/>
          <w:tblCellSpacing w:w="15" w:type="dxa"/>
        </w:trPr>
        <w:tc>
          <w:tcPr>
            <w:tcW w:w="0" w:type="auto"/>
            <w:tcMar>
              <w:top w:w="120" w:type="dxa"/>
              <w:left w:w="180" w:type="dxa"/>
              <w:bottom w:w="120" w:type="dxa"/>
              <w:right w:w="180" w:type="dxa"/>
            </w:tcMar>
            <w:vAlign w:val="center"/>
            <w:hideMark/>
          </w:tcPr>
          <w:p w14:paraId="3A1ED751" w14:textId="77777777" w:rsidR="00613059" w:rsidRPr="00613059" w:rsidRDefault="00613059" w:rsidP="00613059">
            <w:pPr>
              <w:jc w:val="center"/>
            </w:pPr>
            <w:r w:rsidRPr="00613059">
              <w:rPr>
                <w:b/>
                <w:bCs/>
              </w:rPr>
              <w:t>Instrumento</w:t>
            </w:r>
          </w:p>
        </w:tc>
        <w:tc>
          <w:tcPr>
            <w:tcW w:w="0" w:type="auto"/>
            <w:tcMar>
              <w:top w:w="120" w:type="dxa"/>
              <w:left w:w="180" w:type="dxa"/>
              <w:bottom w:w="120" w:type="dxa"/>
              <w:right w:w="180" w:type="dxa"/>
            </w:tcMar>
            <w:vAlign w:val="center"/>
            <w:hideMark/>
          </w:tcPr>
          <w:p w14:paraId="4C3718A4" w14:textId="77777777" w:rsidR="00613059" w:rsidRPr="00613059" w:rsidRDefault="00613059" w:rsidP="00613059">
            <w:pPr>
              <w:jc w:val="center"/>
            </w:pPr>
            <w:r w:rsidRPr="00613059">
              <w:rPr>
                <w:b/>
                <w:bCs/>
              </w:rPr>
              <w:t>Sigla</w:t>
            </w:r>
          </w:p>
        </w:tc>
        <w:tc>
          <w:tcPr>
            <w:tcW w:w="0" w:type="auto"/>
            <w:tcMar>
              <w:top w:w="120" w:type="dxa"/>
              <w:left w:w="180" w:type="dxa"/>
              <w:bottom w:w="120" w:type="dxa"/>
              <w:right w:w="180" w:type="dxa"/>
            </w:tcMar>
            <w:vAlign w:val="center"/>
            <w:hideMark/>
          </w:tcPr>
          <w:p w14:paraId="78B919BA" w14:textId="77777777" w:rsidR="00613059" w:rsidRPr="00613059" w:rsidRDefault="00613059" w:rsidP="00613059">
            <w:pPr>
              <w:jc w:val="center"/>
            </w:pPr>
            <w:r w:rsidRPr="00613059">
              <w:rPr>
                <w:b/>
                <w:bCs/>
              </w:rPr>
              <w:t>¿Para qué sirve?</w:t>
            </w:r>
          </w:p>
        </w:tc>
      </w:tr>
      <w:tr w:rsidR="00613059" w:rsidRPr="00613059" w14:paraId="088671F5" w14:textId="77777777" w:rsidTr="00613059">
        <w:trPr>
          <w:tblCellSpacing w:w="15" w:type="dxa"/>
        </w:trPr>
        <w:tc>
          <w:tcPr>
            <w:tcW w:w="0" w:type="auto"/>
            <w:tcMar>
              <w:top w:w="120" w:type="dxa"/>
              <w:left w:w="180" w:type="dxa"/>
              <w:bottom w:w="120" w:type="dxa"/>
              <w:right w:w="180" w:type="dxa"/>
            </w:tcMar>
            <w:vAlign w:val="center"/>
            <w:hideMark/>
          </w:tcPr>
          <w:p w14:paraId="1EBF6618" w14:textId="77777777" w:rsidR="00613059" w:rsidRPr="00613059" w:rsidRDefault="00613059" w:rsidP="00613059">
            <w:r w:rsidRPr="00613059">
              <w:rPr>
                <w:b/>
                <w:bCs/>
              </w:rPr>
              <w:t>Programa de Gestión Documental</w:t>
            </w:r>
          </w:p>
        </w:tc>
        <w:tc>
          <w:tcPr>
            <w:tcW w:w="0" w:type="auto"/>
            <w:tcMar>
              <w:top w:w="120" w:type="dxa"/>
              <w:left w:w="180" w:type="dxa"/>
              <w:bottom w:w="120" w:type="dxa"/>
              <w:right w:w="180" w:type="dxa"/>
            </w:tcMar>
            <w:vAlign w:val="center"/>
            <w:hideMark/>
          </w:tcPr>
          <w:p w14:paraId="2FBC6EE0" w14:textId="77777777" w:rsidR="00613059" w:rsidRPr="00613059" w:rsidRDefault="00613059" w:rsidP="00613059">
            <w:r w:rsidRPr="00613059">
              <w:rPr>
                <w:b/>
                <w:bCs/>
              </w:rPr>
              <w:t>PGD</w:t>
            </w:r>
          </w:p>
        </w:tc>
        <w:tc>
          <w:tcPr>
            <w:tcW w:w="0" w:type="auto"/>
            <w:tcMar>
              <w:top w:w="120" w:type="dxa"/>
              <w:left w:w="180" w:type="dxa"/>
              <w:bottom w:w="120" w:type="dxa"/>
              <w:right w:w="180" w:type="dxa"/>
            </w:tcMar>
            <w:vAlign w:val="center"/>
            <w:hideMark/>
          </w:tcPr>
          <w:p w14:paraId="6AF65E24" w14:textId="77777777" w:rsidR="00613059" w:rsidRPr="00613059" w:rsidRDefault="00613059" w:rsidP="00613059">
            <w:r w:rsidRPr="00613059">
              <w:t>Planifica y controla a corto, mediano y largo plazo todos los procesos archivísticos de la entidad.</w:t>
            </w:r>
          </w:p>
        </w:tc>
      </w:tr>
      <w:tr w:rsidR="00613059" w:rsidRPr="00613059" w14:paraId="4825F1F6" w14:textId="77777777" w:rsidTr="00613059">
        <w:trPr>
          <w:tblCellSpacing w:w="15" w:type="dxa"/>
        </w:trPr>
        <w:tc>
          <w:tcPr>
            <w:tcW w:w="0" w:type="auto"/>
            <w:tcMar>
              <w:top w:w="120" w:type="dxa"/>
              <w:left w:w="180" w:type="dxa"/>
              <w:bottom w:w="120" w:type="dxa"/>
              <w:right w:w="180" w:type="dxa"/>
            </w:tcMar>
            <w:vAlign w:val="center"/>
            <w:hideMark/>
          </w:tcPr>
          <w:p w14:paraId="28CE869E" w14:textId="77777777" w:rsidR="00613059" w:rsidRPr="00613059" w:rsidRDefault="00613059" w:rsidP="00613059">
            <w:r w:rsidRPr="00613059">
              <w:rPr>
                <w:b/>
                <w:bCs/>
              </w:rPr>
              <w:t>Plan Institucional de Archivos</w:t>
            </w:r>
          </w:p>
        </w:tc>
        <w:tc>
          <w:tcPr>
            <w:tcW w:w="0" w:type="auto"/>
            <w:tcMar>
              <w:top w:w="120" w:type="dxa"/>
              <w:left w:w="180" w:type="dxa"/>
              <w:bottom w:w="120" w:type="dxa"/>
              <w:right w:w="180" w:type="dxa"/>
            </w:tcMar>
            <w:vAlign w:val="center"/>
            <w:hideMark/>
          </w:tcPr>
          <w:p w14:paraId="160F213C" w14:textId="77777777" w:rsidR="00613059" w:rsidRPr="00613059" w:rsidRDefault="00613059" w:rsidP="00613059">
            <w:r w:rsidRPr="00613059">
              <w:rPr>
                <w:b/>
                <w:bCs/>
              </w:rPr>
              <w:t>PINAR</w:t>
            </w:r>
          </w:p>
        </w:tc>
        <w:tc>
          <w:tcPr>
            <w:tcW w:w="0" w:type="auto"/>
            <w:tcMar>
              <w:top w:w="120" w:type="dxa"/>
              <w:left w:w="180" w:type="dxa"/>
              <w:bottom w:w="120" w:type="dxa"/>
              <w:right w:w="180" w:type="dxa"/>
            </w:tcMar>
            <w:vAlign w:val="center"/>
            <w:hideMark/>
          </w:tcPr>
          <w:p w14:paraId="5D7AB95C" w14:textId="77777777" w:rsidR="00613059" w:rsidRPr="00613059" w:rsidRDefault="00613059" w:rsidP="00613059">
            <w:r w:rsidRPr="00613059">
              <w:t>Instrumento de planeación estratégica y financiera para orientar los recursos hacia las necesidades del archivo.</w:t>
            </w:r>
          </w:p>
        </w:tc>
      </w:tr>
      <w:tr w:rsidR="00613059" w:rsidRPr="00613059" w14:paraId="149D61F7" w14:textId="77777777" w:rsidTr="00613059">
        <w:trPr>
          <w:tblCellSpacing w:w="15" w:type="dxa"/>
        </w:trPr>
        <w:tc>
          <w:tcPr>
            <w:tcW w:w="0" w:type="auto"/>
            <w:tcMar>
              <w:top w:w="120" w:type="dxa"/>
              <w:left w:w="180" w:type="dxa"/>
              <w:bottom w:w="120" w:type="dxa"/>
              <w:right w:w="180" w:type="dxa"/>
            </w:tcMar>
            <w:vAlign w:val="center"/>
            <w:hideMark/>
          </w:tcPr>
          <w:p w14:paraId="72C047A6" w14:textId="77777777" w:rsidR="00613059" w:rsidRPr="00613059" w:rsidRDefault="00613059" w:rsidP="00613059">
            <w:r w:rsidRPr="00613059">
              <w:rPr>
                <w:b/>
                <w:bCs/>
              </w:rPr>
              <w:lastRenderedPageBreak/>
              <w:t>Tablas de Retención Documental</w:t>
            </w:r>
          </w:p>
        </w:tc>
        <w:tc>
          <w:tcPr>
            <w:tcW w:w="0" w:type="auto"/>
            <w:tcMar>
              <w:top w:w="120" w:type="dxa"/>
              <w:left w:w="180" w:type="dxa"/>
              <w:bottom w:w="120" w:type="dxa"/>
              <w:right w:w="180" w:type="dxa"/>
            </w:tcMar>
            <w:vAlign w:val="center"/>
            <w:hideMark/>
          </w:tcPr>
          <w:p w14:paraId="5589B0FA" w14:textId="77777777" w:rsidR="00613059" w:rsidRPr="00613059" w:rsidRDefault="00613059" w:rsidP="00613059">
            <w:r w:rsidRPr="00613059">
              <w:rPr>
                <w:b/>
                <w:bCs/>
              </w:rPr>
              <w:t>TRD</w:t>
            </w:r>
          </w:p>
        </w:tc>
        <w:tc>
          <w:tcPr>
            <w:tcW w:w="0" w:type="auto"/>
            <w:tcMar>
              <w:top w:w="120" w:type="dxa"/>
              <w:left w:w="180" w:type="dxa"/>
              <w:bottom w:w="120" w:type="dxa"/>
              <w:right w:w="180" w:type="dxa"/>
            </w:tcMar>
            <w:vAlign w:val="center"/>
            <w:hideMark/>
          </w:tcPr>
          <w:p w14:paraId="1E574276" w14:textId="77777777" w:rsidR="00613059" w:rsidRPr="00613059" w:rsidRDefault="00613059" w:rsidP="00613059">
            <w:r w:rsidRPr="00613059">
              <w:t>Listado de series y subseries donde se define el tiempo que un documento debe permanecer en cada fase de su ciclo de vida.</w:t>
            </w:r>
          </w:p>
        </w:tc>
      </w:tr>
      <w:tr w:rsidR="00613059" w:rsidRPr="00613059" w14:paraId="2D133338" w14:textId="77777777" w:rsidTr="00613059">
        <w:trPr>
          <w:tblCellSpacing w:w="15" w:type="dxa"/>
        </w:trPr>
        <w:tc>
          <w:tcPr>
            <w:tcW w:w="0" w:type="auto"/>
            <w:tcMar>
              <w:top w:w="120" w:type="dxa"/>
              <w:left w:w="180" w:type="dxa"/>
              <w:bottom w:w="120" w:type="dxa"/>
              <w:right w:w="180" w:type="dxa"/>
            </w:tcMar>
            <w:vAlign w:val="center"/>
            <w:hideMark/>
          </w:tcPr>
          <w:p w14:paraId="74C403F0" w14:textId="77777777" w:rsidR="00613059" w:rsidRPr="00613059" w:rsidRDefault="00613059" w:rsidP="00613059">
            <w:r w:rsidRPr="00613059">
              <w:rPr>
                <w:b/>
                <w:bCs/>
              </w:rPr>
              <w:t>Tablas de Valoración Documental</w:t>
            </w:r>
          </w:p>
        </w:tc>
        <w:tc>
          <w:tcPr>
            <w:tcW w:w="0" w:type="auto"/>
            <w:tcMar>
              <w:top w:w="120" w:type="dxa"/>
              <w:left w:w="180" w:type="dxa"/>
              <w:bottom w:w="120" w:type="dxa"/>
              <w:right w:w="180" w:type="dxa"/>
            </w:tcMar>
            <w:vAlign w:val="center"/>
            <w:hideMark/>
          </w:tcPr>
          <w:p w14:paraId="1ED80BC5" w14:textId="77777777" w:rsidR="00613059" w:rsidRPr="00613059" w:rsidRDefault="00613059" w:rsidP="00613059">
            <w:r w:rsidRPr="00613059">
              <w:rPr>
                <w:b/>
                <w:bCs/>
              </w:rPr>
              <w:t>TVD</w:t>
            </w:r>
          </w:p>
        </w:tc>
        <w:tc>
          <w:tcPr>
            <w:tcW w:w="0" w:type="auto"/>
            <w:tcMar>
              <w:top w:w="120" w:type="dxa"/>
              <w:left w:w="180" w:type="dxa"/>
              <w:bottom w:w="120" w:type="dxa"/>
              <w:right w:w="180" w:type="dxa"/>
            </w:tcMar>
            <w:vAlign w:val="center"/>
            <w:hideMark/>
          </w:tcPr>
          <w:p w14:paraId="61484886" w14:textId="77777777" w:rsidR="00613059" w:rsidRPr="00613059" w:rsidRDefault="00613059" w:rsidP="00613059">
            <w:r w:rsidRPr="00613059">
              <w:t>Aplica para fondos acumulados (documentos antiguos sin organizar). Determina el destino final de esos archivos.</w:t>
            </w:r>
          </w:p>
        </w:tc>
      </w:tr>
      <w:tr w:rsidR="00613059" w:rsidRPr="00613059" w14:paraId="10BB6A9C" w14:textId="77777777" w:rsidTr="00613059">
        <w:trPr>
          <w:tblCellSpacing w:w="15" w:type="dxa"/>
        </w:trPr>
        <w:tc>
          <w:tcPr>
            <w:tcW w:w="0" w:type="auto"/>
            <w:tcMar>
              <w:top w:w="120" w:type="dxa"/>
              <w:left w:w="180" w:type="dxa"/>
              <w:bottom w:w="120" w:type="dxa"/>
              <w:right w:w="180" w:type="dxa"/>
            </w:tcMar>
            <w:vAlign w:val="center"/>
            <w:hideMark/>
          </w:tcPr>
          <w:p w14:paraId="54A0AC75" w14:textId="77777777" w:rsidR="00613059" w:rsidRPr="00613059" w:rsidRDefault="00613059" w:rsidP="00613059">
            <w:r w:rsidRPr="00613059">
              <w:rPr>
                <w:b/>
                <w:bCs/>
              </w:rPr>
              <w:t>Cuadro de Clasificación Documental</w:t>
            </w:r>
          </w:p>
        </w:tc>
        <w:tc>
          <w:tcPr>
            <w:tcW w:w="0" w:type="auto"/>
            <w:tcMar>
              <w:top w:w="120" w:type="dxa"/>
              <w:left w:w="180" w:type="dxa"/>
              <w:bottom w:w="120" w:type="dxa"/>
              <w:right w:w="180" w:type="dxa"/>
            </w:tcMar>
            <w:vAlign w:val="center"/>
            <w:hideMark/>
          </w:tcPr>
          <w:p w14:paraId="3304D86D" w14:textId="77777777" w:rsidR="00613059" w:rsidRPr="00613059" w:rsidRDefault="00613059" w:rsidP="00613059">
            <w:r w:rsidRPr="00613059">
              <w:rPr>
                <w:b/>
                <w:bCs/>
              </w:rPr>
              <w:t>CCD</w:t>
            </w:r>
          </w:p>
        </w:tc>
        <w:tc>
          <w:tcPr>
            <w:tcW w:w="0" w:type="auto"/>
            <w:tcMar>
              <w:top w:w="120" w:type="dxa"/>
              <w:left w:w="180" w:type="dxa"/>
              <w:bottom w:w="120" w:type="dxa"/>
              <w:right w:w="180" w:type="dxa"/>
            </w:tcMar>
            <w:vAlign w:val="center"/>
            <w:hideMark/>
          </w:tcPr>
          <w:p w14:paraId="5BEF91DB" w14:textId="77777777" w:rsidR="00613059" w:rsidRPr="00613059" w:rsidRDefault="00613059" w:rsidP="00613059">
            <w:r w:rsidRPr="00613059">
              <w:t>Esquema jerárquico que refleja la estructura orgánica y funcional de la entidad para clasificar la información.</w:t>
            </w:r>
          </w:p>
        </w:tc>
      </w:tr>
      <w:tr w:rsidR="00613059" w:rsidRPr="00613059" w14:paraId="4444FE1A" w14:textId="77777777" w:rsidTr="00613059">
        <w:trPr>
          <w:tblCellSpacing w:w="15" w:type="dxa"/>
        </w:trPr>
        <w:tc>
          <w:tcPr>
            <w:tcW w:w="0" w:type="auto"/>
            <w:tcMar>
              <w:top w:w="120" w:type="dxa"/>
              <w:left w:w="180" w:type="dxa"/>
              <w:bottom w:w="120" w:type="dxa"/>
              <w:right w:w="180" w:type="dxa"/>
            </w:tcMar>
            <w:vAlign w:val="center"/>
            <w:hideMark/>
          </w:tcPr>
          <w:p w14:paraId="00F5934E" w14:textId="77777777" w:rsidR="00613059" w:rsidRPr="00613059" w:rsidRDefault="00613059" w:rsidP="00613059">
            <w:r w:rsidRPr="00613059">
              <w:rPr>
                <w:b/>
                <w:bCs/>
              </w:rPr>
              <w:t>Formato Único de Inventario Documental</w:t>
            </w:r>
          </w:p>
        </w:tc>
        <w:tc>
          <w:tcPr>
            <w:tcW w:w="0" w:type="auto"/>
            <w:tcMar>
              <w:top w:w="120" w:type="dxa"/>
              <w:left w:w="180" w:type="dxa"/>
              <w:bottom w:w="120" w:type="dxa"/>
              <w:right w:w="180" w:type="dxa"/>
            </w:tcMar>
            <w:vAlign w:val="center"/>
            <w:hideMark/>
          </w:tcPr>
          <w:p w14:paraId="6820C664" w14:textId="77777777" w:rsidR="00613059" w:rsidRPr="00613059" w:rsidRDefault="00613059" w:rsidP="00613059">
            <w:r w:rsidRPr="00613059">
              <w:rPr>
                <w:b/>
                <w:bCs/>
              </w:rPr>
              <w:t>FUID</w:t>
            </w:r>
          </w:p>
        </w:tc>
        <w:tc>
          <w:tcPr>
            <w:tcW w:w="0" w:type="auto"/>
            <w:tcMar>
              <w:top w:w="120" w:type="dxa"/>
              <w:left w:w="180" w:type="dxa"/>
              <w:bottom w:w="120" w:type="dxa"/>
              <w:right w:w="180" w:type="dxa"/>
            </w:tcMar>
            <w:vAlign w:val="center"/>
            <w:hideMark/>
          </w:tcPr>
          <w:p w14:paraId="4C67C6DE" w14:textId="77777777" w:rsidR="00613059" w:rsidRPr="00613059" w:rsidRDefault="00613059" w:rsidP="00613059">
            <w:r w:rsidRPr="00613059">
              <w:t>Formato técnico estandarizado que describe y controla los expedientes existentes para asegurar su rápida localización.</w:t>
            </w:r>
          </w:p>
        </w:tc>
      </w:tr>
      <w:tr w:rsidR="00613059" w:rsidRPr="00613059" w14:paraId="323844E7" w14:textId="77777777" w:rsidTr="00613059">
        <w:trPr>
          <w:tblCellSpacing w:w="15" w:type="dxa"/>
        </w:trPr>
        <w:tc>
          <w:tcPr>
            <w:tcW w:w="0" w:type="auto"/>
            <w:tcMar>
              <w:top w:w="120" w:type="dxa"/>
              <w:left w:w="180" w:type="dxa"/>
              <w:bottom w:w="120" w:type="dxa"/>
              <w:right w:w="180" w:type="dxa"/>
            </w:tcMar>
            <w:vAlign w:val="center"/>
            <w:hideMark/>
          </w:tcPr>
          <w:p w14:paraId="25D501EA" w14:textId="77777777" w:rsidR="00613059" w:rsidRPr="00613059" w:rsidRDefault="00613059" w:rsidP="00613059">
            <w:r w:rsidRPr="00613059">
              <w:rPr>
                <w:b/>
                <w:bCs/>
              </w:rPr>
              <w:t>Tablas de Control de Acceso</w:t>
            </w:r>
          </w:p>
        </w:tc>
        <w:tc>
          <w:tcPr>
            <w:tcW w:w="0" w:type="auto"/>
            <w:tcMar>
              <w:top w:w="120" w:type="dxa"/>
              <w:left w:w="180" w:type="dxa"/>
              <w:bottom w:w="120" w:type="dxa"/>
              <w:right w:w="180" w:type="dxa"/>
            </w:tcMar>
            <w:vAlign w:val="center"/>
            <w:hideMark/>
          </w:tcPr>
          <w:p w14:paraId="77B73902" w14:textId="77777777" w:rsidR="00613059" w:rsidRPr="00613059" w:rsidRDefault="00613059" w:rsidP="00613059">
            <w:r w:rsidRPr="00613059">
              <w:rPr>
                <w:b/>
                <w:bCs/>
              </w:rPr>
              <w:t>TCA</w:t>
            </w:r>
          </w:p>
        </w:tc>
        <w:tc>
          <w:tcPr>
            <w:tcW w:w="0" w:type="auto"/>
            <w:tcMar>
              <w:top w:w="120" w:type="dxa"/>
              <w:left w:w="180" w:type="dxa"/>
              <w:bottom w:w="120" w:type="dxa"/>
              <w:right w:w="180" w:type="dxa"/>
            </w:tcMar>
            <w:vAlign w:val="center"/>
            <w:hideMark/>
          </w:tcPr>
          <w:p w14:paraId="4B12FB1C" w14:textId="77777777" w:rsidR="00613059" w:rsidRPr="00613059" w:rsidRDefault="00613059" w:rsidP="00613059">
            <w:r w:rsidRPr="00613059">
              <w:t>Matriz que regula quiénes pueden visualizar, modificar o eliminar determinados documentos según su nivel de confidencialidad.</w:t>
            </w:r>
          </w:p>
        </w:tc>
      </w:tr>
      <w:tr w:rsidR="00613059" w:rsidRPr="00613059" w14:paraId="54C9BDDB" w14:textId="77777777" w:rsidTr="00613059">
        <w:trPr>
          <w:tblCellSpacing w:w="15" w:type="dxa"/>
        </w:trPr>
        <w:tc>
          <w:tcPr>
            <w:tcW w:w="0" w:type="auto"/>
            <w:tcMar>
              <w:top w:w="120" w:type="dxa"/>
              <w:left w:w="180" w:type="dxa"/>
              <w:bottom w:w="120" w:type="dxa"/>
              <w:right w:w="180" w:type="dxa"/>
            </w:tcMar>
            <w:vAlign w:val="center"/>
            <w:hideMark/>
          </w:tcPr>
          <w:p w14:paraId="33B822B1" w14:textId="77777777" w:rsidR="00613059" w:rsidRPr="00613059" w:rsidRDefault="00613059" w:rsidP="00613059">
            <w:r w:rsidRPr="00613059">
              <w:rPr>
                <w:b/>
                <w:bCs/>
              </w:rPr>
              <w:t>Banco Terminológico</w:t>
            </w:r>
          </w:p>
        </w:tc>
        <w:tc>
          <w:tcPr>
            <w:tcW w:w="0" w:type="auto"/>
            <w:tcMar>
              <w:top w:w="120" w:type="dxa"/>
              <w:left w:w="180" w:type="dxa"/>
              <w:bottom w:w="120" w:type="dxa"/>
              <w:right w:w="180" w:type="dxa"/>
            </w:tcMar>
            <w:vAlign w:val="center"/>
            <w:hideMark/>
          </w:tcPr>
          <w:p w14:paraId="3A17B2CC" w14:textId="77777777" w:rsidR="00613059" w:rsidRPr="00613059" w:rsidRDefault="00613059" w:rsidP="00613059">
            <w:r w:rsidRPr="00613059">
              <w:rPr>
                <w:b/>
                <w:bCs/>
              </w:rPr>
              <w:t>BANTER</w:t>
            </w:r>
          </w:p>
        </w:tc>
        <w:tc>
          <w:tcPr>
            <w:tcW w:w="0" w:type="auto"/>
            <w:tcMar>
              <w:top w:w="120" w:type="dxa"/>
              <w:left w:w="180" w:type="dxa"/>
              <w:bottom w:w="120" w:type="dxa"/>
              <w:right w:w="180" w:type="dxa"/>
            </w:tcMar>
            <w:vAlign w:val="center"/>
            <w:hideMark/>
          </w:tcPr>
          <w:p w14:paraId="3A33156D" w14:textId="77777777" w:rsidR="00613059" w:rsidRPr="00613059" w:rsidRDefault="00613059" w:rsidP="00613059">
            <w:r w:rsidRPr="00613059">
              <w:t>Estandariza los nombres y términos de las series y subseries para que toda la entidad use un lenguaje común.</w:t>
            </w:r>
          </w:p>
        </w:tc>
      </w:tr>
    </w:tbl>
    <w:p w14:paraId="5A854A6E" w14:textId="77777777" w:rsidR="00613059" w:rsidRPr="00613059" w:rsidRDefault="00613059" w:rsidP="00613059">
      <w:pPr>
        <w:rPr>
          <w:b/>
          <w:bCs/>
        </w:rPr>
      </w:pPr>
      <w:r w:rsidRPr="00613059">
        <w:rPr>
          <w:b/>
          <w:bCs/>
        </w:rPr>
        <w:t>3. Los 8 Procesos del Ciclo de Vida Documental</w:t>
      </w:r>
    </w:p>
    <w:p w14:paraId="46854FED" w14:textId="77777777" w:rsidR="00613059" w:rsidRPr="00613059" w:rsidRDefault="00613059" w:rsidP="00613059">
      <w:r w:rsidRPr="00613059">
        <w:t>De acuerdo con el Artículo 21 de la Ley 594 de 2000 y el Decreto 1080 de 2015, la gestión documental debe cubrir obligatoriamente estas ocho etapas:</w:t>
      </w:r>
    </w:p>
    <w:p w14:paraId="03581B81" w14:textId="77777777" w:rsidR="00613059" w:rsidRPr="00613059" w:rsidRDefault="00613059" w:rsidP="00613059">
      <w:r w:rsidRPr="00613059">
        <w:rPr>
          <w:b/>
          <w:bCs/>
        </w:rPr>
        <w:t>1.</w:t>
      </w:r>
      <w:proofErr w:type="gramStart"/>
      <w:r w:rsidRPr="00613059">
        <w:rPr>
          <w:b/>
          <w:bCs/>
        </w:rPr>
        <w:t>Planeación:</w:t>
      </w:r>
      <w:r w:rsidRPr="00613059">
        <w:t>Etapa</w:t>
      </w:r>
      <w:proofErr w:type="gramEnd"/>
      <w:r w:rsidRPr="00613059">
        <w:t xml:space="preserve"> de diseño.</w:t>
      </w:r>
    </w:p>
    <w:p w14:paraId="6623E69F" w14:textId="77777777" w:rsidR="00613059" w:rsidRPr="00613059" w:rsidRDefault="00613059" w:rsidP="00613059">
      <w:r w:rsidRPr="00613059">
        <w:lastRenderedPageBreak/>
        <w:t>Creación y diseño de los formatos, soportes e instrumentos bajo los cuales se va a producir o recibir la información.</w:t>
      </w:r>
    </w:p>
    <w:p w14:paraId="0A535BE6" w14:textId="77777777" w:rsidR="00613059" w:rsidRPr="00613059" w:rsidRDefault="00613059" w:rsidP="00613059">
      <w:r w:rsidRPr="00613059">
        <w:rPr>
          <w:b/>
          <w:bCs/>
        </w:rPr>
        <w:t>2.</w:t>
      </w:r>
      <w:proofErr w:type="gramStart"/>
      <w:r w:rsidRPr="00613059">
        <w:rPr>
          <w:b/>
          <w:bCs/>
        </w:rPr>
        <w:t>Producción:</w:t>
      </w:r>
      <w:r w:rsidRPr="00613059">
        <w:t>Etapa</w:t>
      </w:r>
      <w:proofErr w:type="gramEnd"/>
      <w:r w:rsidRPr="00613059">
        <w:t xml:space="preserve"> de creación.</w:t>
      </w:r>
    </w:p>
    <w:p w14:paraId="3AF93CE1" w14:textId="77777777" w:rsidR="00613059" w:rsidRPr="00613059" w:rsidRDefault="00613059" w:rsidP="00613059">
      <w:r w:rsidRPr="00613059">
        <w:t>Ingreso, creación y validación de los documentos, asegurando su estructura técnica, firmas, metadatos y validez legal.</w:t>
      </w:r>
    </w:p>
    <w:p w14:paraId="06A151AB" w14:textId="77777777" w:rsidR="00613059" w:rsidRPr="00613059" w:rsidRDefault="00613059" w:rsidP="00613059">
      <w:r w:rsidRPr="00613059">
        <w:rPr>
          <w:b/>
          <w:bCs/>
        </w:rPr>
        <w:t xml:space="preserve">3.Gestión y </w:t>
      </w:r>
      <w:proofErr w:type="spellStart"/>
      <w:proofErr w:type="gramStart"/>
      <w:r w:rsidRPr="00613059">
        <w:rPr>
          <w:b/>
          <w:bCs/>
        </w:rPr>
        <w:t>Trámite:</w:t>
      </w:r>
      <w:r w:rsidRPr="00613059">
        <w:t>Uso</w:t>
      </w:r>
      <w:proofErr w:type="spellEnd"/>
      <w:proofErr w:type="gramEnd"/>
      <w:r w:rsidRPr="00613059">
        <w:t xml:space="preserve"> activo.</w:t>
      </w:r>
    </w:p>
    <w:p w14:paraId="75C6BCFF" w14:textId="77777777" w:rsidR="00613059" w:rsidRPr="00613059" w:rsidRDefault="00613059" w:rsidP="00613059">
      <w:r w:rsidRPr="00613059">
        <w:t>El curso del documento desde su radicación hasta la resolución del asunto administrativo que le dio origen.</w:t>
      </w:r>
    </w:p>
    <w:p w14:paraId="644D8576" w14:textId="77777777" w:rsidR="00613059" w:rsidRPr="00613059" w:rsidRDefault="00613059" w:rsidP="00613059">
      <w:r w:rsidRPr="00613059">
        <w:rPr>
          <w:b/>
          <w:bCs/>
        </w:rPr>
        <w:t>4.</w:t>
      </w:r>
      <w:proofErr w:type="gramStart"/>
      <w:r w:rsidRPr="00613059">
        <w:rPr>
          <w:b/>
          <w:bCs/>
        </w:rPr>
        <w:t>Organización:</w:t>
      </w:r>
      <w:r w:rsidRPr="00613059">
        <w:t>Clasificación</w:t>
      </w:r>
      <w:proofErr w:type="gramEnd"/>
      <w:r w:rsidRPr="00613059">
        <w:t xml:space="preserve"> técnica.</w:t>
      </w:r>
    </w:p>
    <w:p w14:paraId="0D05DF67" w14:textId="77777777" w:rsidR="00613059" w:rsidRPr="00613059" w:rsidRDefault="00613059" w:rsidP="00613059">
      <w:r w:rsidRPr="00613059">
        <w:t>Operaciones técnicas de clasificación (ubicar en el CCD), ordenación (alfabética o cronológica) y descripción (inventario FUID).</w:t>
      </w:r>
    </w:p>
    <w:p w14:paraId="35583C99" w14:textId="77777777" w:rsidR="00613059" w:rsidRPr="00613059" w:rsidRDefault="00613059" w:rsidP="00613059">
      <w:r w:rsidRPr="00613059">
        <w:rPr>
          <w:b/>
          <w:bCs/>
        </w:rPr>
        <w:t>5.</w:t>
      </w:r>
      <w:proofErr w:type="gramStart"/>
      <w:r w:rsidRPr="00613059">
        <w:rPr>
          <w:b/>
          <w:bCs/>
        </w:rPr>
        <w:t>Transferencia:</w:t>
      </w:r>
      <w:r w:rsidRPr="00613059">
        <w:t>Movilidad</w:t>
      </w:r>
      <w:proofErr w:type="gramEnd"/>
      <w:r w:rsidRPr="00613059">
        <w:t xml:space="preserve"> física o digital.</w:t>
      </w:r>
    </w:p>
    <w:p w14:paraId="15198CAE" w14:textId="77777777" w:rsidR="00613059" w:rsidRPr="00613059" w:rsidRDefault="00613059" w:rsidP="00613059">
      <w:r w:rsidRPr="00613059">
        <w:t>Paso del archivo de gestión al archivo central (o de este al histórico) una vez cumplidos los tiempos estipulados en las TRD.</w:t>
      </w:r>
    </w:p>
    <w:p w14:paraId="1036B38C" w14:textId="77777777" w:rsidR="00613059" w:rsidRPr="00613059" w:rsidRDefault="00613059" w:rsidP="00613059">
      <w:r w:rsidRPr="00613059">
        <w:rPr>
          <w:b/>
          <w:bCs/>
        </w:rPr>
        <w:t xml:space="preserve">6.Disposición de </w:t>
      </w:r>
      <w:proofErr w:type="spellStart"/>
      <w:proofErr w:type="gramStart"/>
      <w:r w:rsidRPr="00613059">
        <w:rPr>
          <w:b/>
          <w:bCs/>
        </w:rPr>
        <w:t>Documentos:</w:t>
      </w:r>
      <w:r w:rsidRPr="00613059">
        <w:t>Destino</w:t>
      </w:r>
      <w:proofErr w:type="spellEnd"/>
      <w:proofErr w:type="gramEnd"/>
      <w:r w:rsidRPr="00613059">
        <w:t xml:space="preserve"> final.</w:t>
      </w:r>
    </w:p>
    <w:p w14:paraId="1D92CE83" w14:textId="77777777" w:rsidR="00613059" w:rsidRPr="00613059" w:rsidRDefault="00613059" w:rsidP="00613059">
      <w:r w:rsidRPr="00613059">
        <w:t>Decisión técnica basada en las TRD/TVD para determinar si los archivos se conservan permanentemente, se eliminan o se digitalizan.</w:t>
      </w:r>
    </w:p>
    <w:p w14:paraId="24094A76" w14:textId="77777777" w:rsidR="00613059" w:rsidRPr="00613059" w:rsidRDefault="00613059" w:rsidP="00613059">
      <w:r w:rsidRPr="00613059">
        <w:rPr>
          <w:b/>
          <w:bCs/>
        </w:rPr>
        <w:t xml:space="preserve">7.Preservación a Largo </w:t>
      </w:r>
      <w:proofErr w:type="spellStart"/>
      <w:proofErr w:type="gramStart"/>
      <w:r w:rsidRPr="00613059">
        <w:rPr>
          <w:b/>
          <w:bCs/>
        </w:rPr>
        <w:t>Plazo:</w:t>
      </w:r>
      <w:r w:rsidRPr="00613059">
        <w:t>Garantía</w:t>
      </w:r>
      <w:proofErr w:type="spellEnd"/>
      <w:proofErr w:type="gramEnd"/>
      <w:r w:rsidRPr="00613059">
        <w:t xml:space="preserve"> de supervivencia.</w:t>
      </w:r>
    </w:p>
    <w:p w14:paraId="137A66AA" w14:textId="77777777" w:rsidR="00613059" w:rsidRPr="00613059" w:rsidRDefault="00613059" w:rsidP="00613059">
      <w:r w:rsidRPr="00613059">
        <w:t xml:space="preserve">Implementación del </w:t>
      </w:r>
      <w:r w:rsidRPr="00613059">
        <w:rPr>
          <w:b/>
          <w:bCs/>
        </w:rPr>
        <w:t>Sistema Integrado de Conservación (SIC)</w:t>
      </w:r>
      <w:r w:rsidRPr="00613059">
        <w:t>. Incluye el Plan de Conservación Física y el Plan de Preservación Digital a Largo Plazo.</w:t>
      </w:r>
    </w:p>
    <w:p w14:paraId="59C13A68" w14:textId="77777777" w:rsidR="00613059" w:rsidRPr="00613059" w:rsidRDefault="00613059" w:rsidP="00613059">
      <w:r w:rsidRPr="00613059">
        <w:rPr>
          <w:b/>
          <w:bCs/>
        </w:rPr>
        <w:t>8.</w:t>
      </w:r>
      <w:proofErr w:type="gramStart"/>
      <w:r w:rsidRPr="00613059">
        <w:rPr>
          <w:b/>
          <w:bCs/>
        </w:rPr>
        <w:t>Valoración:</w:t>
      </w:r>
      <w:r w:rsidRPr="00613059">
        <w:t>Criterio</w:t>
      </w:r>
      <w:proofErr w:type="gramEnd"/>
      <w:r w:rsidRPr="00613059">
        <w:t xml:space="preserve"> analítico.</w:t>
      </w:r>
    </w:p>
    <w:p w14:paraId="64EA9FE4" w14:textId="77777777" w:rsidR="00613059" w:rsidRPr="00613059" w:rsidRDefault="00613059" w:rsidP="00613059">
      <w:r w:rsidRPr="00613059">
        <w:t>Fase continua para analizar los valores primarios (administrativos, legales, contables) y secundarios (históricos, científicos, culturales) del patrimonio documental.</w:t>
      </w:r>
    </w:p>
    <w:p w14:paraId="1804CE30" w14:textId="77777777" w:rsidR="00613059" w:rsidRPr="00613059" w:rsidRDefault="00613059" w:rsidP="00613059">
      <w:pPr>
        <w:rPr>
          <w:b/>
          <w:bCs/>
        </w:rPr>
      </w:pPr>
      <w:r w:rsidRPr="00613059">
        <w:rPr>
          <w:b/>
          <w:bCs/>
        </w:rPr>
        <w:t>4. Gestión Documental Electrónica (Cero Papel)</w:t>
      </w:r>
    </w:p>
    <w:p w14:paraId="0B66D18C" w14:textId="77777777" w:rsidR="00613059" w:rsidRPr="00613059" w:rsidRDefault="00613059" w:rsidP="00613059">
      <w:r w:rsidRPr="00613059">
        <w:t>Colombia ha hecho una fuerte transición hacia la transformación digital. Las normas que impulsan la virtualización de los archivos incluyen:</w:t>
      </w:r>
    </w:p>
    <w:p w14:paraId="02818DA1" w14:textId="77777777" w:rsidR="00613059" w:rsidRPr="00613059" w:rsidRDefault="00613059" w:rsidP="00613059">
      <w:pPr>
        <w:numPr>
          <w:ilvl w:val="0"/>
          <w:numId w:val="1"/>
        </w:numPr>
      </w:pPr>
      <w:r w:rsidRPr="00613059">
        <w:rPr>
          <w:b/>
          <w:bCs/>
        </w:rPr>
        <w:t>Ley 527 de 1999 (Ley de Comercio Electrónico):</w:t>
      </w:r>
      <w:r w:rsidRPr="00613059">
        <w:t xml:space="preserve"> Define y reglamenta el acceso y uso de los mensajes de datos, del comercio electrónico y de las firmas digitales.</w:t>
      </w:r>
    </w:p>
    <w:p w14:paraId="3F22FB95" w14:textId="77777777" w:rsidR="00613059" w:rsidRPr="00613059" w:rsidRDefault="00613059" w:rsidP="00613059">
      <w:pPr>
        <w:numPr>
          <w:ilvl w:val="0"/>
          <w:numId w:val="1"/>
        </w:numPr>
      </w:pPr>
      <w:r w:rsidRPr="00613059">
        <w:rPr>
          <w:b/>
          <w:bCs/>
        </w:rPr>
        <w:lastRenderedPageBreak/>
        <w:t>Directivas de la Estrategia de Gobierno Digital:</w:t>
      </w:r>
      <w:r w:rsidRPr="00613059">
        <w:t xml:space="preserve"> Exigen la interoperabilidad entre los sistemas de gestión documental de distintas entidades del Estado y la implementación del programa "Cero Papel".</w:t>
      </w:r>
    </w:p>
    <w:p w14:paraId="3C1A4F69" w14:textId="77777777" w:rsidR="00613059" w:rsidRPr="00613059" w:rsidRDefault="00613059" w:rsidP="00613059">
      <w:r w:rsidRPr="00613059">
        <w:rPr>
          <w:rFonts w:ascii="Segoe UI Symbol" w:hAnsi="Segoe UI Symbol" w:cs="Segoe UI Symbol"/>
        </w:rPr>
        <w:t>⚠</w:t>
      </w:r>
      <w:r w:rsidRPr="00613059">
        <w:t xml:space="preserve">️ </w:t>
      </w:r>
      <w:r w:rsidRPr="00613059">
        <w:rPr>
          <w:b/>
          <w:bCs/>
        </w:rPr>
        <w:t>Nota Importante:</w:t>
      </w:r>
      <w:r w:rsidRPr="00613059">
        <w:t xml:space="preserve"> El hecho de que un documento se digitalice no significa que se deba destruir el original físico de inmediato. La eliminación física en Colombia solo se puede realizar si el instrumento archivístico (TRD o TVD) previamente avalado y publicado lo autoriza de forma expresa.</w:t>
      </w:r>
    </w:p>
    <w:p w14:paraId="40859998" w14:textId="77777777" w:rsidR="00264985" w:rsidRDefault="00264985"/>
    <w:sectPr w:rsidR="0026498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02843"/>
    <w:multiLevelType w:val="multilevel"/>
    <w:tmpl w:val="9110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205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85"/>
    <w:rsid w:val="00264985"/>
    <w:rsid w:val="00613059"/>
    <w:rsid w:val="00A107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938849-D515-46BA-8589-030D480FB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985"/>
    <w:rPr>
      <w:rFonts w:eastAsiaTheme="majorEastAsia" w:cstheme="majorBidi"/>
      <w:color w:val="272727" w:themeColor="text1" w:themeTint="D8"/>
    </w:rPr>
  </w:style>
  <w:style w:type="paragraph" w:styleId="Title">
    <w:name w:val="Title"/>
    <w:basedOn w:val="Normal"/>
    <w:next w:val="Normal"/>
    <w:link w:val="TitleChar"/>
    <w:uiPriority w:val="10"/>
    <w:qFormat/>
    <w:rsid w:val="00264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985"/>
    <w:pPr>
      <w:spacing w:before="160"/>
      <w:jc w:val="center"/>
    </w:pPr>
    <w:rPr>
      <w:i/>
      <w:iCs/>
      <w:color w:val="404040" w:themeColor="text1" w:themeTint="BF"/>
    </w:rPr>
  </w:style>
  <w:style w:type="character" w:customStyle="1" w:styleId="QuoteChar">
    <w:name w:val="Quote Char"/>
    <w:basedOn w:val="DefaultParagraphFont"/>
    <w:link w:val="Quote"/>
    <w:uiPriority w:val="29"/>
    <w:rsid w:val="00264985"/>
    <w:rPr>
      <w:i/>
      <w:iCs/>
      <w:color w:val="404040" w:themeColor="text1" w:themeTint="BF"/>
    </w:rPr>
  </w:style>
  <w:style w:type="paragraph" w:styleId="ListParagraph">
    <w:name w:val="List Paragraph"/>
    <w:basedOn w:val="Normal"/>
    <w:uiPriority w:val="34"/>
    <w:qFormat/>
    <w:rsid w:val="00264985"/>
    <w:pPr>
      <w:ind w:left="720"/>
      <w:contextualSpacing/>
    </w:pPr>
  </w:style>
  <w:style w:type="character" w:styleId="IntenseEmphasis">
    <w:name w:val="Intense Emphasis"/>
    <w:basedOn w:val="DefaultParagraphFont"/>
    <w:uiPriority w:val="21"/>
    <w:qFormat/>
    <w:rsid w:val="00264985"/>
    <w:rPr>
      <w:i/>
      <w:iCs/>
      <w:color w:val="0F4761" w:themeColor="accent1" w:themeShade="BF"/>
    </w:rPr>
  </w:style>
  <w:style w:type="paragraph" w:styleId="IntenseQuote">
    <w:name w:val="Intense Quote"/>
    <w:basedOn w:val="Normal"/>
    <w:next w:val="Normal"/>
    <w:link w:val="IntenseQuoteChar"/>
    <w:uiPriority w:val="30"/>
    <w:qFormat/>
    <w:rsid w:val="00264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85"/>
    <w:rPr>
      <w:i/>
      <w:iCs/>
      <w:color w:val="0F4761" w:themeColor="accent1" w:themeShade="BF"/>
    </w:rPr>
  </w:style>
  <w:style w:type="character" w:styleId="IntenseReference">
    <w:name w:val="Intense Reference"/>
    <w:basedOn w:val="DefaultParagraphFont"/>
    <w:uiPriority w:val="32"/>
    <w:qFormat/>
    <w:rsid w:val="002649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481146">
      <w:bodyDiv w:val="1"/>
      <w:marLeft w:val="0"/>
      <w:marRight w:val="0"/>
      <w:marTop w:val="0"/>
      <w:marBottom w:val="0"/>
      <w:divBdr>
        <w:top w:val="none" w:sz="0" w:space="0" w:color="auto"/>
        <w:left w:val="none" w:sz="0" w:space="0" w:color="auto"/>
        <w:bottom w:val="none" w:sz="0" w:space="0" w:color="auto"/>
        <w:right w:val="none" w:sz="0" w:space="0" w:color="auto"/>
      </w:divBdr>
      <w:divsChild>
        <w:div w:id="1091974695">
          <w:marLeft w:val="0"/>
          <w:marRight w:val="0"/>
          <w:marTop w:val="0"/>
          <w:marBottom w:val="0"/>
          <w:divBdr>
            <w:top w:val="none" w:sz="0" w:space="0" w:color="auto"/>
            <w:left w:val="none" w:sz="0" w:space="0" w:color="auto"/>
            <w:bottom w:val="none" w:sz="0" w:space="0" w:color="auto"/>
            <w:right w:val="none" w:sz="0" w:space="0" w:color="auto"/>
          </w:divBdr>
          <w:divsChild>
            <w:div w:id="954870592">
              <w:marLeft w:val="0"/>
              <w:marRight w:val="0"/>
              <w:marTop w:val="0"/>
              <w:marBottom w:val="0"/>
              <w:divBdr>
                <w:top w:val="none" w:sz="0" w:space="0" w:color="auto"/>
                <w:left w:val="none" w:sz="0" w:space="0" w:color="auto"/>
                <w:bottom w:val="none" w:sz="0" w:space="0" w:color="auto"/>
                <w:right w:val="none" w:sz="0" w:space="0" w:color="auto"/>
              </w:divBdr>
              <w:divsChild>
                <w:div w:id="199317326">
                  <w:marLeft w:val="0"/>
                  <w:marRight w:val="0"/>
                  <w:marTop w:val="0"/>
                  <w:marBottom w:val="0"/>
                  <w:divBdr>
                    <w:top w:val="none" w:sz="0" w:space="0" w:color="auto"/>
                    <w:left w:val="none" w:sz="0" w:space="0" w:color="auto"/>
                    <w:bottom w:val="none" w:sz="0" w:space="0" w:color="auto"/>
                    <w:right w:val="none" w:sz="0" w:space="0" w:color="auto"/>
                  </w:divBdr>
                  <w:divsChild>
                    <w:div w:id="654188453">
                      <w:marLeft w:val="0"/>
                      <w:marRight w:val="0"/>
                      <w:marTop w:val="0"/>
                      <w:marBottom w:val="0"/>
                      <w:divBdr>
                        <w:top w:val="none" w:sz="0" w:space="0" w:color="auto"/>
                        <w:left w:val="none" w:sz="0" w:space="0" w:color="auto"/>
                        <w:bottom w:val="none" w:sz="0" w:space="0" w:color="auto"/>
                        <w:right w:val="none" w:sz="0" w:space="0" w:color="auto"/>
                      </w:divBdr>
                      <w:divsChild>
                        <w:div w:id="5414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5269">
                  <w:marLeft w:val="0"/>
                  <w:marRight w:val="0"/>
                  <w:marTop w:val="0"/>
                  <w:marBottom w:val="0"/>
                  <w:divBdr>
                    <w:top w:val="none" w:sz="0" w:space="0" w:color="auto"/>
                    <w:left w:val="none" w:sz="0" w:space="0" w:color="auto"/>
                    <w:bottom w:val="none" w:sz="0" w:space="0" w:color="auto"/>
                    <w:right w:val="none" w:sz="0" w:space="0" w:color="auto"/>
                  </w:divBdr>
                  <w:divsChild>
                    <w:div w:id="908081463">
                      <w:marLeft w:val="0"/>
                      <w:marRight w:val="0"/>
                      <w:marTop w:val="0"/>
                      <w:marBottom w:val="0"/>
                      <w:divBdr>
                        <w:top w:val="none" w:sz="0" w:space="0" w:color="auto"/>
                        <w:left w:val="none" w:sz="0" w:space="0" w:color="auto"/>
                        <w:bottom w:val="none" w:sz="0" w:space="0" w:color="auto"/>
                        <w:right w:val="none" w:sz="0" w:space="0" w:color="auto"/>
                      </w:divBdr>
                      <w:divsChild>
                        <w:div w:id="19115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90494">
                  <w:marLeft w:val="0"/>
                  <w:marRight w:val="0"/>
                  <w:marTop w:val="0"/>
                  <w:marBottom w:val="0"/>
                  <w:divBdr>
                    <w:top w:val="none" w:sz="0" w:space="0" w:color="auto"/>
                    <w:left w:val="none" w:sz="0" w:space="0" w:color="auto"/>
                    <w:bottom w:val="none" w:sz="0" w:space="0" w:color="auto"/>
                    <w:right w:val="none" w:sz="0" w:space="0" w:color="auto"/>
                  </w:divBdr>
                  <w:divsChild>
                    <w:div w:id="1669560166">
                      <w:marLeft w:val="0"/>
                      <w:marRight w:val="0"/>
                      <w:marTop w:val="0"/>
                      <w:marBottom w:val="0"/>
                      <w:divBdr>
                        <w:top w:val="none" w:sz="0" w:space="0" w:color="auto"/>
                        <w:left w:val="none" w:sz="0" w:space="0" w:color="auto"/>
                        <w:bottom w:val="none" w:sz="0" w:space="0" w:color="auto"/>
                        <w:right w:val="none" w:sz="0" w:space="0" w:color="auto"/>
                      </w:divBdr>
                      <w:divsChild>
                        <w:div w:id="64693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96735">
                  <w:marLeft w:val="0"/>
                  <w:marRight w:val="0"/>
                  <w:marTop w:val="0"/>
                  <w:marBottom w:val="0"/>
                  <w:divBdr>
                    <w:top w:val="none" w:sz="0" w:space="0" w:color="auto"/>
                    <w:left w:val="none" w:sz="0" w:space="0" w:color="auto"/>
                    <w:bottom w:val="none" w:sz="0" w:space="0" w:color="auto"/>
                    <w:right w:val="none" w:sz="0" w:space="0" w:color="auto"/>
                  </w:divBdr>
                  <w:divsChild>
                    <w:div w:id="970940494">
                      <w:marLeft w:val="0"/>
                      <w:marRight w:val="0"/>
                      <w:marTop w:val="0"/>
                      <w:marBottom w:val="0"/>
                      <w:divBdr>
                        <w:top w:val="none" w:sz="0" w:space="0" w:color="auto"/>
                        <w:left w:val="none" w:sz="0" w:space="0" w:color="auto"/>
                        <w:bottom w:val="none" w:sz="0" w:space="0" w:color="auto"/>
                        <w:right w:val="none" w:sz="0" w:space="0" w:color="auto"/>
                      </w:divBdr>
                      <w:divsChild>
                        <w:div w:id="16254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5483">
                  <w:marLeft w:val="0"/>
                  <w:marRight w:val="0"/>
                  <w:marTop w:val="0"/>
                  <w:marBottom w:val="0"/>
                  <w:divBdr>
                    <w:top w:val="none" w:sz="0" w:space="0" w:color="auto"/>
                    <w:left w:val="none" w:sz="0" w:space="0" w:color="auto"/>
                    <w:bottom w:val="none" w:sz="0" w:space="0" w:color="auto"/>
                    <w:right w:val="none" w:sz="0" w:space="0" w:color="auto"/>
                  </w:divBdr>
                  <w:divsChild>
                    <w:div w:id="1441610021">
                      <w:marLeft w:val="0"/>
                      <w:marRight w:val="0"/>
                      <w:marTop w:val="0"/>
                      <w:marBottom w:val="0"/>
                      <w:divBdr>
                        <w:top w:val="none" w:sz="0" w:space="0" w:color="auto"/>
                        <w:left w:val="none" w:sz="0" w:space="0" w:color="auto"/>
                        <w:bottom w:val="none" w:sz="0" w:space="0" w:color="auto"/>
                        <w:right w:val="none" w:sz="0" w:space="0" w:color="auto"/>
                      </w:divBdr>
                      <w:divsChild>
                        <w:div w:id="75408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46330">
                  <w:marLeft w:val="0"/>
                  <w:marRight w:val="0"/>
                  <w:marTop w:val="0"/>
                  <w:marBottom w:val="0"/>
                  <w:divBdr>
                    <w:top w:val="none" w:sz="0" w:space="0" w:color="auto"/>
                    <w:left w:val="none" w:sz="0" w:space="0" w:color="auto"/>
                    <w:bottom w:val="none" w:sz="0" w:space="0" w:color="auto"/>
                    <w:right w:val="none" w:sz="0" w:space="0" w:color="auto"/>
                  </w:divBdr>
                  <w:divsChild>
                    <w:div w:id="1506046490">
                      <w:marLeft w:val="0"/>
                      <w:marRight w:val="0"/>
                      <w:marTop w:val="0"/>
                      <w:marBottom w:val="0"/>
                      <w:divBdr>
                        <w:top w:val="none" w:sz="0" w:space="0" w:color="auto"/>
                        <w:left w:val="none" w:sz="0" w:space="0" w:color="auto"/>
                        <w:bottom w:val="none" w:sz="0" w:space="0" w:color="auto"/>
                        <w:right w:val="none" w:sz="0" w:space="0" w:color="auto"/>
                      </w:divBdr>
                      <w:divsChild>
                        <w:div w:id="5157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6148">
                  <w:marLeft w:val="0"/>
                  <w:marRight w:val="0"/>
                  <w:marTop w:val="0"/>
                  <w:marBottom w:val="0"/>
                  <w:divBdr>
                    <w:top w:val="none" w:sz="0" w:space="0" w:color="auto"/>
                    <w:left w:val="none" w:sz="0" w:space="0" w:color="auto"/>
                    <w:bottom w:val="none" w:sz="0" w:space="0" w:color="auto"/>
                    <w:right w:val="none" w:sz="0" w:space="0" w:color="auto"/>
                  </w:divBdr>
                  <w:divsChild>
                    <w:div w:id="457115282">
                      <w:marLeft w:val="0"/>
                      <w:marRight w:val="0"/>
                      <w:marTop w:val="0"/>
                      <w:marBottom w:val="0"/>
                      <w:divBdr>
                        <w:top w:val="none" w:sz="0" w:space="0" w:color="auto"/>
                        <w:left w:val="none" w:sz="0" w:space="0" w:color="auto"/>
                        <w:bottom w:val="none" w:sz="0" w:space="0" w:color="auto"/>
                        <w:right w:val="none" w:sz="0" w:space="0" w:color="auto"/>
                      </w:divBdr>
                      <w:divsChild>
                        <w:div w:id="41263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3116">
                  <w:marLeft w:val="0"/>
                  <w:marRight w:val="0"/>
                  <w:marTop w:val="0"/>
                  <w:marBottom w:val="0"/>
                  <w:divBdr>
                    <w:top w:val="none" w:sz="0" w:space="0" w:color="auto"/>
                    <w:left w:val="none" w:sz="0" w:space="0" w:color="auto"/>
                    <w:bottom w:val="none" w:sz="0" w:space="0" w:color="auto"/>
                    <w:right w:val="none" w:sz="0" w:space="0" w:color="auto"/>
                  </w:divBdr>
                  <w:divsChild>
                    <w:div w:id="779226799">
                      <w:marLeft w:val="0"/>
                      <w:marRight w:val="0"/>
                      <w:marTop w:val="0"/>
                      <w:marBottom w:val="0"/>
                      <w:divBdr>
                        <w:top w:val="none" w:sz="0" w:space="0" w:color="auto"/>
                        <w:left w:val="none" w:sz="0" w:space="0" w:color="auto"/>
                        <w:bottom w:val="none" w:sz="0" w:space="0" w:color="auto"/>
                        <w:right w:val="none" w:sz="0" w:space="0" w:color="auto"/>
                      </w:divBdr>
                      <w:divsChild>
                        <w:div w:id="1368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98050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45514871">
      <w:bodyDiv w:val="1"/>
      <w:marLeft w:val="0"/>
      <w:marRight w:val="0"/>
      <w:marTop w:val="0"/>
      <w:marBottom w:val="0"/>
      <w:divBdr>
        <w:top w:val="none" w:sz="0" w:space="0" w:color="auto"/>
        <w:left w:val="none" w:sz="0" w:space="0" w:color="auto"/>
        <w:bottom w:val="none" w:sz="0" w:space="0" w:color="auto"/>
        <w:right w:val="none" w:sz="0" w:space="0" w:color="auto"/>
      </w:divBdr>
      <w:divsChild>
        <w:div w:id="230165242">
          <w:marLeft w:val="0"/>
          <w:marRight w:val="0"/>
          <w:marTop w:val="0"/>
          <w:marBottom w:val="0"/>
          <w:divBdr>
            <w:top w:val="none" w:sz="0" w:space="0" w:color="auto"/>
            <w:left w:val="none" w:sz="0" w:space="0" w:color="auto"/>
            <w:bottom w:val="none" w:sz="0" w:space="0" w:color="auto"/>
            <w:right w:val="none" w:sz="0" w:space="0" w:color="auto"/>
          </w:divBdr>
          <w:divsChild>
            <w:div w:id="2019454547">
              <w:marLeft w:val="0"/>
              <w:marRight w:val="0"/>
              <w:marTop w:val="0"/>
              <w:marBottom w:val="0"/>
              <w:divBdr>
                <w:top w:val="none" w:sz="0" w:space="0" w:color="auto"/>
                <w:left w:val="none" w:sz="0" w:space="0" w:color="auto"/>
                <w:bottom w:val="none" w:sz="0" w:space="0" w:color="auto"/>
                <w:right w:val="none" w:sz="0" w:space="0" w:color="auto"/>
              </w:divBdr>
              <w:divsChild>
                <w:div w:id="1840274040">
                  <w:marLeft w:val="0"/>
                  <w:marRight w:val="0"/>
                  <w:marTop w:val="0"/>
                  <w:marBottom w:val="0"/>
                  <w:divBdr>
                    <w:top w:val="none" w:sz="0" w:space="0" w:color="auto"/>
                    <w:left w:val="none" w:sz="0" w:space="0" w:color="auto"/>
                    <w:bottom w:val="none" w:sz="0" w:space="0" w:color="auto"/>
                    <w:right w:val="none" w:sz="0" w:space="0" w:color="auto"/>
                  </w:divBdr>
                  <w:divsChild>
                    <w:div w:id="2102528857">
                      <w:marLeft w:val="0"/>
                      <w:marRight w:val="0"/>
                      <w:marTop w:val="0"/>
                      <w:marBottom w:val="0"/>
                      <w:divBdr>
                        <w:top w:val="none" w:sz="0" w:space="0" w:color="auto"/>
                        <w:left w:val="none" w:sz="0" w:space="0" w:color="auto"/>
                        <w:bottom w:val="none" w:sz="0" w:space="0" w:color="auto"/>
                        <w:right w:val="none" w:sz="0" w:space="0" w:color="auto"/>
                      </w:divBdr>
                      <w:divsChild>
                        <w:div w:id="95899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6152">
                  <w:marLeft w:val="0"/>
                  <w:marRight w:val="0"/>
                  <w:marTop w:val="0"/>
                  <w:marBottom w:val="0"/>
                  <w:divBdr>
                    <w:top w:val="none" w:sz="0" w:space="0" w:color="auto"/>
                    <w:left w:val="none" w:sz="0" w:space="0" w:color="auto"/>
                    <w:bottom w:val="none" w:sz="0" w:space="0" w:color="auto"/>
                    <w:right w:val="none" w:sz="0" w:space="0" w:color="auto"/>
                  </w:divBdr>
                  <w:divsChild>
                    <w:div w:id="89857933">
                      <w:marLeft w:val="0"/>
                      <w:marRight w:val="0"/>
                      <w:marTop w:val="0"/>
                      <w:marBottom w:val="0"/>
                      <w:divBdr>
                        <w:top w:val="none" w:sz="0" w:space="0" w:color="auto"/>
                        <w:left w:val="none" w:sz="0" w:space="0" w:color="auto"/>
                        <w:bottom w:val="none" w:sz="0" w:space="0" w:color="auto"/>
                        <w:right w:val="none" w:sz="0" w:space="0" w:color="auto"/>
                      </w:divBdr>
                      <w:divsChild>
                        <w:div w:id="114068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57321">
                  <w:marLeft w:val="0"/>
                  <w:marRight w:val="0"/>
                  <w:marTop w:val="0"/>
                  <w:marBottom w:val="0"/>
                  <w:divBdr>
                    <w:top w:val="none" w:sz="0" w:space="0" w:color="auto"/>
                    <w:left w:val="none" w:sz="0" w:space="0" w:color="auto"/>
                    <w:bottom w:val="none" w:sz="0" w:space="0" w:color="auto"/>
                    <w:right w:val="none" w:sz="0" w:space="0" w:color="auto"/>
                  </w:divBdr>
                  <w:divsChild>
                    <w:div w:id="45036433">
                      <w:marLeft w:val="0"/>
                      <w:marRight w:val="0"/>
                      <w:marTop w:val="0"/>
                      <w:marBottom w:val="0"/>
                      <w:divBdr>
                        <w:top w:val="none" w:sz="0" w:space="0" w:color="auto"/>
                        <w:left w:val="none" w:sz="0" w:space="0" w:color="auto"/>
                        <w:bottom w:val="none" w:sz="0" w:space="0" w:color="auto"/>
                        <w:right w:val="none" w:sz="0" w:space="0" w:color="auto"/>
                      </w:divBdr>
                      <w:divsChild>
                        <w:div w:id="86914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98147">
                  <w:marLeft w:val="0"/>
                  <w:marRight w:val="0"/>
                  <w:marTop w:val="0"/>
                  <w:marBottom w:val="0"/>
                  <w:divBdr>
                    <w:top w:val="none" w:sz="0" w:space="0" w:color="auto"/>
                    <w:left w:val="none" w:sz="0" w:space="0" w:color="auto"/>
                    <w:bottom w:val="none" w:sz="0" w:space="0" w:color="auto"/>
                    <w:right w:val="none" w:sz="0" w:space="0" w:color="auto"/>
                  </w:divBdr>
                  <w:divsChild>
                    <w:div w:id="1834683077">
                      <w:marLeft w:val="0"/>
                      <w:marRight w:val="0"/>
                      <w:marTop w:val="0"/>
                      <w:marBottom w:val="0"/>
                      <w:divBdr>
                        <w:top w:val="none" w:sz="0" w:space="0" w:color="auto"/>
                        <w:left w:val="none" w:sz="0" w:space="0" w:color="auto"/>
                        <w:bottom w:val="none" w:sz="0" w:space="0" w:color="auto"/>
                        <w:right w:val="none" w:sz="0" w:space="0" w:color="auto"/>
                      </w:divBdr>
                      <w:divsChild>
                        <w:div w:id="7514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17412">
                  <w:marLeft w:val="0"/>
                  <w:marRight w:val="0"/>
                  <w:marTop w:val="0"/>
                  <w:marBottom w:val="0"/>
                  <w:divBdr>
                    <w:top w:val="none" w:sz="0" w:space="0" w:color="auto"/>
                    <w:left w:val="none" w:sz="0" w:space="0" w:color="auto"/>
                    <w:bottom w:val="none" w:sz="0" w:space="0" w:color="auto"/>
                    <w:right w:val="none" w:sz="0" w:space="0" w:color="auto"/>
                  </w:divBdr>
                  <w:divsChild>
                    <w:div w:id="1871992307">
                      <w:marLeft w:val="0"/>
                      <w:marRight w:val="0"/>
                      <w:marTop w:val="0"/>
                      <w:marBottom w:val="0"/>
                      <w:divBdr>
                        <w:top w:val="none" w:sz="0" w:space="0" w:color="auto"/>
                        <w:left w:val="none" w:sz="0" w:space="0" w:color="auto"/>
                        <w:bottom w:val="none" w:sz="0" w:space="0" w:color="auto"/>
                        <w:right w:val="none" w:sz="0" w:space="0" w:color="auto"/>
                      </w:divBdr>
                      <w:divsChild>
                        <w:div w:id="125535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5184">
                  <w:marLeft w:val="0"/>
                  <w:marRight w:val="0"/>
                  <w:marTop w:val="0"/>
                  <w:marBottom w:val="0"/>
                  <w:divBdr>
                    <w:top w:val="none" w:sz="0" w:space="0" w:color="auto"/>
                    <w:left w:val="none" w:sz="0" w:space="0" w:color="auto"/>
                    <w:bottom w:val="none" w:sz="0" w:space="0" w:color="auto"/>
                    <w:right w:val="none" w:sz="0" w:space="0" w:color="auto"/>
                  </w:divBdr>
                  <w:divsChild>
                    <w:div w:id="695471773">
                      <w:marLeft w:val="0"/>
                      <w:marRight w:val="0"/>
                      <w:marTop w:val="0"/>
                      <w:marBottom w:val="0"/>
                      <w:divBdr>
                        <w:top w:val="none" w:sz="0" w:space="0" w:color="auto"/>
                        <w:left w:val="none" w:sz="0" w:space="0" w:color="auto"/>
                        <w:bottom w:val="none" w:sz="0" w:space="0" w:color="auto"/>
                        <w:right w:val="none" w:sz="0" w:space="0" w:color="auto"/>
                      </w:divBdr>
                      <w:divsChild>
                        <w:div w:id="135634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89621">
                  <w:marLeft w:val="0"/>
                  <w:marRight w:val="0"/>
                  <w:marTop w:val="0"/>
                  <w:marBottom w:val="0"/>
                  <w:divBdr>
                    <w:top w:val="none" w:sz="0" w:space="0" w:color="auto"/>
                    <w:left w:val="none" w:sz="0" w:space="0" w:color="auto"/>
                    <w:bottom w:val="none" w:sz="0" w:space="0" w:color="auto"/>
                    <w:right w:val="none" w:sz="0" w:space="0" w:color="auto"/>
                  </w:divBdr>
                  <w:divsChild>
                    <w:div w:id="1004818562">
                      <w:marLeft w:val="0"/>
                      <w:marRight w:val="0"/>
                      <w:marTop w:val="0"/>
                      <w:marBottom w:val="0"/>
                      <w:divBdr>
                        <w:top w:val="none" w:sz="0" w:space="0" w:color="auto"/>
                        <w:left w:val="none" w:sz="0" w:space="0" w:color="auto"/>
                        <w:bottom w:val="none" w:sz="0" w:space="0" w:color="auto"/>
                        <w:right w:val="none" w:sz="0" w:space="0" w:color="auto"/>
                      </w:divBdr>
                      <w:divsChild>
                        <w:div w:id="20182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2503">
                  <w:marLeft w:val="0"/>
                  <w:marRight w:val="0"/>
                  <w:marTop w:val="0"/>
                  <w:marBottom w:val="0"/>
                  <w:divBdr>
                    <w:top w:val="none" w:sz="0" w:space="0" w:color="auto"/>
                    <w:left w:val="none" w:sz="0" w:space="0" w:color="auto"/>
                    <w:bottom w:val="none" w:sz="0" w:space="0" w:color="auto"/>
                    <w:right w:val="none" w:sz="0" w:space="0" w:color="auto"/>
                  </w:divBdr>
                  <w:divsChild>
                    <w:div w:id="1956937164">
                      <w:marLeft w:val="0"/>
                      <w:marRight w:val="0"/>
                      <w:marTop w:val="0"/>
                      <w:marBottom w:val="0"/>
                      <w:divBdr>
                        <w:top w:val="none" w:sz="0" w:space="0" w:color="auto"/>
                        <w:left w:val="none" w:sz="0" w:space="0" w:color="auto"/>
                        <w:bottom w:val="none" w:sz="0" w:space="0" w:color="auto"/>
                        <w:right w:val="none" w:sz="0" w:space="0" w:color="auto"/>
                      </w:divBdr>
                      <w:divsChild>
                        <w:div w:id="180442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52706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775</Words>
  <Characters>4263</Characters>
  <Application>Microsoft Office Word</Application>
  <DocSecurity>0</DocSecurity>
  <Lines>35</Lines>
  <Paragraphs>10</Paragraphs>
  <ScaleCrop>false</ScaleCrop>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José Escrucería Uribe</dc:creator>
  <cp:keywords/>
  <dc:description/>
  <cp:lastModifiedBy>Antonio José Escrucería Uribe</cp:lastModifiedBy>
  <cp:revision>2</cp:revision>
  <dcterms:created xsi:type="dcterms:W3CDTF">2026-07-16T15:29:00Z</dcterms:created>
  <dcterms:modified xsi:type="dcterms:W3CDTF">2026-07-16T15:29:00Z</dcterms:modified>
</cp:coreProperties>
</file>