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Almacén de datos para la tienda de Doña Esperanza</w:t>
      </w:r>
    </w:p>
    <w:p w:rsidR="00000000" w:rsidDel="00000000" w:rsidP="00000000" w:rsidRDefault="00000000" w:rsidRPr="00000000" w14:paraId="00000002">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Doña Esperanza tiene la necesidad de analizar los ingresos que actualmente comercializa su tienda con la finalidad de dar de baja algunos que sean poco rentables para redistribuir recursos hacia otros existentes o nuevos. Para ello es necesario contar con una herramienta de análisis de negocios que le permita obtener información respecto a esta temática.</w:t>
      </w:r>
    </w:p>
    <w:p w:rsidR="00000000" w:rsidDel="00000000" w:rsidP="00000000" w:rsidRDefault="00000000" w:rsidRPr="00000000" w14:paraId="00000004">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Luego de un primer relevamiento de la información requerida para la toma de decisiones se llega a la conclusión que son datos de gran interés los ingresos, los costos y la rentabilidad bruta (ingresos menos costos) por cada uno de los productos que actualmente se comercializan en su tienda.</w:t>
      </w:r>
    </w:p>
    <w:p w:rsidR="00000000" w:rsidDel="00000000" w:rsidP="00000000" w:rsidRDefault="00000000" w:rsidRPr="00000000" w14:paraId="00000006">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otro lado, también interesa saber cual es el comportamiento de estas variables según el perfil de sus clientes (género, edad) y la categoría del producto (público objetivo), pudiendo de esta manera detectar que clientes generan mayores ingresos y qué categorías de productos lo generan.</w:t>
      </w:r>
    </w:p>
    <w:p w:rsidR="00000000" w:rsidDel="00000000" w:rsidP="00000000" w:rsidRDefault="00000000" w:rsidRPr="00000000" w14:paraId="00000008">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Doña Esperanza ha manifestado la necesidad de poder realizar comparaciones de los montos y cantidades entre los distintos años y periodos dentro de un año, pudiendo llegar al detalle de un día en particular de ser necesario.</w:t>
      </w:r>
    </w:p>
    <w:p w:rsidR="00000000" w:rsidDel="00000000" w:rsidP="00000000" w:rsidRDefault="00000000" w:rsidRPr="00000000" w14:paraId="0000000A">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E">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spacing w:after="20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Tercera parte: Relaciona las Columnas de modalidades de violencia contra las mujeres y niñas (parte 1)</w:t>
      </w:r>
    </w:p>
    <w:p w:rsidR="00000000" w:rsidDel="00000000" w:rsidP="00000000" w:rsidRDefault="00000000" w:rsidRPr="00000000" w14:paraId="00000010">
      <w:pPr>
        <w:spacing w:after="20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br w:type="textWrapping"/>
        <w:t xml:space="preserve">Relaciona las columnas de modalidades de violencia contra las mujeres y niñas</w:t>
      </w:r>
    </w:p>
    <w:p w:rsidR="00000000" w:rsidDel="00000000" w:rsidP="00000000" w:rsidRDefault="00000000" w:rsidRPr="00000000" w14:paraId="00000011">
      <w:pPr>
        <w:widowControl w:val="0"/>
        <w:spacing w:line="240" w:lineRule="auto"/>
        <w:jc w:val="both"/>
        <w:rPr>
          <w:rFonts w:ascii="Calibri" w:cs="Calibri" w:eastAsia="Calibri" w:hAnsi="Calibri"/>
          <w:sz w:val="26"/>
          <w:szCs w:val="26"/>
        </w:rPr>
      </w:pPr>
      <w:r w:rsidDel="00000000" w:rsidR="00000000" w:rsidRPr="00000000">
        <w:rPr>
          <w:rtl w:val="0"/>
        </w:rPr>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5775"/>
        <w:tblGridChange w:id="0">
          <w:tblGrid>
            <w:gridCol w:w="3105"/>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Modalidad de violencia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de la modalidad </w:t>
            </w:r>
          </w:p>
        </w:tc>
      </w:tr>
      <w:tr>
        <w:trPr>
          <w:trHeight w:val="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Familiar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Se daña la autoestima de las </w:t>
            </w:r>
            <w:r w:rsidDel="00000000" w:rsidR="00000000" w:rsidRPr="00000000">
              <w:rPr>
                <w:rFonts w:ascii="Calibri" w:cs="Calibri" w:eastAsia="Calibri" w:hAnsi="Calibri"/>
                <w:b w:val="1"/>
                <w:sz w:val="24"/>
                <w:szCs w:val="24"/>
                <w:rtl w:val="0"/>
              </w:rPr>
              <w:t xml:space="preserve">alumnas o maestras</w:t>
            </w:r>
            <w:r w:rsidDel="00000000" w:rsidR="00000000" w:rsidRPr="00000000">
              <w:rPr>
                <w:rFonts w:ascii="Calibri" w:cs="Calibri" w:eastAsia="Calibri" w:hAnsi="Calibri"/>
                <w:sz w:val="24"/>
                <w:szCs w:val="24"/>
                <w:rtl w:val="0"/>
              </w:rPr>
              <w:t xml:space="preserve"> con actos de discriminación.</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Laboral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Atenta contra su seguridad e integridad de las mujeres y ocurre en los </w:t>
            </w:r>
            <w:r w:rsidDel="00000000" w:rsidR="00000000" w:rsidRPr="00000000">
              <w:rPr>
                <w:rFonts w:ascii="Calibri" w:cs="Calibri" w:eastAsia="Calibri" w:hAnsi="Calibri"/>
                <w:b w:val="1"/>
                <w:sz w:val="24"/>
                <w:szCs w:val="24"/>
                <w:rtl w:val="0"/>
              </w:rPr>
              <w:t xml:space="preserve">espacios públicos</w:t>
            </w:r>
            <w:r w:rsidDel="00000000" w:rsidR="00000000" w:rsidRPr="00000000">
              <w:rPr>
                <w:rFonts w:ascii="Calibri" w:cs="Calibri" w:eastAsia="Calibri" w:hAnsi="Calibri"/>
                <w:sz w:val="24"/>
                <w:szCs w:val="24"/>
                <w:rtl w:val="0"/>
              </w:rPr>
              <w:t xml:space="preserve"> como las calles, transporte o parques. </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Docente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Lo realizan los </w:t>
            </w:r>
            <w:r w:rsidDel="00000000" w:rsidR="00000000" w:rsidRPr="00000000">
              <w:rPr>
                <w:rFonts w:ascii="Calibri" w:cs="Calibri" w:eastAsia="Calibri" w:hAnsi="Calibri"/>
                <w:b w:val="1"/>
                <w:sz w:val="24"/>
                <w:szCs w:val="24"/>
                <w:rtl w:val="0"/>
              </w:rPr>
              <w:t xml:space="preserve">servidores públicos</w:t>
            </w:r>
            <w:r w:rsidDel="00000000" w:rsidR="00000000" w:rsidRPr="00000000">
              <w:rPr>
                <w:rFonts w:ascii="Calibri" w:cs="Calibri" w:eastAsia="Calibri" w:hAnsi="Calibri"/>
                <w:sz w:val="24"/>
                <w:szCs w:val="24"/>
                <w:rtl w:val="0"/>
              </w:rPr>
              <w:t xml:space="preserve"> que discriminen u obstaculicen el ejercicio de los derechos humanos de las mujeres.</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Comunitaria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Ocurre dentro o fuera del </w:t>
            </w:r>
            <w:r w:rsidDel="00000000" w:rsidR="00000000" w:rsidRPr="00000000">
              <w:rPr>
                <w:rFonts w:ascii="Calibri" w:cs="Calibri" w:eastAsia="Calibri" w:hAnsi="Calibri"/>
                <w:b w:val="1"/>
                <w:sz w:val="24"/>
                <w:szCs w:val="24"/>
                <w:rtl w:val="0"/>
              </w:rPr>
              <w:t xml:space="preserve">domicilio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Tiene o ha tenido parentesco por consanguinidad o por afinidad con la víctima.</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Institucional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Ocurre cuando se descalifica el </w:t>
            </w:r>
            <w:r w:rsidDel="00000000" w:rsidR="00000000" w:rsidRPr="00000000">
              <w:rPr>
                <w:rFonts w:ascii="Calibri" w:cs="Calibri" w:eastAsia="Calibri" w:hAnsi="Calibri"/>
                <w:b w:val="1"/>
                <w:sz w:val="24"/>
                <w:szCs w:val="24"/>
                <w:rtl w:val="0"/>
              </w:rPr>
              <w:t xml:space="preserve">trabajo</w:t>
            </w:r>
            <w:r w:rsidDel="00000000" w:rsidR="00000000" w:rsidRPr="00000000">
              <w:rPr>
                <w:rFonts w:ascii="Calibri" w:cs="Calibri" w:eastAsia="Calibri" w:hAnsi="Calibri"/>
                <w:sz w:val="24"/>
                <w:szCs w:val="24"/>
                <w:rtl w:val="0"/>
              </w:rPr>
              <w:t xml:space="preserve"> realizado, cuando hay amenazas, intimidación, humillaciones, explotación, entre otras. </w:t>
            </w:r>
          </w:p>
        </w:tc>
      </w:tr>
    </w:tbl>
    <w:p w:rsidR="00000000" w:rsidDel="00000000" w:rsidP="00000000" w:rsidRDefault="00000000" w:rsidRPr="00000000" w14:paraId="0000001F">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