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lista de libros mostrada podrá ser utilizada para el de</w:t>
      </w:r>
      <w:r w:rsidDel="00000000" w:rsidR="00000000" w:rsidRPr="00000000">
        <w:rPr>
          <w:rtl w:val="0"/>
        </w:rPr>
        <w:t xml:space="preserve">sarrollo y prueba de las actividades del módulo de programación, taller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#Amigadatecuenta- Andonella y Plaqueta (2018), Planeta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Caso, A. (2005).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Las olvidadas: Una historia de mujeres creadoras. 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Barcelona: Planeta.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u w:val="none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Castañeda, M. (2007).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El machismo invisible regresa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. Taurus.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Cavallo, F. y Favilli, E. (2017).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Cuentos de buenas noches para niñas rebeldes.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 (Sin ciudad): Planeta.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Claves feministas para el poderío (1997),  puntos de encuentro. Mnagua.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Claves feministas para la autoestima de las mujeres (2000), cuadernos inacabados.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Claves feministas para la negociación en el amor (2001), puntos de encuentro. Mnagua.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Claves feministas para liderazgos entrañables (2000), puntos de encuentro. Mnagua.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Coral Herrera Gómez (2019) Hombres que ya no hacen sufrir por amor, Catarata.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Coral Herrera Gómez (2019) Mujeres que ya no sufren por amor, Catarata.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Coral Herrera Gómez (2020) Cómo disfrutar del amor: herramientas feministas para transformar el mito del amor romántico, Penguin Random House.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Cuentos de buenas noches para niñas rebeldes por Elena Favilli, Francesca Cavallo (2017), Planeta.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De La Garza, C. y Derbez, E. (2020).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No son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micro. Machismos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 cotidianos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. México :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Grijalbo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feminismo en mi vida (2012), INMUJERES.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Guerrero, A., Hesse, M., Santos, A., Desidia, L., Agustí, L., Plancorbo, E., Arrazola, A. y Cano, S. (2018).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highlight w:val="white"/>
          <w:rtl w:val="0"/>
        </w:rPr>
        <w:t xml:space="preserve">El futuro es femenino: Cuentos para que juntas cambiemos el mundo. 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highlight w:val="white"/>
          <w:rtl w:val="0"/>
        </w:rPr>
        <w:t xml:space="preserve">(Sin ciudad):Nube de tinta.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u w:val="none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Gómez, M. V. G. (2018). Cuentos de buenas noches para niñas rebeldes.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Lenguaje y Textos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, (47), 111-113.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Haghenbeck, F. (2017).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Matemáticas para las hadas. 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 Grijalbo.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Mackenzie Lee, Las Chicas Rudas del Pasado</w:t>
      </w:r>
      <w:r w:rsidDel="00000000" w:rsidR="00000000" w:rsidRPr="00000000">
        <w:rPr>
          <w:rtl w:val="0"/>
        </w:rPr>
        <w:t xml:space="preserve"> (s.f.)</w:t>
      </w:r>
      <w:r w:rsidDel="00000000" w:rsidR="00000000" w:rsidRPr="00000000">
        <w:rPr>
          <w:rtl w:val="0"/>
        </w:rPr>
        <w:t xml:space="preserve">, Diana.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Montero, R. (2012). Nosotras. Historias de mujeres y algo más. Alfaguara.Historias de mujeres y algo más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Montero, R. (2018). </w:t>
      </w:r>
      <w:r w:rsidDel="00000000" w:rsidR="00000000" w:rsidRPr="00000000">
        <w:rPr>
          <w:rFonts w:ascii="Calibri" w:cs="Calibri" w:eastAsia="Calibri" w:hAnsi="Calibri"/>
          <w:i w:val="1"/>
          <w:color w:val="030303"/>
          <w:sz w:val="24"/>
          <w:szCs w:val="24"/>
          <w:shd w:fill="f9f9f9" w:val="clear"/>
          <w:rtl w:val="0"/>
        </w:rPr>
        <w:t xml:space="preserve">Nosotras: Historias de mujeres y algo más. </w:t>
      </w:r>
      <w:r w:rsidDel="00000000" w:rsidR="00000000" w:rsidRPr="00000000">
        <w:rPr>
          <w:rFonts w:ascii="Calibri" w:cs="Calibri" w:eastAsia="Calibri" w:hAnsi="Calibri"/>
          <w:color w:val="030303"/>
          <w:sz w:val="24"/>
          <w:szCs w:val="24"/>
          <w:shd w:fill="f9f9f9" w:val="clear"/>
          <w:rtl w:val="0"/>
        </w:rPr>
        <w:t xml:space="preserve">Madrid: Alfaguara.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Nuria Varela, Feminismo Para Principiantes (2019), Planeta Inclusión.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Roxane Gay, Confesiones de una mala feminista, (...), Planeta.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Sergio Parra, Irene Cívico, Las niñas son guerreras: 27 rebeldes que cambiaron el mundo por (2012), Montena.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 Cuarto Propio por Virginia Woolf </w:t>
      </w:r>
      <w:r w:rsidDel="00000000" w:rsidR="00000000" w:rsidRPr="00000000">
        <w:rPr>
          <w:rtl w:val="0"/>
        </w:rPr>
        <w:t xml:space="preserve">(1923), </w:t>
      </w:r>
      <w:r w:rsidDel="00000000" w:rsidR="00000000" w:rsidRPr="00000000">
        <w:rPr>
          <w:rtl w:val="0"/>
        </w:rPr>
        <w:t xml:space="preserve">Lumen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3030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