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Analyse des Risques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Module CRM</w:t>
      </w:r>
    </w:p>
    <w:p>
      <w:pPr>
        <w:pBdr>
          <w:bottom w:val="single" w:color="1F4E79" w:sz="12" w:space="4"/>
        </w:pBdr>
        <w:spacing w:after="400" w:before="0"/>
      </w:pPr>
    </w:p>
    <w:p>
      <w:pPr>
        <w:pStyle w:val="Heading1"/>
      </w:pPr>
      <w:r>
        <w:rPr>
          <w:rFonts w:ascii="Arial" w:cs="Arial" w:eastAsia="Arial" w:hAnsi="Arial"/>
        </w:rPr>
        <w:t xml:space="preserve">1. Registre des Risques</w:t>
      </w:r>
    </w:p>
    <w:p>
      <w:pPr>
        <w:spacing w:after="2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 tableau recense les risques techniques et opérationnels identifiés, classés par niveau d'impact et de probabilité.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Atténuation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Indisponibilité de RabbitMQ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Majeur (Arrêt total)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Vérification TCP préliminaire au démarrage (CheckRabbitMqAvailibility).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Format JSON invalide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 (Perte de msg)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Validation par modèle RMQEnveloppe et gestionnaire de fallback "Unknown".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Dépassement de crédit 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 (Financier)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Validation systématique via le CrmRepository avant toute mise en 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Boucle infinie de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 (Crash)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Filtrage des messages par Sender et MessageName pour éviter l'auto-réponse.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Perte de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Mineur (Audit)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Double journalisation : locale (Fichiers .log) et distante (File logs).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Légende des niveaux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■ </w:t>
      </w:r>
      <w:r>
        <w:rPr>
          <w:rFonts w:ascii="Arial" w:cs="Arial" w:eastAsia="Arial" w:hAnsi="Arial"/>
          <w:b/>
          <w:bCs/>
          <w:color w:val="2F2F2F"/>
          <w:sz w:val="20"/>
          <w:szCs w:val="20"/>
        </w:rPr>
        <w:t xml:space="preserve">Critique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Risque pouvant entraîner une interruption totale du service.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FF0000"/>
          <w:sz w:val="20"/>
          <w:szCs w:val="20"/>
        </w:rPr>
        <w:t xml:space="preserve">■ </w:t>
      </w:r>
      <w:r>
        <w:rPr>
          <w:rFonts w:ascii="Arial" w:cs="Arial" w:eastAsia="Arial" w:hAnsi="Arial"/>
          <w:b/>
          <w:bCs/>
          <w:color w:val="2F2F2F"/>
          <w:sz w:val="20"/>
          <w:szCs w:val="20"/>
        </w:rPr>
        <w:t xml:space="preserve">Majeur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Impact significatif sur la disponibilité ou l'intégrité.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FFC000"/>
          <w:sz w:val="20"/>
          <w:szCs w:val="20"/>
        </w:rPr>
        <w:t xml:space="preserve">■ </w:t>
      </w:r>
      <w:r>
        <w:rPr>
          <w:rFonts w:ascii="Arial" w:cs="Arial" w:eastAsia="Arial" w:hAnsi="Arial"/>
          <w:b/>
          <w:bCs/>
          <w:color w:val="2F2F2F"/>
          <w:sz w:val="20"/>
          <w:szCs w:val="20"/>
        </w:rPr>
        <w:t xml:space="preserve">Moyen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Perturbation partielle, récupérable avec atténuation.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70AD47"/>
          <w:sz w:val="20"/>
          <w:szCs w:val="20"/>
        </w:rPr>
        <w:t xml:space="preserve">■ </w:t>
      </w:r>
      <w:r>
        <w:rPr>
          <w:rFonts w:ascii="Arial" w:cs="Arial" w:eastAsia="Arial" w:hAnsi="Arial"/>
          <w:b/>
          <w:bCs/>
          <w:color w:val="2F2F2F"/>
          <w:sz w:val="20"/>
          <w:szCs w:val="20"/>
        </w:rPr>
        <w:t xml:space="preserve">Mineur / Faible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Impact limité, risque marginal.</w:t>
      </w:r>
    </w:p>
    <w:p>
      <w:pPr>
        <w:pStyle w:val="Heading1"/>
        <w:spacing w:before="360"/>
      </w:pPr>
      <w:r>
        <w:rPr>
          <w:rFonts w:ascii="Arial" w:cs="Arial" w:eastAsia="Arial" w:hAnsi="Arial"/>
        </w:rPr>
        <w:t xml:space="preserve">2. Stratégie de Reprise</w:t>
      </w:r>
    </w:p>
    <w:p>
      <w:pPr>
        <w:spacing w:after="200" w:before="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En cas de panne réseau, le CRM peut être redémarré. Les messages non-acquittés (NACK) restent dans la file RabbitMQ et seront retraités automatiquement dès le retour en ligne.</w:t>
      </w:r>
    </w:p>
    <w:p>
      <w:pPr>
        <w:pBdr>
          <w:top w:val="single" w:color="BDD7EE" w:sz="1" w:space="2"/>
          <w:bottom w:val="single" w:color="BDD7EE" w:sz="1" w:space="2"/>
          <w:left w:val="single" w:color="2E75B6" w:sz="18" w:space="4"/>
          <w:right w:val="single" w:color="BDD7EE" w:sz="1" w:space="2"/>
        </w:pBdr>
        <w:shd w:fill="EBF3FF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La robustesse du système repose sur le mécanisme d'acquittement de RabbitMQ. Aucune perte de message n'est attendue en cas de redémarrage planifié ou imprévu.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Document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Analyse des Risques — Module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2026-05-01T10:16:54.793Z</dcterms:created>
  <dcterms:modified xsi:type="dcterms:W3CDTF">2026-05-01T10:16:54.794Z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