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0"/>
        <w:rPr/>
      </w:pPr>
      <w:r>
        <w:rPr/>
      </w:r>
    </w:p>
    <w:p>
      <w:pPr>
        <w:pStyle w:val="Normal"/>
        <w:spacing w:before="0" w:after="60"/>
        <w:jc w:val="center"/>
        <w:rPr/>
      </w:pPr>
      <w:r>
        <w:rPr>
          <w:rFonts w:eastAsia="Arial" w:cs="Arial"/>
          <w:b/>
          <w:bCs/>
          <w:color w:val="555555"/>
          <w:sz w:val="26"/>
          <w:szCs w:val="26"/>
        </w:rPr>
        <w:t>COMSATS UNIVERSITY ISLAMABAD</w:t>
      </w:r>
    </w:p>
    <w:p>
      <w:pPr>
        <w:pStyle w:val="Normal"/>
        <w:spacing w:before="0" w:after="180"/>
        <w:jc w:val="center"/>
        <w:rPr/>
      </w:pPr>
      <w:r>
        <w:rPr>
          <w:rFonts w:eastAsia="Arial" w:cs="Arial"/>
          <w:color w:val="555555"/>
          <w:sz w:val="22"/>
          <w:szCs w:val="22"/>
        </w:rPr>
        <w:t>Department of Computer Science &amp; Engineering</w:t>
      </w:r>
    </w:p>
    <w:p>
      <w:pPr>
        <w:pStyle w:val="Normal"/>
        <w:shd w:val="clear" w:fill="1A5C38"/>
        <w:spacing w:before="140" w:after="140"/>
        <w:ind w:start="300" w:end="300"/>
        <w:jc w:val="center"/>
        <w:rPr/>
      </w:pPr>
      <w:r>
        <w:rPr>
          <w:rFonts w:eastAsia="Arial" w:cs="Arial"/>
          <w:b/>
          <w:bCs/>
          <w:color w:val="FFFFFF"/>
          <w:sz w:val="32"/>
          <w:szCs w:val="32"/>
        </w:rPr>
        <w:t>CYC386 — SECURE SOFTWARE DESIGN &amp; DEVELOPMENT</w:t>
      </w:r>
    </w:p>
    <w:p>
      <w:pPr>
        <w:pStyle w:val="Normal"/>
        <w:spacing w:before="140" w:after="60"/>
        <w:jc w:val="center"/>
        <w:rPr/>
      </w:pPr>
      <w:r>
        <w:rPr>
          <w:rFonts w:eastAsia="Arial" w:cs="Arial"/>
          <w:b/>
          <w:bCs/>
          <w:color w:val="1A5C38"/>
          <w:sz w:val="38"/>
          <w:szCs w:val="38"/>
        </w:rPr>
        <w:t xml:space="preserve">Software Requirement Document </w:t>
      </w:r>
    </w:p>
    <w:p>
      <w:pPr>
        <w:pStyle w:val="Normal"/>
        <w:spacing w:before="0" w:after="300"/>
        <w:jc w:val="center"/>
        <w:rPr/>
      </w:pPr>
      <w:r>
        <w:rPr>
          <w:rFonts w:eastAsia="Arial" w:cs="Arial"/>
          <w:b/>
          <w:bCs/>
          <w:color w:val="2E7D52"/>
          <w:sz w:val="26"/>
          <w:szCs w:val="26"/>
        </w:rPr>
        <w:t>SecureVault Bank — Secure Banking Platform</w:t>
      </w:r>
    </w:p>
    <w:p>
      <w:pPr>
        <w:pStyle w:val="Normal"/>
        <w:pBdr>
          <w:top w:val="single" w:sz="4" w:space="0" w:color="4CAF7D"/>
        </w:pBdr>
        <w:spacing w:before="160" w:after="60"/>
        <w:jc w:val="center"/>
        <w:rPr/>
      </w:pPr>
      <w:r>
        <w:rPr/>
      </w:r>
    </w:p>
    <w:p>
      <w:pPr>
        <w:pStyle w:val="Normal"/>
        <w:spacing w:before="40" w:after="40"/>
        <w:jc w:val="center"/>
        <w:rPr/>
      </w:pPr>
      <w:r>
        <w:rPr>
          <w:rFonts w:eastAsia="Arial" w:cs="Arial"/>
          <w:b/>
          <w:bCs/>
          <w:color w:val="1A5C38"/>
          <w:sz w:val="22"/>
          <w:szCs w:val="22"/>
        </w:rPr>
        <w:t xml:space="preserve">Prepared by:  </w:t>
      </w:r>
      <w:r>
        <w:rPr>
          <w:rFonts w:eastAsia="Arial" w:cs="Arial"/>
          <w:color w:val="2C2C2C"/>
          <w:sz w:val="22"/>
          <w:szCs w:val="22"/>
        </w:rPr>
        <w:t>Zainab (Security Analyst — Member 2)</w:t>
      </w:r>
    </w:p>
    <w:p>
      <w:pPr>
        <w:pStyle w:val="Normal"/>
        <w:spacing w:before="40" w:after="40"/>
        <w:jc w:val="center"/>
        <w:rPr/>
      </w:pPr>
      <w:r>
        <w:rPr>
          <w:rFonts w:eastAsia="Arial" w:cs="Arial"/>
          <w:b/>
          <w:bCs/>
          <w:color w:val="1A5C38"/>
          <w:sz w:val="22"/>
          <w:szCs w:val="22"/>
        </w:rPr>
        <w:t xml:space="preserve">Instructor:  </w:t>
      </w:r>
      <w:r>
        <w:rPr>
          <w:rFonts w:eastAsia="Arial" w:cs="Arial"/>
          <w:color w:val="2C2C2C"/>
          <w:sz w:val="22"/>
          <w:szCs w:val="22"/>
        </w:rPr>
        <w:t>Engr. Muhammad Ahmad Nawaz</w:t>
      </w:r>
    </w:p>
    <w:p>
      <w:pPr>
        <w:pStyle w:val="Normal"/>
        <w:spacing w:before="40" w:after="40"/>
        <w:jc w:val="center"/>
        <w:rPr/>
      </w:pPr>
      <w:r>
        <w:rPr>
          <w:rFonts w:eastAsia="Arial" w:cs="Arial"/>
          <w:b/>
          <w:bCs/>
          <w:color w:val="1A5C38"/>
          <w:sz w:val="22"/>
          <w:szCs w:val="22"/>
        </w:rPr>
        <w:t xml:space="preserve">Course:  </w:t>
      </w:r>
      <w:r>
        <w:rPr>
          <w:rFonts w:eastAsia="Arial" w:cs="Arial"/>
          <w:color w:val="2C2C2C"/>
          <w:sz w:val="22"/>
          <w:szCs w:val="22"/>
        </w:rPr>
        <w:t>CYC386 — Secure Software Design &amp; Development</w:t>
      </w:r>
    </w:p>
    <w:p>
      <w:pPr>
        <w:pStyle w:val="Normal"/>
        <w:spacing w:before="40" w:after="40"/>
        <w:jc w:val="center"/>
        <w:rPr/>
      </w:pPr>
      <w:r>
        <w:rPr>
          <w:rFonts w:eastAsia="Arial" w:cs="Arial"/>
          <w:b/>
          <w:bCs/>
          <w:color w:val="1A5C38"/>
          <w:sz w:val="22"/>
          <w:szCs w:val="22"/>
        </w:rPr>
        <w:t xml:space="preserve">Semester:  </w:t>
      </w:r>
      <w:r>
        <w:rPr>
          <w:rFonts w:eastAsia="Arial" w:cs="Arial"/>
          <w:color w:val="2C2C2C"/>
          <w:sz w:val="22"/>
          <w:szCs w:val="22"/>
        </w:rPr>
        <w:t>Spring 2026</w:t>
      </w:r>
    </w:p>
    <w:p>
      <w:pPr>
        <w:pStyle w:val="Normal"/>
        <w:spacing w:before="40" w:after="40"/>
        <w:jc w:val="center"/>
        <w:rPr/>
      </w:pPr>
      <w:r>
        <w:rPr>
          <w:rFonts w:eastAsia="Arial" w:cs="Arial"/>
          <w:b/>
          <w:bCs/>
          <w:color w:val="1A5C38"/>
          <w:sz w:val="22"/>
          <w:szCs w:val="22"/>
        </w:rPr>
        <w:t xml:space="preserve">Demo Date:  </w:t>
      </w:r>
      <w:r>
        <w:rPr>
          <w:rFonts w:eastAsia="Arial" w:cs="Arial"/>
          <w:color w:val="2C2C2C"/>
          <w:sz w:val="22"/>
          <w:szCs w:val="22"/>
        </w:rPr>
        <w:t>June 12, 2026</w:t>
      </w:r>
      <w:r>
        <w:br w:type="page"/>
      </w:r>
    </w:p>
    <w:p>
      <w:pPr>
        <w:pStyle w:val="Heading1"/>
        <w:pBdr>
          <w:bottom w:val="single" w:sz="6" w:space="1" w:color="4CAF7D"/>
        </w:pBdr>
        <w:shd w:val="clear" w:fill="1A5C38"/>
        <w:spacing w:before="0" w:after="120"/>
        <w:ind w:hanging="0" w:start="0"/>
        <w:rPr/>
      </w:pPr>
      <w:r>
        <w:rPr>
          <w:rFonts w:eastAsia="Arial" w:cs="Arial" w:ascii="Arial" w:hAnsi="Arial"/>
          <w:b/>
          <w:bCs/>
          <w:color w:val="FFFFFF"/>
          <w:sz w:val="32"/>
          <w:szCs w:val="32"/>
        </w:rPr>
        <w:t>SECURITY REQUIREMENTS DOCUMENT (SRD)</w:t>
      </w:r>
    </w:p>
    <w:p>
      <w:pPr>
        <w:pStyle w:val="Heading2"/>
        <w:pBdr>
          <w:bottom w:val="single" w:sz="2" w:space="1" w:color="4CAF7D"/>
        </w:pBdr>
        <w:spacing w:before="220" w:after="100"/>
        <w:rPr/>
      </w:pPr>
      <w:r>
        <w:rPr>
          <w:rFonts w:eastAsia="Arial" w:cs="Arial" w:ascii="Arial" w:hAnsi="Arial"/>
          <w:b/>
          <w:bCs/>
          <w:color w:val="1A5C38"/>
          <w:sz w:val="26"/>
          <w:szCs w:val="26"/>
        </w:rPr>
        <w:t>1.1 Project Scope &amp; System Description</w:t>
      </w:r>
    </w:p>
    <w:p>
      <w:pPr>
        <w:pStyle w:val="Normal"/>
        <w:spacing w:before="70" w:after="70"/>
        <w:rPr/>
      </w:pPr>
      <w:r>
        <w:rPr>
          <w:rFonts w:eastAsia="Arial" w:cs="Arial"/>
          <w:color w:val="2C2C2C"/>
          <w:sz w:val="22"/>
          <w:szCs w:val="22"/>
        </w:rPr>
        <w:t>SecureVault Bank is a microservices-based, cloud-native, secure banking platform built using Zero Trust architecture principles. The system provides customers with secure account management, balance enquiry, and money transfer capabilities, while giving administrators full oversight of all users and transactions.</w:t>
      </w:r>
    </w:p>
    <w:p>
      <w:pPr>
        <w:pStyle w:val="Heading3"/>
        <w:spacing w:before="160" w:after="70"/>
        <w:rPr/>
      </w:pPr>
      <w:r>
        <w:rPr>
          <w:rFonts w:eastAsia="Arial" w:cs="Arial" w:ascii="Arial" w:hAnsi="Arial"/>
          <w:b/>
          <w:bCs/>
          <w:color w:val="2E7D52"/>
          <w:sz w:val="23"/>
          <w:szCs w:val="23"/>
        </w:rPr>
        <w:t>System Components</w:t>
      </w:r>
    </w:p>
    <w:tbl>
      <w:tblPr>
        <w:tblW w:w="9360" w:type="dxa"/>
        <w:jc w:val="start"/>
        <w:tblInd w:w="0" w:type="dxa"/>
        <w:tblLayout w:type="fixed"/>
        <w:tblCellMar>
          <w:top w:w="80" w:type="dxa"/>
          <w:start w:w="120" w:type="dxa"/>
          <w:bottom w:w="80" w:type="dxa"/>
          <w:end w:w="120" w:type="dxa"/>
        </w:tblCellMar>
      </w:tblPr>
      <w:tblGrid>
        <w:gridCol w:w="2000"/>
        <w:gridCol w:w="700"/>
        <w:gridCol w:w="3500"/>
        <w:gridCol w:w="3160"/>
      </w:tblGrid>
      <w:tr>
        <w:trPr>
          <w:tblHeader w:val="true"/>
        </w:trPr>
        <w:tc>
          <w:tcPr>
            <w:tcW w:w="200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Service</w:t>
            </w:r>
          </w:p>
        </w:tc>
        <w:tc>
          <w:tcPr>
            <w:tcW w:w="70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Port</w:t>
            </w:r>
          </w:p>
        </w:tc>
        <w:tc>
          <w:tcPr>
            <w:tcW w:w="350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Functionality</w:t>
            </w:r>
          </w:p>
        </w:tc>
        <w:tc>
          <w:tcPr>
            <w:tcW w:w="316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Technology</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auth-service</w:t>
            </w:r>
          </w:p>
        </w:tc>
        <w:tc>
          <w:tcPr>
            <w:tcW w:w="7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8001</w:t>
            </w:r>
          </w:p>
        </w:tc>
        <w:tc>
          <w:tcPr>
            <w:tcW w:w="3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User registration, login, logout, JWT RS256 token issuance</w:t>
            </w:r>
          </w:p>
        </w:tc>
        <w:tc>
          <w:tcPr>
            <w:tcW w:w="31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Python FastAPI + Keycloak + Redis</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user-service</w:t>
            </w:r>
          </w:p>
        </w:tc>
        <w:tc>
          <w:tcPr>
            <w:tcW w:w="7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8002</w:t>
            </w:r>
          </w:p>
        </w:tc>
        <w:tc>
          <w:tcPr>
            <w:tcW w:w="350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User profile management, balance enquiry, admin user listing</w:t>
            </w:r>
          </w:p>
        </w:tc>
        <w:tc>
          <w:tcPr>
            <w:tcW w:w="31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Python FastAPI + PostgreSQL + RBAC</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transaction-service</w:t>
            </w:r>
          </w:p>
        </w:tc>
        <w:tc>
          <w:tcPr>
            <w:tcW w:w="7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8003</w:t>
            </w:r>
          </w:p>
        </w:tc>
        <w:tc>
          <w:tcPr>
            <w:tcW w:w="350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Send money, transaction history, admin all-transactions view</w:t>
            </w:r>
          </w:p>
        </w:tc>
        <w:tc>
          <w:tcPr>
            <w:tcW w:w="31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Python FastAPI + PostgreSQL + Kafka</w:t>
            </w:r>
          </w:p>
        </w:tc>
      </w:tr>
    </w:tbl>
    <w:p>
      <w:pPr>
        <w:pStyle w:val="Heading3"/>
        <w:spacing w:before="160" w:after="70"/>
        <w:rPr/>
      </w:pPr>
      <w:r>
        <w:rPr>
          <w:rFonts w:eastAsia="Arial" w:cs="Arial" w:ascii="Arial" w:hAnsi="Arial"/>
          <w:b/>
          <w:bCs/>
          <w:color w:val="2E7D52"/>
          <w:sz w:val="23"/>
          <w:szCs w:val="23"/>
        </w:rPr>
        <w:t>User Roles</w:t>
      </w:r>
    </w:p>
    <w:p>
      <w:pPr>
        <w:pStyle w:val="ListParagraph"/>
        <w:numPr>
          <w:ilvl w:val="0"/>
          <w:numId w:val="3"/>
        </w:numPr>
        <w:spacing w:before="40" w:after="40"/>
        <w:rPr/>
      </w:pPr>
      <w:r>
        <w:rPr>
          <w:rFonts w:eastAsia="Arial" w:cs="Arial"/>
          <w:b w:val="false"/>
          <w:bCs w:val="false"/>
          <w:color w:val="2C2C2C"/>
          <w:sz w:val="22"/>
          <w:szCs w:val="22"/>
        </w:rPr>
        <w:t>Customer — can register, login, view own profile/balance, send money, view own transaction history</w:t>
      </w:r>
    </w:p>
    <w:p>
      <w:pPr>
        <w:pStyle w:val="ListParagraph"/>
        <w:numPr>
          <w:ilvl w:val="0"/>
          <w:numId w:val="1"/>
        </w:numPr>
        <w:spacing w:before="40" w:after="40"/>
        <w:rPr/>
      </w:pPr>
      <w:r>
        <w:rPr>
          <w:rFonts w:eastAsia="Arial" w:cs="Arial"/>
          <w:b w:val="false"/>
          <w:bCs w:val="false"/>
          <w:color w:val="2C2C2C"/>
          <w:sz w:val="22"/>
          <w:szCs w:val="22"/>
        </w:rPr>
        <w:t>Admin — can view all users, all transactions, manage accounts; elevated privilege role</w:t>
      </w:r>
    </w:p>
    <w:p>
      <w:pPr>
        <w:pStyle w:val="Heading2"/>
        <w:pBdr>
          <w:bottom w:val="single" w:sz="2" w:space="1" w:color="4CAF7D"/>
        </w:pBdr>
        <w:spacing w:before="220" w:after="100"/>
        <w:rPr/>
      </w:pPr>
      <w:r>
        <w:rPr>
          <w:rFonts w:eastAsia="Arial" w:cs="Arial" w:ascii="Arial" w:hAnsi="Arial"/>
          <w:b/>
          <w:bCs/>
          <w:color w:val="1A5C38"/>
          <w:sz w:val="26"/>
          <w:szCs w:val="26"/>
        </w:rPr>
        <w:t>1.2 Stakeholder Identification</w:t>
      </w:r>
    </w:p>
    <w:tbl>
      <w:tblPr>
        <w:tblW w:w="10080" w:type="dxa"/>
        <w:jc w:val="start"/>
        <w:tblInd w:w="0" w:type="dxa"/>
        <w:tblLayout w:type="fixed"/>
        <w:tblCellMar>
          <w:top w:w="80" w:type="dxa"/>
          <w:start w:w="120" w:type="dxa"/>
          <w:bottom w:w="80" w:type="dxa"/>
          <w:end w:w="120" w:type="dxa"/>
        </w:tblCellMar>
      </w:tblPr>
      <w:tblGrid>
        <w:gridCol w:w="2200"/>
        <w:gridCol w:w="2199"/>
        <w:gridCol w:w="5681"/>
      </w:tblGrid>
      <w:tr>
        <w:trPr>
          <w:tblHeader w:val="true"/>
        </w:trPr>
        <w:tc>
          <w:tcPr>
            <w:tcW w:w="220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Stakeholder</w:t>
            </w:r>
          </w:p>
        </w:tc>
        <w:tc>
          <w:tcPr>
            <w:tcW w:w="2199"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Role</w:t>
            </w:r>
          </w:p>
        </w:tc>
        <w:tc>
          <w:tcPr>
            <w:tcW w:w="5681"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Security Interest</w:t>
            </w:r>
          </w:p>
        </w:tc>
      </w:tr>
      <w:tr>
        <w:trPr/>
        <w:tc>
          <w:tcPr>
            <w:tcW w:w="22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Bank Customers</w:t>
            </w:r>
          </w:p>
        </w:tc>
        <w:tc>
          <w:tcPr>
            <w:tcW w:w="2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End users of the platform</w:t>
            </w:r>
          </w:p>
        </w:tc>
        <w:tc>
          <w:tcPr>
            <w:tcW w:w="568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Confidentiality of balance, transaction privacy, account security</w:t>
            </w:r>
          </w:p>
        </w:tc>
      </w:tr>
      <w:tr>
        <w:trPr/>
        <w:tc>
          <w:tcPr>
            <w:tcW w:w="22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Bank Administrators</w:t>
            </w:r>
          </w:p>
        </w:tc>
        <w:tc>
          <w:tcPr>
            <w:tcW w:w="2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Privileged users managing the platform</w:t>
            </w:r>
          </w:p>
        </w:tc>
        <w:tc>
          <w:tcPr>
            <w:tcW w:w="568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Integrity of all data, audit trail, access control enforcement</w:t>
            </w:r>
          </w:p>
        </w:tc>
      </w:tr>
      <w:tr>
        <w:trPr/>
        <w:tc>
          <w:tcPr>
            <w:tcW w:w="22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Development Team</w:t>
            </w:r>
          </w:p>
        </w:tc>
        <w:tc>
          <w:tcPr>
            <w:tcW w:w="2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Esha, Zainab, Husna, Zarmeena</w:t>
            </w:r>
          </w:p>
        </w:tc>
        <w:tc>
          <w:tcPr>
            <w:tcW w:w="568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Secure SDLC compliance, vulnerability-free codebase</w:t>
            </w:r>
          </w:p>
        </w:tc>
      </w:tr>
      <w:tr>
        <w:trPr/>
        <w:tc>
          <w:tcPr>
            <w:tcW w:w="22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Instructor</w:t>
            </w:r>
          </w:p>
        </w:tc>
        <w:tc>
          <w:tcPr>
            <w:tcW w:w="2199"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Engr. Muhammad Ahmad Nawaz</w:t>
            </w:r>
          </w:p>
        </w:tc>
        <w:tc>
          <w:tcPr>
            <w:tcW w:w="5681"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Full security framework compliance, professional implementation</w:t>
            </w:r>
          </w:p>
        </w:tc>
      </w:tr>
      <w:tr>
        <w:trPr/>
        <w:tc>
          <w:tcPr>
            <w:tcW w:w="22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Regulatory Bodies</w:t>
            </w:r>
          </w:p>
        </w:tc>
        <w:tc>
          <w:tcPr>
            <w:tcW w:w="2199"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PCI-DSS aligned financial regulations</w:t>
            </w:r>
          </w:p>
        </w:tc>
        <w:tc>
          <w:tcPr>
            <w:tcW w:w="5681"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Data protection, encryption standards, audit logging</w:t>
            </w:r>
          </w:p>
        </w:tc>
      </w:tr>
    </w:tbl>
    <w:p>
      <w:pPr>
        <w:pStyle w:val="Heading2"/>
        <w:pBdr>
          <w:bottom w:val="single" w:sz="2" w:space="1" w:color="4CAF7D"/>
        </w:pBdr>
        <w:spacing w:before="220" w:after="100"/>
        <w:rPr/>
      </w:pPr>
      <w:r>
        <w:rPr>
          <w:rFonts w:eastAsia="Arial" w:cs="Arial" w:ascii="Arial" w:hAnsi="Arial"/>
          <w:b/>
          <w:bCs/>
          <w:color w:val="1A5C38"/>
          <w:sz w:val="26"/>
          <w:szCs w:val="26"/>
        </w:rPr>
        <w:t>1.3 Security Objectives — CIA Triad</w:t>
      </w:r>
    </w:p>
    <w:tbl>
      <w:tblPr>
        <w:tblW w:w="10080" w:type="dxa"/>
        <w:jc w:val="start"/>
        <w:tblInd w:w="0" w:type="dxa"/>
        <w:tblLayout w:type="fixed"/>
        <w:tblCellMar>
          <w:top w:w="80" w:type="dxa"/>
          <w:start w:w="120" w:type="dxa"/>
          <w:bottom w:w="80" w:type="dxa"/>
          <w:end w:w="120" w:type="dxa"/>
        </w:tblCellMar>
      </w:tblPr>
      <w:tblGrid>
        <w:gridCol w:w="1640"/>
        <w:gridCol w:w="2580"/>
        <w:gridCol w:w="5860"/>
      </w:tblGrid>
      <w:tr>
        <w:trPr>
          <w:tblHeader w:val="true"/>
        </w:trPr>
        <w:tc>
          <w:tcPr>
            <w:tcW w:w="164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Objective</w:t>
            </w:r>
          </w:p>
        </w:tc>
        <w:tc>
          <w:tcPr>
            <w:tcW w:w="258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Definition</w:t>
            </w:r>
          </w:p>
        </w:tc>
        <w:tc>
          <w:tcPr>
            <w:tcW w:w="586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Implementation in SecureVault Bank</w:t>
            </w:r>
          </w:p>
        </w:tc>
      </w:tr>
      <w:tr>
        <w:trPr/>
        <w:tc>
          <w:tcPr>
            <w:tcW w:w="164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Confidentiality</w:t>
            </w:r>
          </w:p>
        </w:tc>
        <w:tc>
          <w:tcPr>
            <w:tcW w:w="258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Customer data must only be accessible to authorised users</w:t>
            </w:r>
          </w:p>
        </w:tc>
        <w:tc>
          <w:tcPr>
            <w:tcW w:w="58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JWT RS256 auth on all endpoints; RBAC enforcing customer sees only own data; AES-256 encryption at rest; TLS 1.3 in transit</w:t>
            </w:r>
          </w:p>
        </w:tc>
      </w:tr>
      <w:tr>
        <w:trPr/>
        <w:tc>
          <w:tcPr>
            <w:tcW w:w="164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Integrity</w:t>
            </w:r>
          </w:p>
        </w:tc>
        <w:tc>
          <w:tcPr>
            <w:tcW w:w="258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Transaction amounts and account balances must not be tampered with</w:t>
            </w:r>
          </w:p>
        </w:tc>
        <w:tc>
          <w:tcPr>
            <w:tcW w:w="58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HMAC-SHA256 Kafka event signing; parameterised SQL queries; input validation on all fields; immutable audit logs in QRadar</w:t>
            </w:r>
          </w:p>
        </w:tc>
      </w:tr>
      <w:tr>
        <w:trPr/>
        <w:tc>
          <w:tcPr>
            <w:tcW w:w="164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Availability</w:t>
            </w:r>
          </w:p>
        </w:tc>
        <w:tc>
          <w:tcPr>
            <w:tcW w:w="258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System must remain available under attack conditions</w:t>
            </w:r>
          </w:p>
        </w:tc>
        <w:tc>
          <w:tcPr>
            <w:tcW w:w="58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Kubernetes HPA autoscaling; Redis rate limiting (5 attempts/15 min); DoS protection at API Gateway; circuit breakers</w:t>
            </w:r>
          </w:p>
        </w:tc>
      </w:tr>
    </w:tbl>
    <w:p>
      <w:pPr>
        <w:pStyle w:val="Heading2"/>
        <w:pBdr>
          <w:bottom w:val="single" w:sz="2" w:space="1" w:color="4CAF7D"/>
        </w:pBdr>
        <w:spacing w:before="220" w:after="100"/>
        <w:rPr/>
      </w:pPr>
      <w:r>
        <w:rPr>
          <w:rFonts w:eastAsia="Arial" w:cs="Arial" w:ascii="Arial" w:hAnsi="Arial"/>
          <w:b/>
          <w:bCs/>
          <w:color w:val="1A5C38"/>
          <w:sz w:val="26"/>
          <w:szCs w:val="26"/>
        </w:rPr>
        <w:t>1.4 Functional Security Requirements</w:t>
      </w:r>
    </w:p>
    <w:p>
      <w:pPr>
        <w:pStyle w:val="Heading3"/>
        <w:spacing w:before="160" w:after="70"/>
        <w:rPr/>
      </w:pPr>
      <w:r>
        <w:rPr>
          <w:rFonts w:eastAsia="Arial" w:cs="Arial" w:ascii="Arial" w:hAnsi="Arial"/>
          <w:b/>
          <w:bCs/>
          <w:color w:val="2E7D52"/>
          <w:sz w:val="23"/>
          <w:szCs w:val="23"/>
        </w:rPr>
        <w:t>Authentication &amp; Session Management</w:t>
      </w:r>
    </w:p>
    <w:p>
      <w:pPr>
        <w:pStyle w:val="ListParagraph"/>
        <w:numPr>
          <w:ilvl w:val="0"/>
          <w:numId w:val="1"/>
        </w:numPr>
        <w:spacing w:before="40" w:after="40"/>
        <w:rPr/>
      </w:pPr>
      <w:r>
        <w:rPr>
          <w:rFonts w:eastAsia="Arial" w:cs="Arial"/>
          <w:b w:val="false"/>
          <w:bCs w:val="false"/>
          <w:color w:val="2C2C2C"/>
          <w:sz w:val="22"/>
          <w:szCs w:val="22"/>
        </w:rPr>
        <w:t>REQ-AUTH-01: All users must authenticate via POST /auth/login before accessing any protected endpoint</w:t>
      </w:r>
    </w:p>
    <w:p>
      <w:pPr>
        <w:pStyle w:val="ListParagraph"/>
        <w:numPr>
          <w:ilvl w:val="0"/>
          <w:numId w:val="1"/>
        </w:numPr>
        <w:spacing w:before="40" w:after="40"/>
        <w:rPr/>
      </w:pPr>
      <w:r>
        <w:rPr>
          <w:rFonts w:eastAsia="Arial" w:cs="Arial"/>
          <w:b w:val="false"/>
          <w:bCs w:val="false"/>
          <w:color w:val="2C2C2C"/>
          <w:sz w:val="22"/>
          <w:szCs w:val="22"/>
        </w:rPr>
        <w:t>REQ-AUTH-02: JWT tokens must use RS256 asymmetric signing — HS256 is explicitly forbidden</w:t>
      </w:r>
    </w:p>
    <w:p>
      <w:pPr>
        <w:pStyle w:val="ListParagraph"/>
        <w:numPr>
          <w:ilvl w:val="0"/>
          <w:numId w:val="1"/>
        </w:numPr>
        <w:spacing w:before="40" w:after="40"/>
        <w:rPr/>
      </w:pPr>
      <w:r>
        <w:rPr>
          <w:rFonts w:eastAsia="Arial" w:cs="Arial"/>
          <w:b w:val="false"/>
          <w:bCs w:val="false"/>
          <w:color w:val="2C2C2C"/>
          <w:sz w:val="22"/>
          <w:szCs w:val="22"/>
        </w:rPr>
        <w:t>REQ-AUTH-03: Access tokens must expire after 15 minutes; refresh tokens after 7 days with rotation</w:t>
      </w:r>
    </w:p>
    <w:p>
      <w:pPr>
        <w:pStyle w:val="ListParagraph"/>
        <w:numPr>
          <w:ilvl w:val="0"/>
          <w:numId w:val="1"/>
        </w:numPr>
        <w:spacing w:before="40" w:after="40"/>
        <w:rPr/>
      </w:pPr>
      <w:r>
        <w:rPr>
          <w:rFonts w:eastAsia="Arial" w:cs="Arial"/>
          <w:b w:val="false"/>
          <w:bCs w:val="false"/>
          <w:color w:val="2C2C2C"/>
          <w:sz w:val="22"/>
          <w:szCs w:val="22"/>
        </w:rPr>
        <w:t>REQ-AUTH-04: Failed login attempts must be rate-limited — maximum 5 attempts per 15-minute window per IP</w:t>
      </w:r>
    </w:p>
    <w:p>
      <w:pPr>
        <w:pStyle w:val="ListParagraph"/>
        <w:numPr>
          <w:ilvl w:val="0"/>
          <w:numId w:val="1"/>
        </w:numPr>
        <w:spacing w:before="40" w:after="40"/>
        <w:rPr/>
      </w:pPr>
      <w:r>
        <w:rPr>
          <w:rFonts w:eastAsia="Arial" w:cs="Arial"/>
          <w:b w:val="false"/>
          <w:bCs w:val="false"/>
          <w:color w:val="2C2C2C"/>
          <w:sz w:val="22"/>
          <w:szCs w:val="22"/>
        </w:rPr>
        <w:t>REQ-AUTH-05: Passwords must be hashed using bcrypt with minimum cost factor 12</w:t>
      </w:r>
    </w:p>
    <w:p>
      <w:pPr>
        <w:pStyle w:val="ListParagraph"/>
        <w:numPr>
          <w:ilvl w:val="0"/>
          <w:numId w:val="1"/>
        </w:numPr>
        <w:spacing w:before="40" w:after="40"/>
        <w:rPr/>
      </w:pPr>
      <w:r>
        <w:rPr>
          <w:rFonts w:eastAsia="Arial" w:cs="Arial"/>
          <w:b w:val="false"/>
          <w:bCs w:val="false"/>
          <w:color w:val="2C2C2C"/>
          <w:sz w:val="22"/>
          <w:szCs w:val="22"/>
        </w:rPr>
        <w:t>REQ-AUTH-06: POST /auth/logout must invalidate the session token in Redis immediately</w:t>
      </w:r>
    </w:p>
    <w:p>
      <w:pPr>
        <w:pStyle w:val="Heading3"/>
        <w:spacing w:before="160" w:after="70"/>
        <w:rPr/>
      </w:pPr>
      <w:r>
        <w:rPr>
          <w:rFonts w:eastAsia="Arial" w:cs="Arial" w:ascii="Arial" w:hAnsi="Arial"/>
          <w:b/>
          <w:bCs/>
          <w:color w:val="2E7D52"/>
          <w:sz w:val="23"/>
          <w:szCs w:val="23"/>
        </w:rPr>
        <w:t>Authorisation &amp; Access Control</w:t>
      </w:r>
    </w:p>
    <w:p>
      <w:pPr>
        <w:pStyle w:val="ListParagraph"/>
        <w:numPr>
          <w:ilvl w:val="0"/>
          <w:numId w:val="1"/>
        </w:numPr>
        <w:spacing w:before="40" w:after="40"/>
        <w:rPr/>
      </w:pPr>
      <w:r>
        <w:rPr>
          <w:rFonts w:eastAsia="Arial" w:cs="Arial"/>
          <w:b w:val="false"/>
          <w:bCs w:val="false"/>
          <w:color w:val="2C2C2C"/>
          <w:sz w:val="22"/>
          <w:szCs w:val="22"/>
        </w:rPr>
        <w:t>REQ-AUTHZ-01: GET /users/{id} must only be accessible to admin role — customer accessing it must receive HTTP 403</w:t>
      </w:r>
    </w:p>
    <w:p>
      <w:pPr>
        <w:pStyle w:val="ListParagraph"/>
        <w:numPr>
          <w:ilvl w:val="0"/>
          <w:numId w:val="1"/>
        </w:numPr>
        <w:spacing w:before="40" w:after="40"/>
        <w:rPr/>
      </w:pPr>
      <w:r>
        <w:rPr>
          <w:rFonts w:eastAsia="Arial" w:cs="Arial"/>
          <w:b w:val="false"/>
          <w:bCs w:val="false"/>
          <w:color w:val="2C2C2C"/>
          <w:sz w:val="22"/>
          <w:szCs w:val="22"/>
        </w:rPr>
        <w:t>REQ-AUTHZ-02: GET /users/all must only be accessible to admin role</w:t>
      </w:r>
    </w:p>
    <w:p>
      <w:pPr>
        <w:pStyle w:val="ListParagraph"/>
        <w:numPr>
          <w:ilvl w:val="0"/>
          <w:numId w:val="1"/>
        </w:numPr>
        <w:spacing w:before="40" w:after="40"/>
        <w:rPr/>
      </w:pPr>
      <w:r>
        <w:rPr>
          <w:rFonts w:eastAsia="Arial" w:cs="Arial"/>
          <w:b w:val="false"/>
          <w:bCs w:val="false"/>
          <w:color w:val="2C2C2C"/>
          <w:sz w:val="22"/>
          <w:szCs w:val="22"/>
        </w:rPr>
        <w:t>REQ-AUTHZ-03: GET /transactions/all must only be accessible to admin role</w:t>
      </w:r>
    </w:p>
    <w:p>
      <w:pPr>
        <w:pStyle w:val="ListParagraph"/>
        <w:numPr>
          <w:ilvl w:val="0"/>
          <w:numId w:val="1"/>
        </w:numPr>
        <w:spacing w:before="40" w:after="40"/>
        <w:rPr/>
      </w:pPr>
      <w:r>
        <w:rPr>
          <w:rFonts w:eastAsia="Arial" w:cs="Arial"/>
          <w:b w:val="false"/>
          <w:bCs w:val="false"/>
          <w:color w:val="2C2C2C"/>
          <w:sz w:val="22"/>
          <w:szCs w:val="22"/>
        </w:rPr>
        <w:t>REQ-AUTHZ-04: GET /users/me must return only the authenticated user's own data — never another user's</w:t>
      </w:r>
    </w:p>
    <w:p>
      <w:pPr>
        <w:pStyle w:val="ListParagraph"/>
        <w:numPr>
          <w:ilvl w:val="0"/>
          <w:numId w:val="1"/>
        </w:numPr>
        <w:spacing w:before="40" w:after="40"/>
        <w:rPr/>
      </w:pPr>
      <w:r>
        <w:rPr>
          <w:rFonts w:eastAsia="Arial" w:cs="Arial"/>
          <w:b w:val="false"/>
          <w:bCs w:val="false"/>
          <w:color w:val="2C2C2C"/>
          <w:sz w:val="22"/>
          <w:szCs w:val="22"/>
        </w:rPr>
        <w:t>REQ-AUTHZ-05: POST /transactions/send must validate sender is the authenticated user — no acting on behalf</w:t>
      </w:r>
    </w:p>
    <w:p>
      <w:pPr>
        <w:pStyle w:val="ListParagraph"/>
        <w:numPr>
          <w:ilvl w:val="0"/>
          <w:numId w:val="1"/>
        </w:numPr>
        <w:spacing w:before="40" w:after="40"/>
        <w:rPr/>
      </w:pPr>
      <w:r>
        <w:rPr>
          <w:rFonts w:eastAsia="Arial" w:cs="Arial"/>
          <w:b w:val="false"/>
          <w:bCs w:val="false"/>
          <w:color w:val="2C2C2C"/>
          <w:sz w:val="22"/>
          <w:szCs w:val="22"/>
        </w:rPr>
        <w:t>REQ-AUTHZ-06: RBAC must be enforced at service level — not just API gateway level</w:t>
      </w:r>
    </w:p>
    <w:p>
      <w:pPr>
        <w:pStyle w:val="Heading3"/>
        <w:spacing w:before="160" w:after="70"/>
        <w:rPr/>
      </w:pPr>
      <w:r>
        <w:rPr>
          <w:rFonts w:eastAsia="Arial" w:cs="Arial" w:ascii="Arial" w:hAnsi="Arial"/>
          <w:b/>
          <w:bCs/>
          <w:color w:val="2E7D52"/>
          <w:sz w:val="23"/>
          <w:szCs w:val="23"/>
        </w:rPr>
        <w:t>Input Validation &amp; Injection Prevention</w:t>
      </w:r>
    </w:p>
    <w:p>
      <w:pPr>
        <w:pStyle w:val="ListParagraph"/>
        <w:numPr>
          <w:ilvl w:val="0"/>
          <w:numId w:val="1"/>
        </w:numPr>
        <w:spacing w:before="40" w:after="40"/>
        <w:rPr/>
      </w:pPr>
      <w:r>
        <w:rPr>
          <w:rFonts w:eastAsia="Arial" w:cs="Arial"/>
          <w:b w:val="false"/>
          <w:bCs w:val="false"/>
          <w:color w:val="2C2C2C"/>
          <w:sz w:val="22"/>
          <w:szCs w:val="22"/>
        </w:rPr>
        <w:t>REQ-INPUT-01: All string inputs must be validated for forbidden characters: &lt;, &gt;, ', ", ;, --, DROP, SELECT</w:t>
      </w:r>
    </w:p>
    <w:p>
      <w:pPr>
        <w:pStyle w:val="ListParagraph"/>
        <w:numPr>
          <w:ilvl w:val="0"/>
          <w:numId w:val="1"/>
        </w:numPr>
        <w:spacing w:before="40" w:after="40"/>
        <w:rPr/>
      </w:pPr>
      <w:r>
        <w:rPr>
          <w:rFonts w:eastAsia="Arial" w:cs="Arial"/>
          <w:b w:val="false"/>
          <w:bCs w:val="false"/>
          <w:color w:val="2C2C2C"/>
          <w:sz w:val="22"/>
          <w:szCs w:val="22"/>
        </w:rPr>
        <w:t>REQ-INPUT-02: Transaction amounts must be validated as positive numbers — negative amounts explicitly rejected</w:t>
      </w:r>
    </w:p>
    <w:p>
      <w:pPr>
        <w:pStyle w:val="ListParagraph"/>
        <w:numPr>
          <w:ilvl w:val="0"/>
          <w:numId w:val="1"/>
        </w:numPr>
        <w:spacing w:before="40" w:after="40"/>
        <w:rPr/>
      </w:pPr>
      <w:r>
        <w:rPr>
          <w:rFonts w:eastAsia="Arial" w:cs="Arial"/>
          <w:b w:val="false"/>
          <w:bCs w:val="false"/>
          <w:color w:val="2C2C2C"/>
          <w:sz w:val="22"/>
          <w:szCs w:val="22"/>
        </w:rPr>
        <w:t>REQ-INPUT-03: All database queries must use parameterised statements — raw string concatenation forbidden</w:t>
      </w:r>
    </w:p>
    <w:p>
      <w:pPr>
        <w:pStyle w:val="ListParagraph"/>
        <w:numPr>
          <w:ilvl w:val="0"/>
          <w:numId w:val="1"/>
        </w:numPr>
        <w:spacing w:before="40" w:after="40"/>
        <w:rPr/>
      </w:pPr>
      <w:r>
        <w:rPr>
          <w:rFonts w:eastAsia="Arial" w:cs="Arial"/>
          <w:b w:val="false"/>
          <w:bCs w:val="false"/>
          <w:color w:val="2C2C2C"/>
          <w:sz w:val="22"/>
          <w:szCs w:val="22"/>
        </w:rPr>
        <w:t>REQ-INPUT-04: Maximum input length enforced: username 100 chars, password 255 chars, amount numeric only</w:t>
      </w:r>
    </w:p>
    <w:p>
      <w:pPr>
        <w:pStyle w:val="ListParagraph"/>
        <w:numPr>
          <w:ilvl w:val="0"/>
          <w:numId w:val="1"/>
        </w:numPr>
        <w:spacing w:before="40" w:after="40"/>
        <w:rPr/>
      </w:pPr>
      <w:r>
        <w:rPr>
          <w:rFonts w:eastAsia="Arial" w:cs="Arial"/>
          <w:b w:val="false"/>
          <w:bCs w:val="false"/>
          <w:color w:val="2C2C2C"/>
          <w:sz w:val="22"/>
          <w:szCs w:val="22"/>
        </w:rPr>
        <w:t>REQ-INPUT-05: API responses must never expose stack traces, SQL errors, or internal system details</w:t>
      </w:r>
    </w:p>
    <w:p>
      <w:pPr>
        <w:pStyle w:val="Heading3"/>
        <w:spacing w:before="160" w:after="70"/>
        <w:rPr/>
      </w:pPr>
      <w:r>
        <w:rPr>
          <w:rFonts w:eastAsia="Arial" w:cs="Arial" w:ascii="Arial" w:hAnsi="Arial"/>
          <w:b/>
          <w:bCs/>
          <w:color w:val="2E7D52"/>
          <w:sz w:val="23"/>
          <w:szCs w:val="23"/>
        </w:rPr>
        <w:t>Encryption Requirements</w:t>
      </w:r>
    </w:p>
    <w:p>
      <w:pPr>
        <w:pStyle w:val="ListParagraph"/>
        <w:numPr>
          <w:ilvl w:val="0"/>
          <w:numId w:val="1"/>
        </w:numPr>
        <w:spacing w:before="40" w:after="40"/>
        <w:rPr/>
      </w:pPr>
      <w:r>
        <w:rPr>
          <w:rFonts w:eastAsia="Arial" w:cs="Arial"/>
          <w:b w:val="false"/>
          <w:bCs w:val="false"/>
          <w:color w:val="2C2C2C"/>
          <w:sz w:val="22"/>
          <w:szCs w:val="22"/>
        </w:rPr>
        <w:t>REQ-CRYPTO-01: All data in transit must use TLS 1.3 minimum — TLS 1.0/1.1/1.2 disabled</w:t>
      </w:r>
    </w:p>
    <w:p>
      <w:pPr>
        <w:pStyle w:val="ListParagraph"/>
        <w:numPr>
          <w:ilvl w:val="0"/>
          <w:numId w:val="1"/>
        </w:numPr>
        <w:spacing w:before="40" w:after="40"/>
        <w:rPr/>
      </w:pPr>
      <w:r>
        <w:rPr>
          <w:rFonts w:eastAsia="Arial" w:cs="Arial"/>
          <w:b w:val="false"/>
          <w:bCs w:val="false"/>
          <w:color w:val="2C2C2C"/>
          <w:sz w:val="22"/>
          <w:szCs w:val="22"/>
        </w:rPr>
        <w:t>REQ-CRYPTO-02: All sensitive data at rest (passwords, balances, transaction records) must use AES-256 encryption</w:t>
      </w:r>
    </w:p>
    <w:p>
      <w:pPr>
        <w:pStyle w:val="ListParagraph"/>
        <w:numPr>
          <w:ilvl w:val="0"/>
          <w:numId w:val="1"/>
        </w:numPr>
        <w:spacing w:before="40" w:after="40"/>
        <w:rPr/>
      </w:pPr>
      <w:r>
        <w:rPr>
          <w:rFonts w:eastAsia="Arial" w:cs="Arial"/>
          <w:b w:val="false"/>
          <w:bCs w:val="false"/>
          <w:color w:val="2C2C2C"/>
          <w:sz w:val="22"/>
          <w:szCs w:val="22"/>
        </w:rPr>
        <w:t>REQ-CRYPTO-03: JWT signing keys must be stored in HashiCorp Vault — never in environment variables or code</w:t>
      </w:r>
    </w:p>
    <w:p>
      <w:pPr>
        <w:pStyle w:val="ListParagraph"/>
        <w:numPr>
          <w:ilvl w:val="0"/>
          <w:numId w:val="1"/>
        </w:numPr>
        <w:spacing w:before="40" w:after="40"/>
        <w:rPr/>
      </w:pPr>
      <w:r>
        <w:rPr>
          <w:rFonts w:eastAsia="Arial" w:cs="Arial"/>
          <w:b w:val="false"/>
          <w:bCs w:val="false"/>
          <w:color w:val="2C2C2C"/>
          <w:sz w:val="22"/>
          <w:szCs w:val="22"/>
        </w:rPr>
        <w:t>REQ-CRYPTO-04: Key rotation must be supported without service downtime</w:t>
      </w:r>
    </w:p>
    <w:p>
      <w:pPr>
        <w:pStyle w:val="Heading3"/>
        <w:spacing w:before="160" w:after="70"/>
        <w:rPr/>
      </w:pPr>
      <w:r>
        <w:rPr>
          <w:rFonts w:eastAsia="Arial" w:cs="Arial" w:ascii="Arial" w:hAnsi="Arial"/>
          <w:b/>
          <w:bCs/>
          <w:color w:val="2E7D52"/>
          <w:sz w:val="23"/>
          <w:szCs w:val="23"/>
        </w:rPr>
        <w:t>Audit Logging Requirements</w:t>
      </w:r>
    </w:p>
    <w:p>
      <w:pPr>
        <w:pStyle w:val="ListParagraph"/>
        <w:numPr>
          <w:ilvl w:val="0"/>
          <w:numId w:val="1"/>
        </w:numPr>
        <w:spacing w:before="40" w:after="40"/>
        <w:rPr/>
      </w:pPr>
      <w:r>
        <w:rPr>
          <w:rFonts w:eastAsia="Arial" w:cs="Arial"/>
          <w:b w:val="false"/>
          <w:bCs w:val="false"/>
          <w:color w:val="2C2C2C"/>
          <w:sz w:val="22"/>
          <w:szCs w:val="22"/>
        </w:rPr>
        <w:t>REQ-LOG-01: All authentication events (success and failure) must be logged with timestamp, IP, username</w:t>
      </w:r>
    </w:p>
    <w:p>
      <w:pPr>
        <w:pStyle w:val="ListParagraph"/>
        <w:numPr>
          <w:ilvl w:val="0"/>
          <w:numId w:val="1"/>
        </w:numPr>
        <w:spacing w:before="40" w:after="40"/>
        <w:rPr/>
      </w:pPr>
      <w:r>
        <w:rPr>
          <w:rFonts w:eastAsia="Arial" w:cs="Arial"/>
          <w:b w:val="false"/>
          <w:bCs w:val="false"/>
          <w:color w:val="2C2C2C"/>
          <w:sz w:val="22"/>
          <w:szCs w:val="22"/>
        </w:rPr>
        <w:t>REQ-LOG-02: All transaction events must be logged with sender, receiver, amount, timestamp</w:t>
      </w:r>
    </w:p>
    <w:p>
      <w:pPr>
        <w:pStyle w:val="ListParagraph"/>
        <w:numPr>
          <w:ilvl w:val="0"/>
          <w:numId w:val="1"/>
        </w:numPr>
        <w:spacing w:before="40" w:after="40"/>
        <w:rPr/>
      </w:pPr>
      <w:r>
        <w:rPr>
          <w:rFonts w:eastAsia="Arial" w:cs="Arial"/>
          <w:b w:val="false"/>
          <w:bCs w:val="false"/>
          <w:color w:val="2C2C2C"/>
          <w:sz w:val="22"/>
          <w:szCs w:val="22"/>
        </w:rPr>
        <w:t>REQ-LOG-03: All admin actions must be logged with admin ID, action performed, target resource</w:t>
      </w:r>
    </w:p>
    <w:p>
      <w:pPr>
        <w:pStyle w:val="ListParagraph"/>
        <w:numPr>
          <w:ilvl w:val="0"/>
          <w:numId w:val="1"/>
        </w:numPr>
        <w:spacing w:before="40" w:after="40"/>
        <w:rPr/>
      </w:pPr>
      <w:r>
        <w:rPr>
          <w:rFonts w:eastAsia="Arial" w:cs="Arial"/>
          <w:b w:val="false"/>
          <w:bCs w:val="false"/>
          <w:color w:val="2C2C2C"/>
          <w:sz w:val="22"/>
          <w:szCs w:val="22"/>
        </w:rPr>
        <w:t>REQ-LOG-04: Logs must be forwarded to IBM QRadar in CEF format — local logs are insufficient</w:t>
      </w:r>
    </w:p>
    <w:p>
      <w:pPr>
        <w:pStyle w:val="ListParagraph"/>
        <w:numPr>
          <w:ilvl w:val="0"/>
          <w:numId w:val="1"/>
        </w:numPr>
        <w:spacing w:before="40" w:after="40"/>
        <w:rPr/>
      </w:pPr>
      <w:r>
        <w:rPr>
          <w:rFonts w:eastAsia="Arial" w:cs="Arial"/>
          <w:b w:val="false"/>
          <w:bCs w:val="false"/>
          <w:color w:val="2C2C2C"/>
          <w:sz w:val="22"/>
          <w:szCs w:val="22"/>
        </w:rPr>
        <w:t>REQ-LOG-05: Logs must be immutable — no application-level delete or modify permission on audit logs</w:t>
      </w:r>
    </w:p>
    <w:p>
      <w:pPr>
        <w:pStyle w:val="Heading2"/>
        <w:pBdr>
          <w:bottom w:val="single" w:sz="2" w:space="1" w:color="4CAF7D"/>
        </w:pBdr>
        <w:spacing w:before="220" w:after="100"/>
        <w:rPr/>
      </w:pPr>
      <w:r>
        <w:rPr>
          <w:rFonts w:eastAsia="Arial" w:cs="Arial" w:ascii="Arial" w:hAnsi="Arial"/>
          <w:b/>
          <w:bCs/>
          <w:color w:val="1A5C38"/>
          <w:sz w:val="26"/>
          <w:szCs w:val="26"/>
        </w:rPr>
        <w:t>1.5 Non-Functional Security Requirements</w:t>
      </w:r>
    </w:p>
    <w:tbl>
      <w:tblPr>
        <w:tblW w:w="10160" w:type="dxa"/>
        <w:jc w:val="start"/>
        <w:tblInd w:w="0" w:type="dxa"/>
        <w:tblLayout w:type="fixed"/>
        <w:tblCellMar>
          <w:top w:w="80" w:type="dxa"/>
          <w:start w:w="120" w:type="dxa"/>
          <w:bottom w:w="80" w:type="dxa"/>
          <w:end w:w="120" w:type="dxa"/>
        </w:tblCellMar>
      </w:tblPr>
      <w:tblGrid>
        <w:gridCol w:w="2240"/>
        <w:gridCol w:w="4060"/>
        <w:gridCol w:w="3860"/>
      </w:tblGrid>
      <w:tr>
        <w:trPr>
          <w:tblHeader w:val="true"/>
        </w:trPr>
        <w:tc>
          <w:tcPr>
            <w:tcW w:w="224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Requirement</w:t>
            </w:r>
          </w:p>
        </w:tc>
        <w:tc>
          <w:tcPr>
            <w:tcW w:w="406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Description</w:t>
            </w:r>
          </w:p>
        </w:tc>
        <w:tc>
          <w:tcPr>
            <w:tcW w:w="386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Acceptance Criteria</w:t>
            </w:r>
          </w:p>
        </w:tc>
      </w:tr>
      <w:tr>
        <w:trPr/>
        <w:tc>
          <w:tcPr>
            <w:tcW w:w="224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Performance under attack</w:t>
            </w:r>
          </w:p>
        </w:tc>
        <w:tc>
          <w:tcPr>
            <w:tcW w:w="40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System must remain responsive during brute force attack</w:t>
            </w:r>
          </w:p>
        </w:tc>
        <w:tc>
          <w:tcPr>
            <w:tcW w:w="38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Rate limiting fires at attempt 5; legitimate users unaffected</w:t>
            </w:r>
          </w:p>
        </w:tc>
      </w:tr>
      <w:tr>
        <w:trPr/>
        <w:tc>
          <w:tcPr>
            <w:tcW w:w="224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Availability SLA</w:t>
            </w:r>
          </w:p>
        </w:tc>
        <w:tc>
          <w:tcPr>
            <w:tcW w:w="40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99.9% uptime target</w:t>
            </w:r>
          </w:p>
        </w:tc>
        <w:tc>
          <w:tcPr>
            <w:tcW w:w="38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Kubernetes HPA scales pods under load; no single point of failure</w:t>
            </w:r>
          </w:p>
        </w:tc>
      </w:tr>
      <w:tr>
        <w:trPr/>
        <w:tc>
          <w:tcPr>
            <w:tcW w:w="224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Recovery Time</w:t>
            </w:r>
          </w:p>
        </w:tc>
        <w:tc>
          <w:tcPr>
            <w:tcW w:w="40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System recovers from security incident within 30 minutes</w:t>
            </w:r>
          </w:p>
        </w:tc>
        <w:tc>
          <w:tcPr>
            <w:tcW w:w="38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Blue team runbook followed; pod replaced from clean image</w:t>
            </w:r>
          </w:p>
        </w:tc>
      </w:tr>
      <w:tr>
        <w:trPr/>
        <w:tc>
          <w:tcPr>
            <w:tcW w:w="224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Audit Completeness</w:t>
            </w:r>
          </w:p>
        </w:tc>
        <w:tc>
          <w:tcPr>
            <w:tcW w:w="40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100% of security events captured</w:t>
            </w:r>
          </w:p>
        </w:tc>
        <w:tc>
          <w:tcPr>
            <w:tcW w:w="38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QRadar receives all Falco + application log events</w:t>
            </w:r>
          </w:p>
        </w:tc>
      </w:tr>
      <w:tr>
        <w:trPr/>
        <w:tc>
          <w:tcPr>
            <w:tcW w:w="224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Vulnerability Posture</w:t>
            </w:r>
          </w:p>
        </w:tc>
        <w:tc>
          <w:tcPr>
            <w:tcW w:w="40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Zero HIGH/CRITICAL vulnerabilities in production</w:t>
            </w:r>
          </w:p>
        </w:tc>
        <w:tc>
          <w:tcPr>
            <w:tcW w:w="38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Trivy scan passes; SonarQube quality gate passes; ZAP scan passes</w:t>
            </w:r>
          </w:p>
        </w:tc>
      </w:tr>
    </w:tbl>
    <w:p>
      <w:pPr>
        <w:pStyle w:val="Heading2"/>
        <w:pBdr>
          <w:bottom w:val="single" w:sz="2" w:space="1" w:color="4CAF7D"/>
        </w:pBdr>
        <w:spacing w:before="220" w:after="100"/>
        <w:rPr/>
      </w:pPr>
      <w:r>
        <w:rPr>
          <w:rFonts w:eastAsia="Arial" w:cs="Arial" w:ascii="Arial" w:hAnsi="Arial"/>
          <w:b/>
          <w:bCs/>
          <w:color w:val="1A5C38"/>
          <w:sz w:val="26"/>
          <w:szCs w:val="26"/>
        </w:rPr>
        <w:t>1.6 OWASP ASVS v5.0 Compliance Mapping</w:t>
      </w:r>
    </w:p>
    <w:tbl>
      <w:tblPr>
        <w:tblW w:w="10160" w:type="dxa"/>
        <w:jc w:val="start"/>
        <w:tblInd w:w="0" w:type="dxa"/>
        <w:tblLayout w:type="fixed"/>
        <w:tblCellMar>
          <w:top w:w="80" w:type="dxa"/>
          <w:start w:w="120" w:type="dxa"/>
          <w:bottom w:w="80" w:type="dxa"/>
          <w:end w:w="120" w:type="dxa"/>
        </w:tblCellMar>
      </w:tblPr>
      <w:tblGrid>
        <w:gridCol w:w="2000"/>
        <w:gridCol w:w="3120"/>
        <w:gridCol w:w="3780"/>
        <w:gridCol w:w="1260"/>
      </w:tblGrid>
      <w:tr>
        <w:trPr>
          <w:tblHeader w:val="true"/>
        </w:trPr>
        <w:tc>
          <w:tcPr>
            <w:tcW w:w="200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ASVS Category</w:t>
            </w:r>
          </w:p>
        </w:tc>
        <w:tc>
          <w:tcPr>
            <w:tcW w:w="312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Requirement</w:t>
            </w:r>
          </w:p>
        </w:tc>
        <w:tc>
          <w:tcPr>
            <w:tcW w:w="378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SecureVault Implementation</w:t>
            </w:r>
          </w:p>
        </w:tc>
        <w:tc>
          <w:tcPr>
            <w:tcW w:w="1260" w:type="dxa"/>
            <w:tcBorders>
              <w:top w:val="single" w:sz="2" w:space="0" w:color="1A5C38"/>
              <w:start w:val="single" w:sz="2" w:space="0" w:color="1A5C38"/>
              <w:bottom w:val="single" w:sz="2" w:space="0" w:color="1A5C38"/>
              <w:end w:val="single" w:sz="2" w:space="0" w:color="1A5C38"/>
            </w:tcBorders>
            <w:shd w:fill="1A5C38" w:val="clear"/>
            <w:vAlign w:val="center"/>
          </w:tcPr>
          <w:p>
            <w:pPr>
              <w:pStyle w:val="Normal"/>
              <w:jc w:val="center"/>
              <w:rPr/>
            </w:pPr>
            <w:r>
              <w:rPr>
                <w:rFonts w:eastAsia="Arial" w:cs="Arial"/>
                <w:b/>
                <w:bCs/>
                <w:color w:val="FFFFFF"/>
                <w:sz w:val="20"/>
                <w:szCs w:val="20"/>
              </w:rPr>
              <w:t>Priority</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V2 – Authentication</w:t>
            </w:r>
          </w:p>
        </w:tc>
        <w:tc>
          <w:tcPr>
            <w:tcW w:w="312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MFA, OIDC, brute-force protection</w:t>
            </w:r>
          </w:p>
        </w:tc>
        <w:tc>
          <w:tcPr>
            <w:tcW w:w="378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Keycloak OIDC + Redis rate limiting (5 attempts/15 min)</w:t>
            </w:r>
          </w:p>
        </w:tc>
        <w:tc>
          <w:tcPr>
            <w:tcW w:w="12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CRITICAL</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V3 – Session Management</w:t>
            </w:r>
          </w:p>
        </w:tc>
        <w:tc>
          <w:tcPr>
            <w:tcW w:w="312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Secure session tokens, TTL enforcement</w:t>
            </w:r>
          </w:p>
        </w:tc>
        <w:tc>
          <w:tcPr>
            <w:tcW w:w="378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Redis TLS sessions + 15-min JWT TTL + logout invalidation</w:t>
            </w:r>
          </w:p>
        </w:tc>
        <w:tc>
          <w:tcPr>
            <w:tcW w:w="12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HIGH</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V4 – Access Control</w:t>
            </w:r>
          </w:p>
        </w:tc>
        <w:tc>
          <w:tcPr>
            <w:tcW w:w="312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RBAC/ABAC, least privilege</w:t>
            </w:r>
          </w:p>
        </w:tc>
        <w:tc>
          <w:tcPr>
            <w:tcW w:w="378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OPA enforced RBAC: customer vs admin roles</w:t>
            </w:r>
          </w:p>
        </w:tc>
        <w:tc>
          <w:tcPr>
            <w:tcW w:w="12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HIGH</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V5 – Input Validation</w:t>
            </w:r>
          </w:p>
        </w:tc>
        <w:tc>
          <w:tcPr>
            <w:tcW w:w="312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Reject malicious input</w:t>
            </w:r>
          </w:p>
        </w:tc>
        <w:tc>
          <w:tcPr>
            <w:tcW w:w="378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Forbidden character validation + parameterised queries</w:t>
            </w:r>
          </w:p>
        </w:tc>
        <w:tc>
          <w:tcPr>
            <w:tcW w:w="12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CRITICAL</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V6 – Cryptography</w:t>
            </w:r>
          </w:p>
        </w:tc>
        <w:tc>
          <w:tcPr>
            <w:tcW w:w="312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AES-256 at rest, TLS 1.3 in transit</w:t>
            </w:r>
          </w:p>
        </w:tc>
        <w:tc>
          <w:tcPr>
            <w:tcW w:w="378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Vault-managed keys + TLS 1.3 enforced</w:t>
            </w:r>
          </w:p>
        </w:tc>
        <w:tc>
          <w:tcPr>
            <w:tcW w:w="12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CRITICAL</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V9 – Communications</w:t>
            </w:r>
          </w:p>
        </w:tc>
        <w:tc>
          <w:tcPr>
            <w:tcW w:w="312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TLS everywhere, mTLS between services</w:t>
            </w:r>
          </w:p>
        </w:tc>
        <w:tc>
          <w:tcPr>
            <w:tcW w:w="378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Mutual TLS for all inter-service calls</w:t>
            </w:r>
          </w:p>
        </w:tc>
        <w:tc>
          <w:tcPr>
            <w:tcW w:w="12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CRITICAL</w:t>
            </w:r>
          </w:p>
        </w:tc>
      </w:tr>
      <w:tr>
        <w:trPr/>
        <w:tc>
          <w:tcPr>
            <w:tcW w:w="2000" w:type="dxa"/>
            <w:tcBorders>
              <w:top w:val="single" w:sz="2" w:space="0" w:color="4CAF7D"/>
              <w:start w:val="single" w:sz="2" w:space="0" w:color="4CAF7D"/>
              <w:bottom w:val="single" w:sz="2" w:space="0" w:color="4CAF7D"/>
              <w:end w:val="single" w:sz="2" w:space="0" w:color="4CAF7D"/>
            </w:tcBorders>
            <w:shd w:fill="FFFFFF" w:val="clear"/>
          </w:tcPr>
          <w:p>
            <w:pPr>
              <w:pStyle w:val="Normal"/>
              <w:rPr>
                <w:b/>
                <w:bCs/>
              </w:rPr>
            </w:pPr>
            <w:r>
              <w:rPr>
                <w:rFonts w:eastAsia="Arial" w:cs="Arial"/>
                <w:b/>
                <w:bCs/>
                <w:color w:val="2C2C2C"/>
                <w:sz w:val="20"/>
                <w:szCs w:val="20"/>
              </w:rPr>
              <w:t>V13 – API Security</w:t>
            </w:r>
          </w:p>
        </w:tc>
        <w:tc>
          <w:tcPr>
            <w:tcW w:w="312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Input validation, rate limiting, CORS</w:t>
            </w:r>
          </w:p>
        </w:tc>
        <w:tc>
          <w:tcPr>
            <w:tcW w:w="378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API Gateway + FastAPI validators + CORS whitelist</w:t>
            </w:r>
          </w:p>
        </w:tc>
        <w:tc>
          <w:tcPr>
            <w:tcW w:w="1260" w:type="dxa"/>
            <w:tcBorders>
              <w:top w:val="single" w:sz="2" w:space="0" w:color="4CAF7D"/>
              <w:start w:val="single" w:sz="2" w:space="0" w:color="4CAF7D"/>
              <w:bottom w:val="single" w:sz="2" w:space="0" w:color="4CAF7D"/>
              <w:end w:val="single" w:sz="2" w:space="0" w:color="4CAF7D"/>
            </w:tcBorders>
            <w:shd w:fill="FFFFFF" w:val="clear"/>
          </w:tcPr>
          <w:p>
            <w:pPr>
              <w:pStyle w:val="Normal"/>
              <w:rPr/>
            </w:pPr>
            <w:r>
              <w:rPr>
                <w:rFonts w:eastAsia="Arial" w:cs="Arial"/>
                <w:b w:val="false"/>
                <w:bCs w:val="false"/>
                <w:color w:val="2C2C2C"/>
                <w:sz w:val="20"/>
                <w:szCs w:val="20"/>
              </w:rPr>
              <w:t>HIGH</w:t>
            </w:r>
          </w:p>
        </w:tc>
      </w:tr>
      <w:tr>
        <w:trPr/>
        <w:tc>
          <w:tcPr>
            <w:tcW w:w="2000" w:type="dxa"/>
            <w:tcBorders>
              <w:top w:val="single" w:sz="2" w:space="0" w:color="4CAF7D"/>
              <w:start w:val="single" w:sz="2" w:space="0" w:color="4CAF7D"/>
              <w:bottom w:val="single" w:sz="2" w:space="0" w:color="4CAF7D"/>
              <w:end w:val="single" w:sz="2" w:space="0" w:color="4CAF7D"/>
            </w:tcBorders>
            <w:shd w:fill="EAF7EE" w:val="clear"/>
          </w:tcPr>
          <w:p>
            <w:pPr>
              <w:pStyle w:val="Normal"/>
              <w:rPr>
                <w:b/>
                <w:bCs/>
              </w:rPr>
            </w:pPr>
            <w:r>
              <w:rPr>
                <w:rFonts w:eastAsia="Arial" w:cs="Arial"/>
                <w:b/>
                <w:bCs/>
                <w:color w:val="2C2C2C"/>
                <w:sz w:val="20"/>
                <w:szCs w:val="20"/>
              </w:rPr>
              <w:t>V14 – Config Security</w:t>
            </w:r>
          </w:p>
        </w:tc>
        <w:tc>
          <w:tcPr>
            <w:tcW w:w="312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Secrets management, no hardcoded secrets</w:t>
            </w:r>
          </w:p>
        </w:tc>
        <w:tc>
          <w:tcPr>
            <w:tcW w:w="378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HashiCorp Vault dynamic secret injection</w:t>
            </w:r>
          </w:p>
        </w:tc>
        <w:tc>
          <w:tcPr>
            <w:tcW w:w="1260" w:type="dxa"/>
            <w:tcBorders>
              <w:top w:val="single" w:sz="2" w:space="0" w:color="4CAF7D"/>
              <w:start w:val="single" w:sz="2" w:space="0" w:color="4CAF7D"/>
              <w:bottom w:val="single" w:sz="2" w:space="0" w:color="4CAF7D"/>
              <w:end w:val="single" w:sz="2" w:space="0" w:color="4CAF7D"/>
            </w:tcBorders>
            <w:shd w:fill="EAF7EE" w:val="clear"/>
          </w:tcPr>
          <w:p>
            <w:pPr>
              <w:pStyle w:val="Normal"/>
              <w:rPr/>
            </w:pPr>
            <w:r>
              <w:rPr>
                <w:rFonts w:eastAsia="Arial" w:cs="Arial"/>
                <w:b w:val="false"/>
                <w:bCs w:val="false"/>
                <w:color w:val="2C2C2C"/>
                <w:sz w:val="20"/>
                <w:szCs w:val="20"/>
              </w:rPr>
              <w:t>HIGH</w:t>
            </w:r>
          </w:p>
        </w:tc>
      </w:tr>
    </w:tbl>
    <w:p>
      <w:pPr>
        <w:pStyle w:val="Normal"/>
        <w:spacing w:before="50" w:after="50"/>
        <w:rPr/>
      </w:pPr>
      <w:r>
        <w:rPr/>
      </w:r>
    </w:p>
    <w:p>
      <w:pPr>
        <w:pStyle w:val="Normal"/>
        <w:spacing w:before="50" w:after="50"/>
        <w:rPr/>
      </w:pPr>
      <w:r>
        <w:rPr/>
      </w:r>
    </w:p>
    <w:p>
      <w:pPr>
        <w:pStyle w:val="Normal"/>
        <w:spacing w:before="0" w:after="0"/>
        <w:rPr>
          <w:rFonts w:ascii="Arial" w:hAnsi="Arial" w:eastAsia="Arial" w:cs="Arial"/>
          <w:b/>
          <w:bCs/>
          <w:color w:val="FFFFFF"/>
          <w:sz w:val="32"/>
          <w:szCs w:val="32"/>
        </w:rPr>
      </w:pPr>
      <w:r>
        <w:rPr/>
      </w:r>
    </w:p>
    <w:p>
      <w:pPr>
        <w:pStyle w:val="Normal"/>
        <w:spacing w:before="0" w:after="0"/>
        <w:rPr>
          <w:rFonts w:ascii="Arial" w:hAnsi="Arial" w:eastAsia="Arial" w:cs="Arial"/>
          <w:b/>
          <w:bCs/>
          <w:color w:val="FFFFFF"/>
          <w:sz w:val="32"/>
          <w:szCs w:val="32"/>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4CAF7D"/>
      </w:pBdr>
      <w:spacing w:before="80" w:after="0"/>
      <w:rPr/>
    </w:pPr>
    <w:r>
      <w:rPr>
        <w:rFonts w:eastAsia="Arial" w:cs="Arial"/>
        <w:color w:val="555555"/>
        <w:sz w:val="18"/>
        <w:szCs w:val="18"/>
      </w:rPr>
      <w:t xml:space="preserve"> </w:t>
    </w:r>
    <w:r>
      <w:rPr>
        <w:rFonts w:eastAsia="Arial" w:cs="Arial"/>
        <w:color w:val="555555"/>
        <w:sz w:val="18"/>
        <w:szCs w:val="18"/>
      </w:rPr>
      <w:t xml:space="preserve">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4CAF7D"/>
      </w:pBdr>
      <w:spacing w:before="80" w:after="0"/>
      <w:rPr/>
    </w:pPr>
    <w:r>
      <w:rPr>
        <w:rFonts w:eastAsia="Arial" w:cs="Arial"/>
        <w:color w:val="555555"/>
        <w:sz w:val="18"/>
        <w:szCs w:val="18"/>
      </w:rPr>
      <w:t xml:space="preserve"> </w:t>
    </w:r>
    <w:r>
      <w:rPr>
        <w:rFonts w:eastAsia="Arial" w:cs="Arial"/>
        <w:color w:val="555555"/>
        <w:sz w:val="18"/>
        <w:szCs w:val="18"/>
      </w:rPr>
      <w:t xml:space="preserve">Page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4CAF7D"/>
      </w:pBdr>
      <w:spacing w:before="0" w:after="80"/>
      <w:rPr/>
    </w:pPr>
    <w:r>
      <w:rPr>
        <w:rFonts w:eastAsia="Arial" w:cs="Arial"/>
        <w:b/>
        <w:bCs/>
        <w:color w:val="2E7D52"/>
        <w:sz w:val="18"/>
        <w:szCs w:val="18"/>
      </w:rPr>
      <w:t>CYC386 — SecureVault Bank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4CAF7D"/>
      </w:pBdr>
      <w:spacing w:before="0" w:after="80"/>
      <w:rPr/>
    </w:pPr>
    <w:r>
      <w:rPr>
        <w:rFonts w:eastAsia="Arial" w:cs="Arial"/>
        <w:b/>
        <w:bCs/>
        <w:color w:val="2E7D52"/>
        <w:sz w:val="18"/>
        <w:szCs w:val="18"/>
      </w:rPr>
      <w:t>CYC386 — SecureVault Bank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C"/>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C2C2C"/>
      <w:kern w:val="0"/>
      <w:sz w:val="22"/>
      <w:szCs w:val="22"/>
      <w:lang w:val="en-US" w:eastAsia="zh-CN" w:bidi="hi-IN"/>
    </w:rPr>
  </w:style>
  <w:style w:type="paragraph" w:styleId="Heading1">
    <w:name w:val="heading 1"/>
    <w:basedOn w:val="Heading"/>
    <w:qFormat/>
    <w:pPr>
      <w:spacing w:before="300" w:after="120"/>
      <w:outlineLvl w:val="0"/>
    </w:pPr>
    <w:rPr>
      <w:rFonts w:ascii="Arial" w:hAnsi="Arial" w:eastAsia="Arial" w:cs="Arial"/>
      <w:b/>
      <w:bCs/>
      <w:color w:val="FFFFFF"/>
      <w:sz w:val="32"/>
      <w:szCs w:val="32"/>
    </w:rPr>
  </w:style>
  <w:style w:type="paragraph" w:styleId="Heading2">
    <w:name w:val="heading 2"/>
    <w:basedOn w:val="Heading"/>
    <w:qFormat/>
    <w:pPr>
      <w:spacing w:before="220" w:after="100"/>
      <w:outlineLvl w:val="1"/>
    </w:pPr>
    <w:rPr>
      <w:rFonts w:ascii="Arial" w:hAnsi="Arial" w:eastAsia="Arial" w:cs="Arial"/>
      <w:b/>
      <w:bCs/>
      <w:color w:val="1A5C38"/>
      <w:sz w:val="26"/>
      <w:szCs w:val="26"/>
    </w:rPr>
  </w:style>
  <w:style w:type="paragraph" w:styleId="Heading3">
    <w:name w:val="heading 3"/>
    <w:basedOn w:val="Heading"/>
    <w:qFormat/>
    <w:pPr>
      <w:spacing w:before="160" w:after="70"/>
      <w:outlineLvl w:val="2"/>
    </w:pPr>
    <w:rPr>
      <w:rFonts w:ascii="Arial" w:hAnsi="Arial" w:eastAsia="Arial" w:cs="Arial"/>
      <w:b/>
      <w:bCs/>
      <w:color w:val="2E7D52"/>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C2C2C"/>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2C2C2C"/>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LibreOffice/26.2.4.2$Linux_X86_64 LibreOffice_project/0229ac93fcf0d7cbc6376066c6f35021cef002dc</Application>
  <AppVersion>15.0000</AppVersion>
  <Pages>5</Pages>
  <Words>978</Words>
  <Characters>6105</Characters>
  <CharactersWithSpaces>6934</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2026-06-10T10:03:02Z</dcterms:created>
  <dc:creator>Un-named</dc:creator>
  <dc:description/>
  <dc:language>en-US</dc:language>
  <cp:lastModifiedBy/>
  <dcterms:modified xsi:type="dcterms:W3CDTF">2026-06-10T17:29:27Z</dcterms:modified>
  <cp:revision>2</cp:revision>
  <dc:subject/>
  <dc:title/>
</cp:coreProperties>
</file>