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0"/>
        <w:jc w:val="center"/>
        <w:rPr/>
      </w:pPr>
      <w:r>
        <w:rPr>
          <w:rFonts w:eastAsia="Calibri" w:cs="Calibri"/>
          <w:b/>
          <w:bCs/>
          <w:color w:val="1F3864"/>
          <w:sz w:val="30"/>
          <w:szCs w:val="30"/>
        </w:rPr>
        <w:t>COMSATS UNIVERSITY ISLAMABAD</w:t>
      </w:r>
    </w:p>
    <w:p>
      <w:pPr>
        <w:pStyle w:val="Normal"/>
        <w:spacing w:before="0" w:after="30"/>
        <w:jc w:val="center"/>
        <w:rPr/>
      </w:pPr>
      <w:r>
        <w:rPr>
          <w:rFonts w:eastAsia="Calibri" w:cs="Calibri"/>
          <w:color w:val="404040"/>
          <w:sz w:val="22"/>
          <w:szCs w:val="22"/>
        </w:rPr>
        <w:t>Department of Computer Science &amp; Engineering</w:t>
      </w:r>
    </w:p>
    <w:p>
      <w:pPr>
        <w:pStyle w:val="Normal"/>
        <w:spacing w:before="0" w:after="300"/>
        <w:jc w:val="center"/>
        <w:rPr/>
      </w:pPr>
      <w:r>
        <w:rPr>
          <w:rFonts w:eastAsia="Calibri" w:cs="Calibri"/>
          <w:i/>
          <w:iCs/>
          <w:color w:val="595959"/>
          <w:sz w:val="20"/>
          <w:szCs w:val="20"/>
        </w:rPr>
        <w:t>CYC386 — Secure Software Design &amp; Development</w:t>
      </w:r>
    </w:p>
    <w:tbl>
      <w:tblPr>
        <w:tblW w:w="9360" w:type="dxa"/>
        <w:jc w:val="start"/>
        <w:tblInd w:w="0" w:type="dxa"/>
        <w:tblLayout w:type="fixed"/>
        <w:tblCellMar>
          <w:top w:w="320" w:type="dxa"/>
          <w:start w:w="260" w:type="dxa"/>
          <w:bottom w:w="320" w:type="dxa"/>
          <w:end w:w="260" w:type="dxa"/>
        </w:tblCellMar>
      </w:tblPr>
      <w:tblGrid>
        <w:gridCol w:w="9360"/>
      </w:tblGrid>
      <w:tr>
        <w:trPr/>
        <w:tc>
          <w:tcPr>
            <w:tcW w:w="9360" w:type="dxa"/>
            <w:tcBorders/>
            <w:shd w:fill="1F3864" w:val="clear"/>
          </w:tcPr>
          <w:p>
            <w:pPr>
              <w:pStyle w:val="Normal"/>
              <w:spacing w:before="0" w:after="80"/>
              <w:jc w:val="center"/>
              <w:rPr/>
            </w:pPr>
            <w:r>
              <w:rPr>
                <w:rFonts w:eastAsia="Calibri" w:cs="Calibri"/>
                <w:b/>
                <w:bCs/>
                <w:color w:val="FFFFFF"/>
                <w:sz w:val="40"/>
                <w:szCs w:val="40"/>
              </w:rPr>
              <w:t>EXECUTIVE SECURITY REPORT</w:t>
            </w:r>
          </w:p>
          <w:p>
            <w:pPr>
              <w:pStyle w:val="Normal"/>
              <w:jc w:val="center"/>
              <w:rPr/>
            </w:pPr>
            <w:r>
              <w:rPr>
                <w:rFonts w:eastAsia="Calibri" w:cs="Calibri"/>
                <w:color w:val="C9D6EA"/>
                <w:sz w:val="24"/>
                <w:szCs w:val="24"/>
              </w:rPr>
              <w:t>NIST Cybersecurity Framework &amp; Multi-Framework Compliance</w:t>
            </w:r>
          </w:p>
          <w:p>
            <w:pPr>
              <w:pStyle w:val="Normal"/>
              <w:spacing w:before="60" w:after="0"/>
              <w:jc w:val="center"/>
              <w:rPr/>
            </w:pPr>
            <w:r>
              <w:rPr>
                <w:rFonts w:eastAsia="Calibri" w:cs="Calibri"/>
                <w:i/>
                <w:iCs/>
                <w:color w:val="AEC3E6"/>
                <w:sz w:val="22"/>
                <w:szCs w:val="22"/>
              </w:rPr>
              <w:t>SecureVault Bank — Secure Cloud-Native Banking Platform</w:t>
            </w:r>
          </w:p>
        </w:tc>
      </w:tr>
    </w:tbl>
    <w:p>
      <w:pPr>
        <w:pStyle w:val="Normal"/>
        <w:spacing w:before="0" w:after="360"/>
        <w:rPr/>
      </w:pPr>
      <w:r>
        <w:rPr/>
      </w:r>
    </w:p>
    <w:tbl>
      <w:tblPr>
        <w:tblW w:w="9364" w:type="dxa"/>
        <w:jc w:val="start"/>
        <w:tblInd w:w="0" w:type="dxa"/>
        <w:tblLayout w:type="fixed"/>
        <w:tblCellMar>
          <w:top w:w="60" w:type="dxa"/>
          <w:start w:w="120" w:type="dxa"/>
          <w:bottom w:w="60" w:type="dxa"/>
          <w:end w:w="120" w:type="dxa"/>
        </w:tblCellMar>
      </w:tblPr>
      <w:tblGrid>
        <w:gridCol w:w="1981"/>
        <w:gridCol w:w="7383"/>
      </w:tblGrid>
      <w:tr>
        <w:trPr/>
        <w:tc>
          <w:tcPr>
            <w:tcW w:w="1981" w:type="dxa"/>
            <w:tcBorders>
              <w:top w:val="single" w:sz="2" w:space="0" w:color="AEB9CC"/>
              <w:start w:val="single" w:sz="2" w:space="0" w:color="AEB9CC"/>
              <w:bottom w:val="single" w:sz="2" w:space="0" w:color="AEB9CC"/>
              <w:end w:val="single" w:sz="2" w:space="0" w:color="AEB9CC"/>
            </w:tcBorders>
            <w:shd w:fill="D9E2F3" w:val="clear"/>
          </w:tcPr>
          <w:p>
            <w:pPr>
              <w:pStyle w:val="Normal"/>
              <w:rPr/>
            </w:pPr>
            <w:r>
              <w:rPr>
                <w:rFonts w:eastAsia="Calibri" w:cs="Calibri"/>
                <w:b/>
                <w:bCs/>
                <w:color w:val="1F3864"/>
                <w:sz w:val="19"/>
                <w:szCs w:val="19"/>
              </w:rPr>
              <w:t>Project</w:t>
            </w:r>
          </w:p>
        </w:tc>
        <w:tc>
          <w:tcPr>
            <w:tcW w:w="7383" w:type="dxa"/>
            <w:tcBorders>
              <w:top w:val="single" w:sz="2" w:space="0" w:color="AEB9CC"/>
              <w:start w:val="single" w:sz="2" w:space="0" w:color="AEB9CC"/>
              <w:bottom w:val="single" w:sz="2" w:space="0" w:color="AEB9CC"/>
              <w:end w:val="single" w:sz="2" w:space="0" w:color="AEB9CC"/>
            </w:tcBorders>
            <w:shd w:fill="EAF0FA" w:val="clear"/>
          </w:tcPr>
          <w:p>
            <w:pPr>
              <w:pStyle w:val="Normal"/>
              <w:rPr/>
            </w:pPr>
            <w:r>
              <w:rPr>
                <w:rFonts w:eastAsia="Calibri" w:cs="Calibri"/>
                <w:color w:val="1A1A1A"/>
                <w:sz w:val="19"/>
                <w:szCs w:val="19"/>
              </w:rPr>
              <w:t>SecureVault Bank — End-to-End Secure Cloud-Native DevSecOps Platform</w:t>
            </w:r>
          </w:p>
        </w:tc>
      </w:tr>
      <w:tr>
        <w:trPr/>
        <w:tc>
          <w:tcPr>
            <w:tcW w:w="1981" w:type="dxa"/>
            <w:tcBorders>
              <w:top w:val="single" w:sz="2" w:space="0" w:color="AEB9CC"/>
              <w:start w:val="single" w:sz="2" w:space="0" w:color="AEB9CC"/>
              <w:bottom w:val="single" w:sz="2" w:space="0" w:color="AEB9CC"/>
              <w:end w:val="single" w:sz="2" w:space="0" w:color="AEB9CC"/>
            </w:tcBorders>
            <w:shd w:fill="D9E2F3" w:val="clear"/>
          </w:tcPr>
          <w:p>
            <w:pPr>
              <w:pStyle w:val="Normal"/>
              <w:rPr/>
            </w:pPr>
            <w:r>
              <w:rPr>
                <w:rFonts w:eastAsia="Calibri" w:cs="Calibri"/>
                <w:b/>
                <w:bCs/>
                <w:color w:val="1F3864"/>
                <w:sz w:val="19"/>
                <w:szCs w:val="19"/>
              </w:rPr>
              <w:t>Document</w:t>
            </w:r>
          </w:p>
        </w:tc>
        <w:tc>
          <w:tcPr>
            <w:tcW w:w="7383" w:type="dxa"/>
            <w:tcBorders>
              <w:top w:val="single" w:sz="2" w:space="0" w:color="AEB9CC"/>
              <w:start w:val="single" w:sz="2" w:space="0" w:color="AEB9CC"/>
              <w:bottom w:val="single" w:sz="2" w:space="0" w:color="AEB9CC"/>
              <w:end w:val="single" w:sz="2" w:space="0" w:color="AEB9CC"/>
            </w:tcBorders>
            <w:shd w:fill="FFFFFF" w:val="clear"/>
          </w:tcPr>
          <w:p>
            <w:pPr>
              <w:pStyle w:val="Normal"/>
              <w:rPr/>
            </w:pPr>
            <w:r>
              <w:rPr>
                <w:rFonts w:eastAsia="Calibri" w:cs="Calibri"/>
                <w:color w:val="1A1A1A"/>
                <w:sz w:val="19"/>
                <w:szCs w:val="19"/>
              </w:rPr>
              <w:t xml:space="preserve">Executive Report </w:t>
            </w:r>
          </w:p>
        </w:tc>
      </w:tr>
      <w:tr>
        <w:trPr/>
        <w:tc>
          <w:tcPr>
            <w:tcW w:w="1981" w:type="dxa"/>
            <w:tcBorders>
              <w:top w:val="single" w:sz="2" w:space="0" w:color="AEB9CC"/>
              <w:start w:val="single" w:sz="2" w:space="0" w:color="AEB9CC"/>
              <w:bottom w:val="single" w:sz="2" w:space="0" w:color="AEB9CC"/>
              <w:end w:val="single" w:sz="2" w:space="0" w:color="AEB9CC"/>
            </w:tcBorders>
            <w:shd w:fill="D9E2F3" w:val="clear"/>
          </w:tcPr>
          <w:p>
            <w:pPr>
              <w:pStyle w:val="Normal"/>
              <w:rPr/>
            </w:pPr>
            <w:r>
              <w:rPr>
                <w:rFonts w:eastAsia="Calibri" w:cs="Calibri"/>
                <w:b/>
                <w:bCs/>
                <w:color w:val="1F3864"/>
                <w:sz w:val="19"/>
                <w:szCs w:val="19"/>
              </w:rPr>
              <w:t>Contributors</w:t>
            </w:r>
          </w:p>
        </w:tc>
        <w:tc>
          <w:tcPr>
            <w:tcW w:w="7383" w:type="dxa"/>
            <w:tcBorders>
              <w:top w:val="single" w:sz="2" w:space="0" w:color="AEB9CC"/>
              <w:start w:val="single" w:sz="2" w:space="0" w:color="AEB9CC"/>
              <w:bottom w:val="single" w:sz="2" w:space="0" w:color="AEB9CC"/>
              <w:end w:val="single" w:sz="2" w:space="0" w:color="AEB9CC"/>
            </w:tcBorders>
            <w:shd w:fill="FFFFFF" w:val="clear"/>
          </w:tcPr>
          <w:p>
            <w:pPr>
              <w:pStyle w:val="Normal"/>
              <w:rPr/>
            </w:pPr>
            <w:r>
              <w:rPr>
                <w:rFonts w:eastAsia="Calibri" w:cs="Calibri"/>
                <w:color w:val="1A1A1A"/>
                <w:sz w:val="19"/>
                <w:szCs w:val="19"/>
              </w:rPr>
              <w:t xml:space="preserve">Esha Khan (Lead Dev) · Husna Anjum (DevSecOps) · Zarmeena Khan (Red/Blue Team)· </w:t>
            </w:r>
            <w:r>
              <w:rPr>
                <w:rFonts w:eastAsia="Calibri" w:cs="Calibri"/>
                <w:color w:val="1A1A1A"/>
                <w:sz w:val="19"/>
                <w:szCs w:val="19"/>
              </w:rPr>
              <w:t>Zainab Shakil(Security Tester)</w:t>
            </w:r>
          </w:p>
        </w:tc>
      </w:tr>
      <w:tr>
        <w:trPr/>
        <w:tc>
          <w:tcPr>
            <w:tcW w:w="1981" w:type="dxa"/>
            <w:tcBorders>
              <w:top w:val="single" w:sz="2" w:space="0" w:color="AEB9CC"/>
              <w:start w:val="single" w:sz="2" w:space="0" w:color="AEB9CC"/>
              <w:bottom w:val="single" w:sz="2" w:space="0" w:color="AEB9CC"/>
              <w:end w:val="single" w:sz="2" w:space="0" w:color="AEB9CC"/>
            </w:tcBorders>
            <w:shd w:fill="D9E2F3" w:val="clear"/>
          </w:tcPr>
          <w:p>
            <w:pPr>
              <w:pStyle w:val="Normal"/>
              <w:rPr/>
            </w:pPr>
            <w:r>
              <w:rPr>
                <w:rFonts w:eastAsia="Calibri" w:cs="Calibri"/>
                <w:b/>
                <w:bCs/>
                <w:color w:val="1F3864"/>
                <w:sz w:val="19"/>
                <w:szCs w:val="19"/>
              </w:rPr>
              <w:t>Instructor</w:t>
            </w:r>
          </w:p>
        </w:tc>
        <w:tc>
          <w:tcPr>
            <w:tcW w:w="7383" w:type="dxa"/>
            <w:tcBorders>
              <w:top w:val="single" w:sz="2" w:space="0" w:color="AEB9CC"/>
              <w:start w:val="single" w:sz="2" w:space="0" w:color="AEB9CC"/>
              <w:bottom w:val="single" w:sz="2" w:space="0" w:color="AEB9CC"/>
              <w:end w:val="single" w:sz="2" w:space="0" w:color="AEB9CC"/>
            </w:tcBorders>
            <w:shd w:fill="EAF0FA" w:val="clear"/>
          </w:tcPr>
          <w:p>
            <w:pPr>
              <w:pStyle w:val="Normal"/>
              <w:rPr/>
            </w:pPr>
            <w:r>
              <w:rPr>
                <w:rFonts w:eastAsia="Calibri" w:cs="Calibri"/>
                <w:color w:val="1A1A1A"/>
                <w:sz w:val="19"/>
                <w:szCs w:val="19"/>
              </w:rPr>
              <w:t>Engr. Muhammad Ahmad Nawaz</w:t>
            </w:r>
          </w:p>
        </w:tc>
      </w:tr>
      <w:tr>
        <w:trPr/>
        <w:tc>
          <w:tcPr>
            <w:tcW w:w="1981" w:type="dxa"/>
            <w:tcBorders>
              <w:top w:val="single" w:sz="2" w:space="0" w:color="AEB9CC"/>
              <w:start w:val="single" w:sz="2" w:space="0" w:color="AEB9CC"/>
              <w:bottom w:val="single" w:sz="2" w:space="0" w:color="AEB9CC"/>
              <w:end w:val="single" w:sz="2" w:space="0" w:color="AEB9CC"/>
            </w:tcBorders>
            <w:shd w:fill="D9E2F3" w:val="clear"/>
          </w:tcPr>
          <w:p>
            <w:pPr>
              <w:pStyle w:val="Normal"/>
              <w:rPr/>
            </w:pPr>
            <w:r>
              <w:rPr>
                <w:rFonts w:eastAsia="Calibri" w:cs="Calibri"/>
                <w:b/>
                <w:bCs/>
                <w:color w:val="1F3864"/>
                <w:sz w:val="19"/>
                <w:szCs w:val="19"/>
              </w:rPr>
              <w:t>Semester</w:t>
            </w:r>
          </w:p>
        </w:tc>
        <w:tc>
          <w:tcPr>
            <w:tcW w:w="7383" w:type="dxa"/>
            <w:tcBorders>
              <w:top w:val="single" w:sz="2" w:space="0" w:color="AEB9CC"/>
              <w:start w:val="single" w:sz="2" w:space="0" w:color="AEB9CC"/>
              <w:bottom w:val="single" w:sz="2" w:space="0" w:color="AEB9CC"/>
              <w:end w:val="single" w:sz="2" w:space="0" w:color="AEB9CC"/>
            </w:tcBorders>
            <w:shd w:fill="FFFFFF" w:val="clear"/>
          </w:tcPr>
          <w:p>
            <w:pPr>
              <w:pStyle w:val="Normal"/>
              <w:rPr/>
            </w:pPr>
            <w:r>
              <w:rPr>
                <w:rFonts w:eastAsia="Calibri" w:cs="Calibri"/>
                <w:color w:val="1A1A1A"/>
                <w:sz w:val="19"/>
                <w:szCs w:val="19"/>
              </w:rPr>
              <w:t>Spring 2026</w:t>
            </w:r>
          </w:p>
        </w:tc>
      </w:tr>
      <w:tr>
        <w:trPr/>
        <w:tc>
          <w:tcPr>
            <w:tcW w:w="1981" w:type="dxa"/>
            <w:tcBorders>
              <w:top w:val="single" w:sz="2" w:space="0" w:color="AEB9CC"/>
              <w:start w:val="single" w:sz="2" w:space="0" w:color="AEB9CC"/>
              <w:bottom w:val="single" w:sz="2" w:space="0" w:color="AEB9CC"/>
              <w:end w:val="single" w:sz="2" w:space="0" w:color="AEB9CC"/>
            </w:tcBorders>
            <w:shd w:fill="D9E2F3" w:val="clear"/>
          </w:tcPr>
          <w:p>
            <w:pPr>
              <w:pStyle w:val="Normal"/>
              <w:rPr/>
            </w:pPr>
            <w:r>
              <w:rPr>
                <w:rFonts w:eastAsia="Calibri" w:cs="Calibri"/>
                <w:b/>
                <w:bCs/>
                <w:color w:val="1F3864"/>
                <w:sz w:val="19"/>
                <w:szCs w:val="19"/>
              </w:rPr>
              <w:t>Repository</w:t>
            </w:r>
          </w:p>
        </w:tc>
        <w:tc>
          <w:tcPr>
            <w:tcW w:w="7383" w:type="dxa"/>
            <w:tcBorders>
              <w:top w:val="single" w:sz="2" w:space="0" w:color="AEB9CC"/>
              <w:start w:val="single" w:sz="2" w:space="0" w:color="AEB9CC"/>
              <w:bottom w:val="single" w:sz="2" w:space="0" w:color="AEB9CC"/>
              <w:end w:val="single" w:sz="2" w:space="0" w:color="AEB9CC"/>
            </w:tcBorders>
            <w:shd w:fill="FFFFFF" w:val="clear"/>
          </w:tcPr>
          <w:p>
            <w:pPr>
              <w:pStyle w:val="Normal"/>
              <w:rPr/>
            </w:pPr>
            <w:r>
              <w:rPr>
                <w:rFonts w:eastAsia="Calibri" w:cs="Calibri"/>
                <w:color w:val="1A1A1A"/>
                <w:sz w:val="19"/>
                <w:szCs w:val="19"/>
              </w:rPr>
              <w:t>github.com/EshaKhan-ek/SecureVault-platform</w:t>
            </w:r>
          </w:p>
        </w:tc>
      </w:tr>
    </w:tbl>
    <w:p>
      <w:pPr>
        <w:pStyle w:val="Heading1"/>
        <w:spacing w:before="0" w:after="140"/>
        <w:rPr/>
      </w:pPr>
      <w:r>
        <w:br w:type="page"/>
      </w:r>
      <w:bookmarkStart w:id="0" w:name="__RefHeading___Toc9914_3694443629"/>
      <w:bookmarkEnd w:id="0"/>
      <w:r>
        <w:rPr>
          <w:rFonts w:eastAsia="Calibri" w:cs="Calibri" w:ascii="Calibri" w:hAnsi="Calibri"/>
          <w:b/>
          <w:bCs/>
          <w:color w:val="1F3864"/>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9914_3694443629" w:tooltip="Table of Contents">
            <w:r>
              <w:rPr>
                <w:rStyle w:val="IndexLink"/>
              </w:rPr>
              <w:t>Table of Contents</w:t>
              <w:tab/>
              <w:t>2</w:t>
            </w:r>
          </w:hyperlink>
        </w:p>
        <w:p>
          <w:pPr>
            <w:pStyle w:val="TOC1"/>
            <w:tabs>
              <w:tab w:val="clear" w:pos="9360"/>
              <w:tab w:val="right" w:pos="9359" w:leader="dot"/>
            </w:tabs>
            <w:rPr/>
          </w:pPr>
          <w:hyperlink w:anchor="__RefHeading___Toc9916_3694443629" w:tooltip="1. Executive Summary">
            <w:r>
              <w:rPr>
                <w:rStyle w:val="IndexLink"/>
              </w:rPr>
              <w:t>1. Executive Summary</w:t>
              <w:tab/>
              <w:t>4</w:t>
            </w:r>
          </w:hyperlink>
        </w:p>
        <w:p>
          <w:pPr>
            <w:pStyle w:val="TOC2"/>
            <w:tabs>
              <w:tab w:val="clear" w:pos="9077"/>
              <w:tab w:val="right" w:pos="9359" w:leader="dot"/>
            </w:tabs>
            <w:rPr/>
          </w:pPr>
          <w:hyperlink w:anchor="__RefHeading___Toc9918_3694443629" w:tooltip="1.1 Overall Security Posture">
            <w:r>
              <w:rPr>
                <w:rStyle w:val="IndexLink"/>
              </w:rPr>
              <w:t>1.1 Overall Security Posture</w:t>
              <w:tab/>
              <w:t>4</w:t>
            </w:r>
          </w:hyperlink>
        </w:p>
        <w:p>
          <w:pPr>
            <w:pStyle w:val="TOC1"/>
            <w:tabs>
              <w:tab w:val="clear" w:pos="9360"/>
              <w:tab w:val="right" w:pos="9359" w:leader="dot"/>
            </w:tabs>
            <w:rPr/>
          </w:pPr>
          <w:hyperlink w:anchor="__RefHeading___Toc9920_3694443629" w:tooltip="2. Project Overview &amp; Scope">
            <w:r>
              <w:rPr>
                <w:rStyle w:val="IndexLink"/>
              </w:rPr>
              <w:t>2. Project Overview &amp; Scope</w:t>
              <w:tab/>
              <w:t>5</w:t>
            </w:r>
          </w:hyperlink>
        </w:p>
        <w:p>
          <w:pPr>
            <w:pStyle w:val="TOC2"/>
            <w:tabs>
              <w:tab w:val="clear" w:pos="9077"/>
              <w:tab w:val="right" w:pos="9359" w:leader="dot"/>
            </w:tabs>
            <w:rPr/>
          </w:pPr>
          <w:hyperlink w:anchor="__RefHeading___Toc9922_3694443629" w:tooltip="2.1 System Description">
            <w:r>
              <w:rPr>
                <w:rStyle w:val="IndexLink"/>
              </w:rPr>
              <w:t>2.1 System Description</w:t>
              <w:tab/>
              <w:t>5</w:t>
            </w:r>
          </w:hyperlink>
        </w:p>
        <w:p>
          <w:pPr>
            <w:pStyle w:val="TOC2"/>
            <w:tabs>
              <w:tab w:val="clear" w:pos="9077"/>
              <w:tab w:val="right" w:pos="9359" w:leader="dot"/>
            </w:tabs>
            <w:rPr/>
          </w:pPr>
          <w:hyperlink w:anchor="__RefHeading___Toc9924_3694443629" w:tooltip="2.2 Services &amp; Endpoints">
            <w:r>
              <w:rPr>
                <w:rStyle w:val="IndexLink"/>
              </w:rPr>
              <w:t>2.2 Services &amp; Endpoints</w:t>
              <w:tab/>
              <w:t>5</w:t>
            </w:r>
          </w:hyperlink>
        </w:p>
        <w:p>
          <w:pPr>
            <w:pStyle w:val="TOC2"/>
            <w:tabs>
              <w:tab w:val="clear" w:pos="9077"/>
              <w:tab w:val="right" w:pos="9359" w:leader="dot"/>
            </w:tabs>
            <w:rPr/>
          </w:pPr>
          <w:hyperlink w:anchor="__RefHeading___Toc9926_3694443629" w:tooltip="2.3 Team &amp; Roles">
            <w:r>
              <w:rPr>
                <w:rStyle w:val="IndexLink"/>
              </w:rPr>
              <w:t>2.3 Team &amp; Roles</w:t>
              <w:tab/>
              <w:t>5</w:t>
            </w:r>
          </w:hyperlink>
        </w:p>
        <w:p>
          <w:pPr>
            <w:pStyle w:val="TOC2"/>
            <w:tabs>
              <w:tab w:val="clear" w:pos="9077"/>
              <w:tab w:val="right" w:pos="9359" w:leader="dot"/>
            </w:tabs>
            <w:rPr/>
          </w:pPr>
          <w:hyperlink w:anchor="__RefHeading___Toc9928_3694443629" w:tooltip="2.4 Repository &amp; Implementation Status">
            <w:r>
              <w:rPr>
                <w:rStyle w:val="IndexLink"/>
              </w:rPr>
              <w:t>2.4 Repository &amp; Implementation Status</w:t>
              <w:tab/>
              <w:t>5</w:t>
            </w:r>
          </w:hyperlink>
        </w:p>
        <w:p>
          <w:pPr>
            <w:pStyle w:val="TOC1"/>
            <w:tabs>
              <w:tab w:val="clear" w:pos="9360"/>
              <w:tab w:val="right" w:pos="9359" w:leader="dot"/>
            </w:tabs>
            <w:rPr/>
          </w:pPr>
          <w:hyperlink w:anchor="__RefHeading___Toc9930_3694443629" w:tooltip="3. Security Objectives — CIA Triad">
            <w:r>
              <w:rPr>
                <w:rStyle w:val="IndexLink"/>
              </w:rPr>
              <w:t>3. Security Objectives — CIA Triad</w:t>
              <w:tab/>
              <w:t>7</w:t>
            </w:r>
          </w:hyperlink>
        </w:p>
        <w:p>
          <w:pPr>
            <w:pStyle w:val="TOC1"/>
            <w:tabs>
              <w:tab w:val="clear" w:pos="9360"/>
              <w:tab w:val="right" w:pos="9359" w:leader="dot"/>
            </w:tabs>
            <w:rPr/>
          </w:pPr>
          <w:hyperlink w:anchor="__RefHeading___Toc9932_3694443629" w:tooltip="4. Secure Architecture Summary">
            <w:r>
              <w:rPr>
                <w:rStyle w:val="IndexLink"/>
              </w:rPr>
              <w:t>4. Secure Architecture Summary</w:t>
              <w:tab/>
              <w:t>8</w:t>
            </w:r>
          </w:hyperlink>
        </w:p>
        <w:p>
          <w:pPr>
            <w:pStyle w:val="TOC2"/>
            <w:tabs>
              <w:tab w:val="clear" w:pos="9077"/>
              <w:tab w:val="right" w:pos="9359" w:leader="dot"/>
            </w:tabs>
            <w:rPr/>
          </w:pPr>
          <w:hyperlink w:anchor="__RefHeading___Toc9934_3694443629" w:tooltip="4.1 Zero Trust Principles Applied">
            <w:r>
              <w:rPr>
                <w:rStyle w:val="IndexLink"/>
              </w:rPr>
              <w:t>4.1 Zero Trust Principles Applied</w:t>
              <w:tab/>
              <w:t>8</w:t>
            </w:r>
          </w:hyperlink>
        </w:p>
        <w:p>
          <w:pPr>
            <w:pStyle w:val="TOC2"/>
            <w:tabs>
              <w:tab w:val="clear" w:pos="9077"/>
              <w:tab w:val="right" w:pos="9359" w:leader="dot"/>
            </w:tabs>
            <w:rPr/>
          </w:pPr>
          <w:hyperlink w:anchor="__RefHeading___Toc9936_3694443629" w:tooltip="4.2 Logical Architecture">
            <w:r>
              <w:rPr>
                <w:rStyle w:val="IndexLink"/>
              </w:rPr>
              <w:t>4.2 Logical Architecture</w:t>
              <w:tab/>
              <w:t>8</w:t>
            </w:r>
          </w:hyperlink>
        </w:p>
        <w:p>
          <w:pPr>
            <w:pStyle w:val="TOC2"/>
            <w:tabs>
              <w:tab w:val="clear" w:pos="9077"/>
              <w:tab w:val="right" w:pos="9359" w:leader="dot"/>
            </w:tabs>
            <w:rPr/>
          </w:pPr>
          <w:hyperlink w:anchor="__RefHeading___Toc9938_3694443629" w:tooltip="4.3 SABSA Architecture Justification">
            <w:r>
              <w:rPr>
                <w:rStyle w:val="IndexLink"/>
              </w:rPr>
              <w:t>4.3 SABSA Architecture Justification</w:t>
              <w:tab/>
              <w:t>8</w:t>
            </w:r>
          </w:hyperlink>
        </w:p>
        <w:p>
          <w:pPr>
            <w:pStyle w:val="TOC1"/>
            <w:tabs>
              <w:tab w:val="clear" w:pos="9360"/>
              <w:tab w:val="right" w:pos="9359" w:leader="dot"/>
            </w:tabs>
            <w:rPr/>
          </w:pPr>
          <w:hyperlink w:anchor="__RefHeading___Toc9940_3694443629" w:tooltip="5. Threat Landscape Summary">
            <w:r>
              <w:rPr>
                <w:rStyle w:val="IndexLink"/>
              </w:rPr>
              <w:t>5. Threat Landscape Summary</w:t>
              <w:tab/>
              <w:t>9</w:t>
            </w:r>
          </w:hyperlink>
        </w:p>
        <w:p>
          <w:pPr>
            <w:pStyle w:val="TOC2"/>
            <w:tabs>
              <w:tab w:val="clear" w:pos="9077"/>
              <w:tab w:val="right" w:pos="9359" w:leader="dot"/>
            </w:tabs>
            <w:rPr/>
          </w:pPr>
          <w:hyperlink w:anchor="__RefHeading___Toc9942_3694443629" w:tooltip="5.1 Highest-Priority Risks (DREAD)">
            <w:r>
              <w:rPr>
                <w:rStyle w:val="IndexLink"/>
              </w:rPr>
              <w:t>5.1 Highest-Priority Risks (DREAD)</w:t>
              <w:tab/>
              <w:t>9</w:t>
            </w:r>
          </w:hyperlink>
        </w:p>
        <w:p>
          <w:pPr>
            <w:pStyle w:val="TOC2"/>
            <w:tabs>
              <w:tab w:val="clear" w:pos="9077"/>
              <w:tab w:val="right" w:pos="9359" w:leader="dot"/>
            </w:tabs>
            <w:rPr/>
          </w:pPr>
          <w:hyperlink w:anchor="__RefHeading___Toc9944_3694443629" w:tooltip="5.2 PASTA Risk Assessment (Summary)">
            <w:r>
              <w:rPr>
                <w:rStyle w:val="IndexLink"/>
              </w:rPr>
              <w:t>5.2 PASTA Risk Assessment (Summary)</w:t>
              <w:tab/>
              <w:t>9</w:t>
            </w:r>
          </w:hyperlink>
        </w:p>
        <w:p>
          <w:pPr>
            <w:pStyle w:val="TOC2"/>
            <w:tabs>
              <w:tab w:val="clear" w:pos="9077"/>
              <w:tab w:val="right" w:pos="9359" w:leader="dot"/>
            </w:tabs>
            <w:rPr/>
          </w:pPr>
          <w:hyperlink w:anchor="__RefHeading___Toc9946_3694443629" w:tooltip="5.3 MITRE ATT&amp;CK Coverage Heatmap">
            <w:r>
              <w:rPr>
                <w:rStyle w:val="IndexLink"/>
              </w:rPr>
              <w:t>5.3 MITRE ATT&amp;CK Coverage Heatmap</w:t>
              <w:tab/>
              <w:t>9</w:t>
            </w:r>
          </w:hyperlink>
        </w:p>
        <w:p>
          <w:pPr>
            <w:pStyle w:val="TOC1"/>
            <w:tabs>
              <w:tab w:val="clear" w:pos="9360"/>
              <w:tab w:val="right" w:pos="9359" w:leader="dot"/>
            </w:tabs>
            <w:rPr/>
          </w:pPr>
          <w:hyperlink w:anchor="__RefHeading___Toc9948_3694443629" w:tooltip="6. NIST Cybersecurity Framework Alignment">
            <w:r>
              <w:rPr>
                <w:rStyle w:val="IndexLink"/>
              </w:rPr>
              <w:t>6. NIST Cybersecurity Framework Alignment</w:t>
              <w:tab/>
              <w:t>11</w:t>
            </w:r>
          </w:hyperlink>
        </w:p>
        <w:p>
          <w:pPr>
            <w:pStyle w:val="TOC2"/>
            <w:tabs>
              <w:tab w:val="clear" w:pos="9077"/>
              <w:tab w:val="right" w:pos="9359" w:leader="dot"/>
            </w:tabs>
            <w:rPr/>
          </w:pPr>
          <w:hyperlink w:anchor="__RefHeading___Toc9950_3694443629" w:tooltip="6.1 Function-Level Maturity Summary">
            <w:r>
              <w:rPr>
                <w:rStyle w:val="IndexLink"/>
              </w:rPr>
              <w:t>6.1 Function-Level Maturity Summary</w:t>
              <w:tab/>
              <w:t>11</w:t>
            </w:r>
          </w:hyperlink>
        </w:p>
        <w:p>
          <w:pPr>
            <w:pStyle w:val="TOC2"/>
            <w:tabs>
              <w:tab w:val="clear" w:pos="9077"/>
              <w:tab w:val="right" w:pos="9359" w:leader="dot"/>
            </w:tabs>
            <w:rPr/>
          </w:pPr>
          <w:hyperlink w:anchor="__RefHeading___Toc9952_3694443629" w:tooltip="6.2 IDENTIFY">
            <w:r>
              <w:rPr>
                <w:rStyle w:val="IndexLink"/>
              </w:rPr>
              <w:t>6.2 IDENTIFY</w:t>
              <w:tab/>
              <w:t>11</w:t>
            </w:r>
          </w:hyperlink>
        </w:p>
        <w:p>
          <w:pPr>
            <w:pStyle w:val="TOC2"/>
            <w:tabs>
              <w:tab w:val="clear" w:pos="9077"/>
              <w:tab w:val="right" w:pos="9359" w:leader="dot"/>
            </w:tabs>
            <w:rPr/>
          </w:pPr>
          <w:hyperlink w:anchor="__RefHeading___Toc9954_3694443629" w:tooltip="6.3 PROTECT">
            <w:r>
              <w:rPr>
                <w:rStyle w:val="IndexLink"/>
              </w:rPr>
              <w:t>6.3 PROTECT</w:t>
              <w:tab/>
              <w:t>11</w:t>
            </w:r>
          </w:hyperlink>
        </w:p>
        <w:p>
          <w:pPr>
            <w:pStyle w:val="TOC2"/>
            <w:tabs>
              <w:tab w:val="clear" w:pos="9077"/>
              <w:tab w:val="right" w:pos="9359" w:leader="dot"/>
            </w:tabs>
            <w:rPr/>
          </w:pPr>
          <w:hyperlink w:anchor="__RefHeading___Toc9956_3694443629" w:tooltip="6.4 DETECT">
            <w:r>
              <w:rPr>
                <w:rStyle w:val="IndexLink"/>
              </w:rPr>
              <w:t>6.4 DETECT</w:t>
              <w:tab/>
              <w:t>12</w:t>
            </w:r>
          </w:hyperlink>
        </w:p>
        <w:p>
          <w:pPr>
            <w:pStyle w:val="TOC2"/>
            <w:tabs>
              <w:tab w:val="clear" w:pos="9077"/>
              <w:tab w:val="right" w:pos="9359" w:leader="dot"/>
            </w:tabs>
            <w:rPr/>
          </w:pPr>
          <w:hyperlink w:anchor="__RefHeading___Toc9958_3694443629" w:tooltip="6.5 RESPOND">
            <w:r>
              <w:rPr>
                <w:rStyle w:val="IndexLink"/>
              </w:rPr>
              <w:t>6.5 RESPOND</w:t>
              <w:tab/>
              <w:t>12</w:t>
            </w:r>
          </w:hyperlink>
        </w:p>
        <w:p>
          <w:pPr>
            <w:pStyle w:val="TOC2"/>
            <w:tabs>
              <w:tab w:val="clear" w:pos="9077"/>
              <w:tab w:val="right" w:pos="9359" w:leader="dot"/>
            </w:tabs>
            <w:rPr/>
          </w:pPr>
          <w:hyperlink w:anchor="__RefHeading___Toc9960_3694443629" w:tooltip="6.6 RECOVER">
            <w:r>
              <w:rPr>
                <w:rStyle w:val="IndexLink"/>
              </w:rPr>
              <w:t>6.6 RECOVER</w:t>
              <w:tab/>
              <w:t>13</w:t>
            </w:r>
          </w:hyperlink>
        </w:p>
        <w:p>
          <w:pPr>
            <w:pStyle w:val="TOC1"/>
            <w:tabs>
              <w:tab w:val="clear" w:pos="9360"/>
              <w:tab w:val="right" w:pos="9359" w:leader="dot"/>
            </w:tabs>
            <w:rPr/>
          </w:pPr>
          <w:hyperlink w:anchor="__RefHeading___Toc9962_3694443629" w:tooltip="7. Multi-Framework Compliance Mapping">
            <w:r>
              <w:rPr>
                <w:rStyle w:val="IndexLink"/>
              </w:rPr>
              <w:t>7. Multi-Framework Compliance Mapping</w:t>
              <w:tab/>
              <w:t>14</w:t>
            </w:r>
          </w:hyperlink>
        </w:p>
        <w:p>
          <w:pPr>
            <w:pStyle w:val="TOC2"/>
            <w:tabs>
              <w:tab w:val="clear" w:pos="9077"/>
              <w:tab w:val="right" w:pos="9359" w:leader="dot"/>
            </w:tabs>
            <w:rPr/>
          </w:pPr>
          <w:hyperlink w:anchor="__RefHeading___Toc9964_3694443629" w:tooltip="7.1 Master Compliance Table">
            <w:r>
              <w:rPr>
                <w:rStyle w:val="IndexLink"/>
              </w:rPr>
              <w:t>7.1 Master Compliance Table</w:t>
              <w:tab/>
              <w:t>14</w:t>
            </w:r>
          </w:hyperlink>
        </w:p>
        <w:p>
          <w:pPr>
            <w:pStyle w:val="TOC2"/>
            <w:tabs>
              <w:tab w:val="clear" w:pos="9077"/>
              <w:tab w:val="right" w:pos="9359" w:leader="dot"/>
            </w:tabs>
            <w:rPr/>
          </w:pPr>
          <w:hyperlink w:anchor="__RefHeading___Toc9966_3694443629" w:tooltip="7.2 OWASP ASVS v5.0 Verification">
            <w:r>
              <w:rPr>
                <w:rStyle w:val="IndexLink"/>
              </w:rPr>
              <w:t>7.2 OWASP ASVS v5.0 Verification</w:t>
              <w:tab/>
              <w:t>14</w:t>
            </w:r>
          </w:hyperlink>
        </w:p>
        <w:p>
          <w:pPr>
            <w:pStyle w:val="TOC2"/>
            <w:tabs>
              <w:tab w:val="clear" w:pos="9077"/>
              <w:tab w:val="right" w:pos="9359" w:leader="dot"/>
            </w:tabs>
            <w:rPr/>
          </w:pPr>
          <w:hyperlink w:anchor="__RefHeading___Toc9968_3694443629" w:tooltip="7.3 ISO/IEC 27034 &amp; CSA CCM (Summary)">
            <w:r>
              <w:rPr>
                <w:rStyle w:val="IndexLink"/>
              </w:rPr>
              <w:t>7.3 ISO/IEC 27034 &amp; CSA CCM (Summary)</w:t>
              <w:tab/>
              <w:t>15</w:t>
            </w:r>
          </w:hyperlink>
        </w:p>
        <w:p>
          <w:pPr>
            <w:pStyle w:val="TOC2"/>
            <w:tabs>
              <w:tab w:val="clear" w:pos="9077"/>
              <w:tab w:val="right" w:pos="9359" w:leader="dot"/>
            </w:tabs>
            <w:rPr/>
          </w:pPr>
          <w:hyperlink w:anchor="__RefHeading___Toc9970_3694443629" w:tooltip="7.4 CIS Docker &amp; Kubernetes Benchmarks">
            <w:r>
              <w:rPr>
                <w:rStyle w:val="IndexLink"/>
              </w:rPr>
              <w:t>7.4 CIS Docker &amp; Kubernetes Benchmarks</w:t>
              <w:tab/>
              <w:t>15</w:t>
            </w:r>
          </w:hyperlink>
        </w:p>
        <w:p>
          <w:pPr>
            <w:pStyle w:val="TOC1"/>
            <w:tabs>
              <w:tab w:val="clear" w:pos="9360"/>
              <w:tab w:val="right" w:pos="9359" w:leader="dot"/>
            </w:tabs>
            <w:rPr/>
          </w:pPr>
          <w:hyperlink w:anchor="__RefHeading___Toc9972_3694443629" w:tooltip="8. Security Testing &amp; Assurance Results">
            <w:r>
              <w:rPr>
                <w:rStyle w:val="IndexLink"/>
              </w:rPr>
              <w:t>8. Security Testing &amp; Assurance Results</w:t>
              <w:tab/>
              <w:t>16</w:t>
            </w:r>
          </w:hyperlink>
        </w:p>
        <w:p>
          <w:pPr>
            <w:pStyle w:val="TOC2"/>
            <w:tabs>
              <w:tab w:val="clear" w:pos="9077"/>
              <w:tab w:val="right" w:pos="9359" w:leader="dot"/>
            </w:tabs>
            <w:rPr/>
          </w:pPr>
          <w:hyperlink w:anchor="__RefHeading___Toc9974_3694443629" w:tooltip="8.1 Testing Summary">
            <w:r>
              <w:rPr>
                <w:rStyle w:val="IndexLink"/>
              </w:rPr>
              <w:t>8.1 Testing Summary</w:t>
              <w:tab/>
              <w:t>16</w:t>
            </w:r>
          </w:hyperlink>
        </w:p>
        <w:p>
          <w:pPr>
            <w:pStyle w:val="TOC2"/>
            <w:tabs>
              <w:tab w:val="clear" w:pos="9077"/>
              <w:tab w:val="right" w:pos="9359" w:leader="dot"/>
            </w:tabs>
            <w:rPr/>
          </w:pPr>
          <w:hyperlink w:anchor="__RefHeading___Toc9976_3694443629" w:tooltip="8.2 Static Analysis (SAST)">
            <w:r>
              <w:rPr>
                <w:rStyle w:val="IndexLink"/>
              </w:rPr>
              <w:t>8.2 Static Analysis (SAST)</w:t>
              <w:tab/>
              <w:t>16</w:t>
            </w:r>
          </w:hyperlink>
        </w:p>
        <w:p>
          <w:pPr>
            <w:pStyle w:val="TOC2"/>
            <w:tabs>
              <w:tab w:val="clear" w:pos="9077"/>
              <w:tab w:val="right" w:pos="9359" w:leader="dot"/>
            </w:tabs>
            <w:rPr/>
          </w:pPr>
          <w:hyperlink w:anchor="__RefHeading___Toc9978_3694443629" w:tooltip="8.3 Dynamic Analysis (DAST) — OWASP ZAP">
            <w:r>
              <w:rPr>
                <w:rStyle w:val="IndexLink"/>
              </w:rPr>
              <w:t>8.3 Dynamic Analysis (DAST) — OWASP ZAP</w:t>
              <w:tab/>
              <w:t>17</w:t>
            </w:r>
          </w:hyperlink>
        </w:p>
        <w:p>
          <w:pPr>
            <w:pStyle w:val="TOC2"/>
            <w:tabs>
              <w:tab w:val="clear" w:pos="9077"/>
              <w:tab w:val="right" w:pos="9359" w:leader="dot"/>
            </w:tabs>
            <w:rPr/>
          </w:pPr>
          <w:hyperlink w:anchor="__RefHeading___Toc9980_3694443629" w:tooltip="8.4 Container Image Scanning — Trivy">
            <w:r>
              <w:rPr>
                <w:rStyle w:val="IndexLink"/>
              </w:rPr>
              <w:t>8.4 Container Image Scanning — Trivy</w:t>
              <w:tab/>
              <w:t>17</w:t>
            </w:r>
          </w:hyperlink>
        </w:p>
        <w:p>
          <w:pPr>
            <w:pStyle w:val="TOC2"/>
            <w:tabs>
              <w:tab w:val="clear" w:pos="9077"/>
              <w:tab w:val="right" w:pos="9359" w:leader="dot"/>
            </w:tabs>
            <w:rPr/>
          </w:pPr>
          <w:hyperlink w:anchor="__RefHeading___Toc9982_3694443629" w:tooltip="8.5 API Penetration Testing — Postman">
            <w:r>
              <w:rPr>
                <w:rStyle w:val="IndexLink"/>
              </w:rPr>
              <w:t>8.5 API Penetration Testing — Postman</w:t>
              <w:tab/>
              <w:t>18</w:t>
            </w:r>
          </w:hyperlink>
        </w:p>
        <w:p>
          <w:pPr>
            <w:pStyle w:val="TOC2"/>
            <w:tabs>
              <w:tab w:val="clear" w:pos="9077"/>
              <w:tab w:val="right" w:pos="9359" w:leader="dot"/>
            </w:tabs>
            <w:rPr/>
          </w:pPr>
          <w:hyperlink w:anchor="__RefHeading___Toc9984_3694443629" w:tooltip="8.6 Memory Safety Demonstration">
            <w:r>
              <w:rPr>
                <w:rStyle w:val="IndexLink"/>
              </w:rPr>
              <w:t>8.6 Memory Safety Demonstration</w:t>
              <w:tab/>
              <w:t>19</w:t>
            </w:r>
          </w:hyperlink>
        </w:p>
        <w:p>
          <w:pPr>
            <w:pStyle w:val="TOC2"/>
            <w:tabs>
              <w:tab w:val="clear" w:pos="9077"/>
              <w:tab w:val="right" w:pos="9359" w:leader="dot"/>
            </w:tabs>
            <w:rPr/>
          </w:pPr>
          <w:hyperlink w:anchor="__RefHeading___Toc9986_3694443629" w:tooltip="8.7 AI/ML Anomaly Detection">
            <w:r>
              <w:rPr>
                <w:rStyle w:val="IndexLink"/>
              </w:rPr>
              <w:t>8.7 AI/ML Anomaly Detection</w:t>
              <w:tab/>
              <w:t>19</w:t>
            </w:r>
          </w:hyperlink>
        </w:p>
        <w:p>
          <w:pPr>
            <w:pStyle w:val="TOC1"/>
            <w:tabs>
              <w:tab w:val="clear" w:pos="9360"/>
              <w:tab w:val="right" w:pos="9359" w:leader="dot"/>
            </w:tabs>
            <w:rPr/>
          </w:pPr>
          <w:hyperlink w:anchor="__RefHeading___Toc9988_3694443629" w:tooltip="9. Key Findings &amp; Remediation">
            <w:r>
              <w:rPr>
                <w:rStyle w:val="IndexLink"/>
              </w:rPr>
              <w:t>9. Key Findings &amp; Remediation</w:t>
              <w:tab/>
              <w:t>20</w:t>
            </w:r>
          </w:hyperlink>
        </w:p>
        <w:p>
          <w:pPr>
            <w:pStyle w:val="TOC1"/>
            <w:tabs>
              <w:tab w:val="clear" w:pos="9360"/>
              <w:tab w:val="right" w:pos="9359" w:leader="dot"/>
            </w:tabs>
            <w:rPr/>
          </w:pPr>
          <w:hyperlink w:anchor="__RefHeading___Toc9990_3694443629" w:tooltip="10. Runtime Security, Monitoring &amp; SIEM">
            <w:r>
              <w:rPr>
                <w:rStyle w:val="IndexLink"/>
              </w:rPr>
              <w:t>10. Runtime Security, Monitoring &amp; SIEM</w:t>
              <w:tab/>
              <w:t>21</w:t>
            </w:r>
          </w:hyperlink>
        </w:p>
        <w:p>
          <w:pPr>
            <w:pStyle w:val="TOC2"/>
            <w:tabs>
              <w:tab w:val="clear" w:pos="9077"/>
              <w:tab w:val="right" w:pos="9359" w:leader="dot"/>
            </w:tabs>
            <w:rPr/>
          </w:pPr>
          <w:hyperlink w:anchor="__RefHeading___Toc9992_3694443629" w:tooltip="10.1 SIEM Correlation Rules">
            <w:r>
              <w:rPr>
                <w:rStyle w:val="IndexLink"/>
              </w:rPr>
              <w:t>10.1 SIEM Correlation Rules</w:t>
              <w:tab/>
              <w:t>21</w:t>
            </w:r>
          </w:hyperlink>
        </w:p>
        <w:p>
          <w:pPr>
            <w:pStyle w:val="TOC2"/>
            <w:tabs>
              <w:tab w:val="clear" w:pos="9077"/>
              <w:tab w:val="right" w:pos="9359" w:leader="dot"/>
            </w:tabs>
            <w:rPr/>
          </w:pPr>
          <w:hyperlink w:anchor="__RefHeading___Toc9994_3694443629" w:tooltip="10.2 Falco Runtime Rules">
            <w:r>
              <w:rPr>
                <w:rStyle w:val="IndexLink"/>
              </w:rPr>
              <w:t>10.2 Falco Runtime Rules</w:t>
              <w:tab/>
              <w:t>21</w:t>
            </w:r>
          </w:hyperlink>
        </w:p>
        <w:p>
          <w:pPr>
            <w:pStyle w:val="TOC1"/>
            <w:tabs>
              <w:tab w:val="clear" w:pos="9360"/>
              <w:tab w:val="right" w:pos="9359" w:leader="dot"/>
            </w:tabs>
            <w:rPr/>
          </w:pPr>
          <w:hyperlink w:anchor="__RefHeading___Toc9996_3694443629" w:tooltip="11. Red Team / Blue Team Defense Summary">
            <w:r>
              <w:rPr>
                <w:rStyle w:val="IndexLink"/>
              </w:rPr>
              <w:t>11. Red Team / Blue Team Defense Summary</w:t>
              <w:tab/>
              <w:t>22</w:t>
            </w:r>
          </w:hyperlink>
        </w:p>
        <w:p>
          <w:pPr>
            <w:pStyle w:val="TOC2"/>
            <w:tabs>
              <w:tab w:val="clear" w:pos="9077"/>
              <w:tab w:val="right" w:pos="9359" w:leader="dot"/>
            </w:tabs>
            <w:rPr/>
          </w:pPr>
          <w:hyperlink w:anchor="__RefHeading___Toc9998_3694443629" w:tooltip="11.1 Attack Scenarios">
            <w:r>
              <w:rPr>
                <w:rStyle w:val="IndexLink"/>
              </w:rPr>
              <w:t>11.1 Attack Scenarios</w:t>
              <w:tab/>
              <w:t>22</w:t>
            </w:r>
          </w:hyperlink>
        </w:p>
        <w:p>
          <w:pPr>
            <w:pStyle w:val="TOC2"/>
            <w:tabs>
              <w:tab w:val="clear" w:pos="9077"/>
              <w:tab w:val="right" w:pos="9359" w:leader="dot"/>
            </w:tabs>
            <w:rPr/>
          </w:pPr>
          <w:hyperlink w:anchor="__RefHeading___Toc10000_3694443629" w:tooltip="11.2 Blue Team Runbook (NIST SP 800-61)">
            <w:r>
              <w:rPr>
                <w:rStyle w:val="IndexLink"/>
              </w:rPr>
              <w:t>11.2 Blue Team Runbook (NIST SP 800-61)</w:t>
              <w:tab/>
              <w:t>22</w:t>
            </w:r>
          </w:hyperlink>
        </w:p>
        <w:p>
          <w:pPr>
            <w:pStyle w:val="TOC1"/>
            <w:tabs>
              <w:tab w:val="clear" w:pos="9360"/>
              <w:tab w:val="right" w:pos="9359" w:leader="dot"/>
            </w:tabs>
            <w:rPr/>
          </w:pPr>
          <w:hyperlink w:anchor="__RefHeading___Toc10002_3694443629" w:tooltip="12. Residual Risk &amp; Recommendations">
            <w:r>
              <w:rPr>
                <w:rStyle w:val="IndexLink"/>
              </w:rPr>
              <w:t>12. Residual Risk &amp; Recommendations</w:t>
              <w:tab/>
              <w:t>23</w:t>
            </w:r>
          </w:hyperlink>
        </w:p>
        <w:p>
          <w:pPr>
            <w:pStyle w:val="TOC2"/>
            <w:tabs>
              <w:tab w:val="clear" w:pos="9077"/>
              <w:tab w:val="right" w:pos="9359" w:leader="dot"/>
            </w:tabs>
            <w:rPr/>
          </w:pPr>
          <w:hyperlink w:anchor="__RefHeading___Toc10004_3694443629" w:tooltip="12.1 Immediate (before/at demo)">
            <w:r>
              <w:rPr>
                <w:rStyle w:val="IndexLink"/>
              </w:rPr>
              <w:t>12.1 Immediate (before/at demo)</w:t>
              <w:tab/>
              <w:t>23</w:t>
            </w:r>
          </w:hyperlink>
        </w:p>
        <w:p>
          <w:pPr>
            <w:pStyle w:val="TOC2"/>
            <w:tabs>
              <w:tab w:val="clear" w:pos="9077"/>
              <w:tab w:val="right" w:pos="9359" w:leader="dot"/>
            </w:tabs>
            <w:rPr/>
          </w:pPr>
          <w:hyperlink w:anchor="__RefHeading___Toc10006_3694443629" w:tooltip="12.2 Short term">
            <w:r>
              <w:rPr>
                <w:rStyle w:val="IndexLink"/>
              </w:rPr>
              <w:t>12.2 Short term</w:t>
              <w:tab/>
              <w:t>23</w:t>
            </w:r>
          </w:hyperlink>
        </w:p>
        <w:p>
          <w:pPr>
            <w:pStyle w:val="TOC2"/>
            <w:tabs>
              <w:tab w:val="clear" w:pos="9077"/>
              <w:tab w:val="right" w:pos="9359" w:leader="dot"/>
            </w:tabs>
            <w:rPr/>
          </w:pPr>
          <w:hyperlink w:anchor="__RefHeading___Toc10008_3694443629" w:tooltip="12.3 Strategic">
            <w:r>
              <w:rPr>
                <w:rStyle w:val="IndexLink"/>
              </w:rPr>
              <w:t>12.3 Strategic</w:t>
              <w:tab/>
              <w:t>23</w:t>
            </w:r>
          </w:hyperlink>
        </w:p>
        <w:p>
          <w:pPr>
            <w:pStyle w:val="TOC1"/>
            <w:tabs>
              <w:tab w:val="clear" w:pos="9360"/>
              <w:tab w:val="right" w:pos="9359" w:leader="dot"/>
            </w:tabs>
            <w:rPr/>
          </w:pPr>
          <w:hyperlink w:anchor="__RefHeading___Toc10010_3694443629" w:tooltip="13. Conclusion">
            <w:r>
              <w:rPr>
                <w:rStyle w:val="IndexLink"/>
              </w:rPr>
              <w:t>13. Conclusion</w:t>
              <w:tab/>
              <w:t>24</w:t>
            </w:r>
          </w:hyperlink>
        </w:p>
        <w:p>
          <w:pPr>
            <w:pStyle w:val="TOC1"/>
            <w:tabs>
              <w:tab w:val="clear" w:pos="9360"/>
              <w:tab w:val="right" w:pos="9359" w:leader="dot"/>
            </w:tabs>
            <w:rPr/>
          </w:pPr>
          <w:hyperlink w:anchor="__RefHeading___Toc10012_3694443629" w:tooltip="Appendix A — Framework Coverage Index">
            <w:r>
              <w:rPr>
                <w:rStyle w:val="IndexLink"/>
              </w:rPr>
              <w:t>Appendix A — Framework Coverage Index</w:t>
              <w:tab/>
              <w:t>25</w:t>
            </w:r>
          </w:hyperlink>
        </w:p>
        <w:p>
          <w:pPr>
            <w:pStyle w:val="TOC1"/>
            <w:tabs>
              <w:tab w:val="clear" w:pos="9360"/>
              <w:tab w:val="right" w:pos="9359" w:leader="dot"/>
            </w:tabs>
            <w:rPr/>
          </w:pPr>
          <w:hyperlink w:anchor="__RefHeading___Toc10014_3694443629" w:tooltip="Appendix B — Screenshot Evidence Checklist">
            <w:r>
              <w:rPr>
                <w:rStyle w:val="IndexLink"/>
              </w:rPr>
              <w:t>Appendix B — Screenshot Evidence Checklist</w:t>
              <w:tab/>
              <w:t>25</w:t>
            </w:r>
          </w:hyperlink>
          <w:r>
            <w:rPr>
              <w:rStyle w:val="IndexLink"/>
            </w:rPr>
            <w:fldChar w:fldCharType="end"/>
          </w:r>
        </w:p>
      </w:sdtContent>
    </w:sdt>
    <w:p>
      <w:pPr>
        <w:pStyle w:val="Normal"/>
        <w:rPr>
          <w:rFonts w:ascii="Calibri" w:hAnsi="Calibri" w:eastAsia="Calibri" w:cs="Calibri"/>
          <w:b/>
          <w:bCs/>
          <w:color w:val="1F3864"/>
          <w:sz w:val="30"/>
          <w:szCs w:val="30"/>
        </w:rPr>
      </w:pPr>
      <w:r>
        <w:rPr>
          <w:rFonts w:eastAsia="Calibri" w:cs="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320" w:after="140"/>
        <w:rPr>
          <w:rFonts w:ascii="Calibri" w:hAnsi="Calibri" w:eastAsia="Calibri" w:cs="Calibri"/>
          <w:b/>
          <w:bCs/>
          <w:color w:val="1F3864"/>
          <w:sz w:val="30"/>
          <w:szCs w:val="30"/>
        </w:rPr>
      </w:pPr>
      <w:bookmarkStart w:id="1" w:name="__RefHeading___Toc9916_3694443629"/>
      <w:bookmarkEnd w:id="1"/>
      <w:r>
        <w:rPr>
          <w:rFonts w:eastAsia="Calibri" w:cs="Calibri" w:ascii="Calibri" w:hAnsi="Calibri"/>
          <w:b/>
          <w:bCs/>
          <w:color w:val="1F3864"/>
          <w:sz w:val="30"/>
          <w:szCs w:val="30"/>
        </w:rPr>
        <w:t>1. Executive Summary</w:t>
      </w:r>
    </w:p>
    <w:p>
      <w:pPr>
        <w:pStyle w:val="Normal"/>
        <w:spacing w:lineRule="auto" w:line="276" w:before="0" w:after="120"/>
        <w:rPr/>
      </w:pPr>
      <w:r>
        <w:rPr>
          <w:rFonts w:eastAsia="Calibri" w:cs="Calibri"/>
          <w:b/>
          <w:bCs/>
          <w:sz w:val="21"/>
          <w:szCs w:val="21"/>
        </w:rPr>
        <w:t>SecureVault</w:t>
      </w:r>
      <w:r>
        <w:rPr>
          <w:rFonts w:eastAsia="Calibri" w:cs="Calibri"/>
          <w:sz w:val="21"/>
          <w:szCs w:val="21"/>
        </w:rPr>
        <w:t xml:space="preserve"> Bank is a microservices-based, cloud-native banking platform engineered under a security-by-design philosophy and a Zero Trust operating model. The platform exposes three core services — an Authentication Service, a User Management Service, and a Transaction Service — protected by asymmetric (RS256) JWT authentication, bcrypt password hashing, role-based and attribute-based access control, rate limiting, encrypted transport, and a layered detection-and-response stack spanning runtime security, SIEM correlation, and machine-learning anomaly detection.</w:t>
      </w:r>
    </w:p>
    <w:p>
      <w:pPr>
        <w:pStyle w:val="Normal"/>
        <w:spacing w:lineRule="auto" w:line="276" w:before="0" w:after="120"/>
        <w:rPr/>
      </w:pPr>
      <w:r>
        <w:rPr>
          <w:rFonts w:eastAsia="Calibri" w:cs="Calibri"/>
          <w:sz w:val="21"/>
          <w:szCs w:val="21"/>
        </w:rPr>
        <w:t>This report evaluates the platform against the NIST Cybersecurity Framework (CSF) as the anchor framework, cross-mapped to OWASP ASVS v5.0, NIST SP 800-207 (Zero Trust), SABSA, ISO/IEC 27034, the CSA Cloud Controls Matrix, MITRE ATT&amp;CK, and the CIS Docker/Kubernetes Benchmarks. Security assurance was demonstrated through static analysis (Bandit, SonarCloud, CodeQL), dynamic analysis (OWASP ZAP), container image scanning (Trivy), manual API penetration testing (Postman), a live Red Team versus Blue Team exercise, and an unsupervised anomaly-detection model.</w:t>
      </w:r>
    </w:p>
    <w:p>
      <w:pPr>
        <w:pStyle w:val="Heading2"/>
        <w:spacing w:before="220" w:after="100"/>
        <w:rPr/>
      </w:pPr>
      <w:bookmarkStart w:id="2" w:name="__RefHeading___Toc9918_3694443629"/>
      <w:bookmarkEnd w:id="2"/>
      <w:r>
        <w:rPr>
          <w:rFonts w:eastAsia="Calibri" w:cs="Calibri" w:ascii="Calibri" w:hAnsi="Calibri"/>
          <w:b/>
          <w:bCs/>
          <w:color w:val="2E5496"/>
          <w:sz w:val="25"/>
          <w:szCs w:val="25"/>
        </w:rPr>
        <w:t>1.1 Overall Security Posture</w:t>
      </w:r>
    </w:p>
    <w:tbl>
      <w:tblPr>
        <w:tblW w:w="9360" w:type="dxa"/>
        <w:jc w:val="start"/>
        <w:tblInd w:w="0" w:type="dxa"/>
        <w:tblLayout w:type="fixed"/>
        <w:tblCellMar>
          <w:top w:w="70" w:type="dxa"/>
          <w:start w:w="110" w:type="dxa"/>
          <w:bottom w:w="70" w:type="dxa"/>
          <w:end w:w="110" w:type="dxa"/>
        </w:tblCellMar>
      </w:tblPr>
      <w:tblGrid>
        <w:gridCol w:w="2700"/>
        <w:gridCol w:w="5159"/>
        <w:gridCol w:w="1501"/>
      </w:tblGrid>
      <w:tr>
        <w:trPr>
          <w:tblHeader w:val="true"/>
        </w:trPr>
        <w:tc>
          <w:tcPr>
            <w:tcW w:w="27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Domain</w:t>
            </w:r>
          </w:p>
        </w:tc>
        <w:tc>
          <w:tcPr>
            <w:tcW w:w="515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Result</w:t>
            </w:r>
          </w:p>
        </w:tc>
        <w:tc>
          <w:tcPr>
            <w:tcW w:w="150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Posture</w:t>
            </w:r>
          </w:p>
        </w:tc>
      </w:tr>
      <w:tr>
        <w:trPr/>
        <w:tc>
          <w:tcPr>
            <w:tcW w:w="27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Application code security (SAST)</w:t>
            </w:r>
          </w:p>
        </w:tc>
        <w:tc>
          <w:tcPr>
            <w:tcW w:w="51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Bandit: 0 issues across 261 LOC; SonarCloud Security grade A</w:t>
            </w:r>
          </w:p>
        </w:tc>
        <w:tc>
          <w:tcPr>
            <w:tcW w:w="15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Strong</w:t>
            </w:r>
          </w:p>
        </w:tc>
      </w:tr>
      <w:tr>
        <w:trPr/>
        <w:tc>
          <w:tcPr>
            <w:tcW w:w="27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Dynamic testing (DAST)</w:t>
            </w:r>
          </w:p>
        </w:tc>
        <w:tc>
          <w:tcPr>
            <w:tcW w:w="51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OWASP ZAP: 0 High, 4 Medium, 4 Low — all configuration-level header findings</w:t>
            </w:r>
          </w:p>
        </w:tc>
        <w:tc>
          <w:tcPr>
            <w:tcW w:w="15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Good</w:t>
            </w:r>
          </w:p>
        </w:tc>
      </w:tr>
      <w:tr>
        <w:trPr/>
        <w:tc>
          <w:tcPr>
            <w:tcW w:w="27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Container image security</w:t>
            </w:r>
          </w:p>
        </w:tc>
        <w:tc>
          <w:tcPr>
            <w:tcW w:w="51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Trivy: 0 application-code vulns; base-image OS CVEs to be patched</w:t>
            </w:r>
          </w:p>
        </w:tc>
        <w:tc>
          <w:tcPr>
            <w:tcW w:w="15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Needs hardening</w:t>
            </w:r>
          </w:p>
        </w:tc>
      </w:tr>
      <w:tr>
        <w:trPr/>
        <w:tc>
          <w:tcPr>
            <w:tcW w:w="27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API authorization (pentest)</w:t>
            </w:r>
          </w:p>
        </w:tc>
        <w:tc>
          <w:tcPr>
            <w:tcW w:w="51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RBAC/IDOR/SQLi/JWT controls verified; one rate-limit gap (PT-05)</w:t>
            </w:r>
          </w:p>
        </w:tc>
        <w:tc>
          <w:tcPr>
            <w:tcW w:w="15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Good</w:t>
            </w:r>
          </w:p>
        </w:tc>
      </w:tr>
      <w:tr>
        <w:trPr/>
        <w:tc>
          <w:tcPr>
            <w:tcW w:w="27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Threat detection &amp; response</w:t>
            </w:r>
          </w:p>
        </w:tc>
        <w:tc>
          <w:tcPr>
            <w:tcW w:w="51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Falco + SIEM rules R-01–R-05 + ML anomaly model (3/3 attacks detected)</w:t>
            </w:r>
          </w:p>
        </w:tc>
        <w:tc>
          <w:tcPr>
            <w:tcW w:w="15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Strong</w:t>
            </w:r>
          </w:p>
        </w:tc>
      </w:tr>
      <w:tr>
        <w:trPr/>
        <w:tc>
          <w:tcPr>
            <w:tcW w:w="27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Framework compliance</w:t>
            </w:r>
          </w:p>
        </w:tc>
        <w:tc>
          <w:tcPr>
            <w:tcW w:w="51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Mapped to 8 frameworks; NIST CSF coverage across all five functions</w:t>
            </w:r>
          </w:p>
        </w:tc>
        <w:tc>
          <w:tcPr>
            <w:tcW w:w="15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Strong</w:t>
            </w:r>
          </w:p>
        </w:tc>
      </w:tr>
    </w:tbl>
    <w:p>
      <w:pPr>
        <w:pStyle w:val="Normal"/>
        <w:spacing w:before="0" w:after="120"/>
        <w:rPr/>
      </w:pPr>
      <w:r>
        <w:rPr/>
      </w:r>
    </w:p>
    <w:p>
      <w:pPr>
        <w:pStyle w:val="Normal"/>
        <w:spacing w:lineRule="auto" w:line="276" w:before="0" w:after="120"/>
        <w:rPr/>
      </w:pPr>
      <w:r>
        <w:rPr>
          <w:rFonts w:eastAsia="Calibri" w:cs="Calibri"/>
          <w:b/>
          <w:bCs/>
          <w:color w:val="1F3864"/>
          <w:sz w:val="21"/>
          <w:szCs w:val="21"/>
        </w:rPr>
        <w:t xml:space="preserve">Headline outcome: </w:t>
      </w:r>
      <w:r>
        <w:rPr>
          <w:rFonts w:eastAsia="Calibri" w:cs="Calibri"/>
          <w:sz w:val="21"/>
          <w:szCs w:val="21"/>
        </w:rPr>
        <w:t>the application layer is demonstrably secure — no injection, authentication-bypass, or sensitive-data-exposure findings were produced by automated or manual testing. The residual risk is concentrated in deployment hardening (base-image OS patching, an embedded key artifact, and missing HTTP security headers) and in closing the rate-limiting enforcement gap. All residual items are well understood, low-to-moderate in exploitability, and have defined remediations in Section 12.</w:t>
      </w:r>
    </w:p>
    <w:p>
      <w:pPr>
        <w:pStyle w:val="Normal"/>
        <w:spacing w:lineRule="auto" w:line="276" w:before="0" w:after="120"/>
        <w:rPr>
          <w:rFonts w:ascii="Calibri" w:hAnsi="Calibri" w:eastAsia="Calibri" w:cs="Calibri"/>
          <w:sz w:val="21"/>
          <w:szCs w:val="21"/>
        </w:rPr>
      </w:pPr>
      <w:r>
        <w:rPr>
          <w:rFonts w:eastAsia="Calibri" w:cs="Calibri"/>
          <w:sz w:val="21"/>
          <w:szCs w:val="21"/>
        </w:rPr>
        <w:drawing>
          <wp:inline distT="0" distB="0" distL="0" distR="0">
            <wp:extent cx="6400800" cy="2273300"/>
            <wp:effectExtent l="0" t="0" r="0" b="0"/>
            <wp:docPr id="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7"/>
                    <pic:cNvPicPr>
                      <a:picLocks noChangeAspect="1" noChangeArrowheads="1"/>
                    </pic:cNvPicPr>
                  </pic:nvPicPr>
                  <pic:blipFill>
                    <a:blip r:embed="rId2"/>
                    <a:stretch>
                      <a:fillRect/>
                    </a:stretch>
                  </pic:blipFill>
                  <pic:spPr bwMode="auto">
                    <a:xfrm>
                      <a:off x="0" y="0"/>
                      <a:ext cx="6400800" cy="2273300"/>
                    </a:xfrm>
                    <a:prstGeom prst="rect">
                      <a:avLst/>
                    </a:prstGeom>
                    <a:noFill/>
                  </pic:spPr>
                </pic:pic>
              </a:graphicData>
            </a:graphic>
          </wp:inline>
        </w:drawing>
      </w:r>
    </w:p>
    <w:p>
      <w:pPr>
        <w:pStyle w:val="Normal"/>
        <w:spacing w:lineRule="auto" w:line="276" w:before="0" w:after="120"/>
        <w:rPr>
          <w:rFonts w:ascii="Calibri" w:hAnsi="Calibri" w:eastAsia="Calibri" w:cs="Calibri"/>
          <w:sz w:val="21"/>
          <w:szCs w:val="21"/>
        </w:rPr>
      </w:pPr>
      <w:r>
        <w:rPr>
          <w:rFonts w:eastAsia="Calibri" w:cs="Calibri"/>
          <w:sz w:val="21"/>
          <w:szCs w:val="21"/>
        </w:rPr>
        <w:drawing>
          <wp:inline distT="0" distB="0" distL="0" distR="0">
            <wp:extent cx="6400800" cy="2367280"/>
            <wp:effectExtent l="0" t="0" r="0" b="0"/>
            <wp:docPr id="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1"/>
                    <pic:cNvPicPr>
                      <a:picLocks noChangeAspect="1" noChangeArrowheads="1"/>
                    </pic:cNvPicPr>
                  </pic:nvPicPr>
                  <pic:blipFill>
                    <a:blip r:embed="rId3"/>
                    <a:stretch>
                      <a:fillRect/>
                    </a:stretch>
                  </pic:blipFill>
                  <pic:spPr bwMode="auto">
                    <a:xfrm>
                      <a:off x="0" y="0"/>
                      <a:ext cx="6400800" cy="2367280"/>
                    </a:xfrm>
                    <a:prstGeom prst="rect">
                      <a:avLst/>
                    </a:prstGeom>
                    <a:noFill/>
                  </pic:spPr>
                </pic:pic>
              </a:graphicData>
            </a:graphic>
          </wp:inline>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1. Live security operations view — SIEM offenses dashboard / Grafana security overview during the demo</w:t>
      </w:r>
    </w:p>
    <w:p>
      <w:pPr>
        <w:pStyle w:val="Normal"/>
        <w:spacing w:before="60" w:after="200"/>
        <w:jc w:val="start"/>
        <w:rPr>
          <w:rFonts w:ascii="Calibri" w:hAnsi="Calibri" w:eastAsia="Calibri" w:cs="Calibri"/>
          <w:b/>
          <w:bCs/>
          <w:color w:val="1F3864"/>
          <w:sz w:val="30"/>
          <w:szCs w:val="30"/>
        </w:rPr>
      </w:pPr>
      <w:r>
        <w:rPr>
          <w:rFonts w:eastAsia="Calibri" w:cs="Calibri"/>
          <w:b/>
          <w:bCs/>
          <w:color w:val="1F3864"/>
          <w:sz w:val="30"/>
          <w:szCs w:val="30"/>
        </w:rPr>
        <w:t>2. Project Overview &amp; Scope</w:t>
      </w:r>
    </w:p>
    <w:p>
      <w:pPr>
        <w:pStyle w:val="Heading2"/>
        <w:spacing w:before="220" w:after="100"/>
        <w:rPr/>
      </w:pPr>
      <w:bookmarkStart w:id="3" w:name="__RefHeading___Toc9922_3694443629"/>
      <w:bookmarkEnd w:id="3"/>
      <w:r>
        <w:rPr>
          <w:rFonts w:eastAsia="Calibri" w:cs="Calibri" w:ascii="Calibri" w:hAnsi="Calibri"/>
          <w:b/>
          <w:bCs/>
          <w:color w:val="2E5496"/>
          <w:sz w:val="25"/>
          <w:szCs w:val="25"/>
        </w:rPr>
        <w:t>2.1 System Description</w:t>
      </w:r>
    </w:p>
    <w:p>
      <w:pPr>
        <w:pStyle w:val="Normal"/>
        <w:spacing w:lineRule="auto" w:line="276" w:before="0" w:after="120"/>
        <w:rPr/>
      </w:pPr>
      <w:r>
        <w:rPr>
          <w:rFonts w:eastAsia="Calibri" w:cs="Calibri"/>
          <w:sz w:val="21"/>
          <w:szCs w:val="21"/>
        </w:rPr>
        <w:t>SecureVault Bank provides customers with secure account access, balance enquiry, and money-transfer capabilities, and provides administrators with oversight of all users and transactions. The system is decomposed into independently deployable microservices communicating over authenticated, encrypted channels, with shared state held in Redis (rate-limit counters and sessions) and an event backbone (Kafka) for asynchronous, integrity-protected messaging.</w:t>
      </w:r>
    </w:p>
    <w:p>
      <w:pPr>
        <w:pStyle w:val="Heading2"/>
        <w:spacing w:before="220" w:after="100"/>
        <w:rPr/>
      </w:pPr>
      <w:bookmarkStart w:id="4" w:name="__RefHeading___Toc9924_3694443629"/>
      <w:bookmarkEnd w:id="4"/>
      <w:r>
        <w:rPr>
          <w:rFonts w:eastAsia="Calibri" w:cs="Calibri" w:ascii="Calibri" w:hAnsi="Calibri"/>
          <w:b/>
          <w:bCs/>
          <w:color w:val="2E5496"/>
          <w:sz w:val="25"/>
          <w:szCs w:val="25"/>
        </w:rPr>
        <w:t>2.2 Services &amp; Endpoints</w:t>
      </w:r>
    </w:p>
    <w:tbl>
      <w:tblPr>
        <w:tblW w:w="9360" w:type="dxa"/>
        <w:jc w:val="start"/>
        <w:tblInd w:w="0" w:type="dxa"/>
        <w:tblLayout w:type="fixed"/>
        <w:tblCellMar>
          <w:top w:w="70" w:type="dxa"/>
          <w:start w:w="110" w:type="dxa"/>
          <w:bottom w:w="70" w:type="dxa"/>
          <w:end w:w="110" w:type="dxa"/>
        </w:tblCellMar>
      </w:tblPr>
      <w:tblGrid>
        <w:gridCol w:w="1800"/>
        <w:gridCol w:w="713"/>
        <w:gridCol w:w="3525"/>
        <w:gridCol w:w="3322"/>
      </w:tblGrid>
      <w:tr>
        <w:trPr>
          <w:tblHeader w:val="true"/>
        </w:trPr>
        <w:tc>
          <w:tcPr>
            <w:tcW w:w="18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Service</w:t>
            </w:r>
          </w:p>
        </w:tc>
        <w:tc>
          <w:tcPr>
            <w:tcW w:w="713"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Port</w:t>
            </w:r>
          </w:p>
        </w:tc>
        <w:tc>
          <w:tcPr>
            <w:tcW w:w="3525"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Core Responsibility</w:t>
            </w:r>
          </w:p>
        </w:tc>
        <w:tc>
          <w:tcPr>
            <w:tcW w:w="3322"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Key Controls</w:t>
            </w:r>
          </w:p>
        </w:tc>
      </w:tr>
      <w:tr>
        <w:trPr/>
        <w:tc>
          <w:tcPr>
            <w:tcW w:w="18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auth-service</w:t>
            </w:r>
          </w:p>
        </w:tc>
        <w:tc>
          <w:tcPr>
            <w:tcW w:w="71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8001</w:t>
            </w:r>
          </w:p>
        </w:tc>
        <w:tc>
          <w:tcPr>
            <w:tcW w:w="352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Registration, login, logout, JWT issuance</w:t>
            </w:r>
          </w:p>
        </w:tc>
        <w:tc>
          <w:tcPr>
            <w:tcW w:w="332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RS256 JWT, bcrypt, Redis rate limiting</w:t>
            </w:r>
          </w:p>
        </w:tc>
      </w:tr>
      <w:tr>
        <w:trPr/>
        <w:tc>
          <w:tcPr>
            <w:tcW w:w="18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user-service</w:t>
            </w:r>
          </w:p>
        </w:tc>
        <w:tc>
          <w:tcPr>
            <w:tcW w:w="713"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8002</w:t>
            </w:r>
          </w:p>
        </w:tc>
        <w:tc>
          <w:tcPr>
            <w:tcW w:w="352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Profile, balance enquiry, admin user listing</w:t>
            </w:r>
          </w:p>
        </w:tc>
        <w:tc>
          <w:tcPr>
            <w:tcW w:w="3322"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JWT verify, RBAC (customer/admin)</w:t>
            </w:r>
          </w:p>
        </w:tc>
      </w:tr>
      <w:tr>
        <w:trPr/>
        <w:tc>
          <w:tcPr>
            <w:tcW w:w="18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transaction-service</w:t>
            </w:r>
          </w:p>
        </w:tc>
        <w:tc>
          <w:tcPr>
            <w:tcW w:w="71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8003</w:t>
            </w:r>
          </w:p>
        </w:tc>
        <w:tc>
          <w:tcPr>
            <w:tcW w:w="352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Send money, history, admin all-transactions</w:t>
            </w:r>
          </w:p>
        </w:tc>
        <w:tc>
          <w:tcPr>
            <w:tcW w:w="332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JWT verify, ABAC, input validation</w:t>
            </w:r>
          </w:p>
        </w:tc>
      </w:tr>
    </w:tbl>
    <w:p>
      <w:pPr>
        <w:pStyle w:val="Normal"/>
        <w:spacing w:before="0" w:after="80"/>
        <w:rPr/>
      </w:pPr>
      <w:r>
        <w:rPr/>
      </w:r>
    </w:p>
    <w:p>
      <w:pPr>
        <w:pStyle w:val="Normal"/>
        <w:spacing w:lineRule="auto" w:line="276" w:before="0" w:after="120"/>
        <w:rPr/>
      </w:pPr>
      <w:r>
        <w:rPr>
          <w:rFonts w:eastAsia="Calibri" w:cs="Calibri"/>
          <w:sz w:val="21"/>
          <w:szCs w:val="21"/>
        </w:rPr>
        <w:t>The external attack surface comprises eight publicly reachable API endpoints across the three services, with two trust roles (customer and admin) enforced server-side.</w:t>
      </w:r>
    </w:p>
    <w:p>
      <w:pPr>
        <w:pStyle w:val="Heading2"/>
        <w:spacing w:before="220" w:after="100"/>
        <w:rPr/>
      </w:pPr>
      <w:bookmarkStart w:id="5" w:name="__RefHeading___Toc9926_3694443629"/>
      <w:bookmarkEnd w:id="5"/>
      <w:r>
        <w:rPr>
          <w:rFonts w:eastAsia="Calibri" w:cs="Calibri" w:ascii="Calibri" w:hAnsi="Calibri"/>
          <w:b/>
          <w:bCs/>
          <w:color w:val="2E5496"/>
          <w:sz w:val="25"/>
          <w:szCs w:val="25"/>
        </w:rPr>
        <w:t>2.3 Team &amp; Roles</w:t>
      </w:r>
    </w:p>
    <w:tbl>
      <w:tblPr>
        <w:tblW w:w="9360" w:type="dxa"/>
        <w:jc w:val="start"/>
        <w:tblInd w:w="0" w:type="dxa"/>
        <w:tblLayout w:type="fixed"/>
        <w:tblCellMar>
          <w:top w:w="70" w:type="dxa"/>
          <w:start w:w="110" w:type="dxa"/>
          <w:bottom w:w="70" w:type="dxa"/>
          <w:end w:w="110" w:type="dxa"/>
        </w:tblCellMar>
      </w:tblPr>
      <w:tblGrid>
        <w:gridCol w:w="1613"/>
        <w:gridCol w:w="1912"/>
        <w:gridCol w:w="5835"/>
      </w:tblGrid>
      <w:tr>
        <w:trPr>
          <w:tblHeader w:val="true"/>
        </w:trPr>
        <w:tc>
          <w:tcPr>
            <w:tcW w:w="1613"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Member</w:t>
            </w:r>
          </w:p>
        </w:tc>
        <w:tc>
          <w:tcPr>
            <w:tcW w:w="1912"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Role</w:t>
            </w:r>
          </w:p>
        </w:tc>
        <w:tc>
          <w:tcPr>
            <w:tcW w:w="5835"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Primary Responsibilities</w:t>
            </w:r>
          </w:p>
        </w:tc>
      </w:tr>
      <w:tr>
        <w:trPr/>
        <w:tc>
          <w:tcPr>
            <w:tcW w:w="161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Esha Khan</w:t>
            </w:r>
          </w:p>
        </w:tc>
        <w:tc>
          <w:tcPr>
            <w:tcW w:w="191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Lead Developer</w:t>
            </w:r>
          </w:p>
        </w:tc>
        <w:tc>
          <w:tcPr>
            <w:tcW w:w="583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Secure coding, memory safety, Docker, API, Kafka integration</w:t>
            </w:r>
          </w:p>
        </w:tc>
      </w:tr>
      <w:tr>
        <w:trPr/>
        <w:tc>
          <w:tcPr>
            <w:tcW w:w="1613"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Zainab Shakil</w:t>
            </w:r>
          </w:p>
        </w:tc>
        <w:tc>
          <w:tcPr>
            <w:tcW w:w="1912"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Security Analyst</w:t>
            </w:r>
          </w:p>
        </w:tc>
        <w:tc>
          <w:tcPr>
            <w:tcW w:w="583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Threat modelling, SAST/DAST, API pentest, ML anomaly detection, reporting</w:t>
            </w:r>
          </w:p>
        </w:tc>
      </w:tr>
      <w:tr>
        <w:trPr/>
        <w:tc>
          <w:tcPr>
            <w:tcW w:w="161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Husna Anjum</w:t>
            </w:r>
          </w:p>
        </w:tc>
        <w:tc>
          <w:tcPr>
            <w:tcW w:w="191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DevSecOps Engineer</w:t>
            </w:r>
          </w:p>
        </w:tc>
        <w:tc>
          <w:tcPr>
            <w:tcW w:w="583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Kubernetes, IaC (Terraform + Vault), CI/CD, monitoring stack</w:t>
            </w:r>
          </w:p>
        </w:tc>
      </w:tr>
      <w:tr>
        <w:trPr/>
        <w:tc>
          <w:tcPr>
            <w:tcW w:w="1613"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Zarmeena Khan</w:t>
            </w:r>
          </w:p>
        </w:tc>
        <w:tc>
          <w:tcPr>
            <w:tcW w:w="1912"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Red/Blue Team Pro</w:t>
            </w:r>
          </w:p>
        </w:tc>
        <w:tc>
          <w:tcPr>
            <w:tcW w:w="583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Attack simulation, blue-team defense, SIEM/Falco rules, compliance</w:t>
            </w:r>
          </w:p>
        </w:tc>
      </w:tr>
    </w:tbl>
    <w:p>
      <w:pPr>
        <w:pStyle w:val="Heading2"/>
        <w:spacing w:before="220" w:after="100"/>
        <w:rPr/>
      </w:pPr>
      <w:bookmarkStart w:id="6" w:name="__RefHeading___Toc9928_3694443629"/>
      <w:bookmarkEnd w:id="6"/>
      <w:r>
        <w:rPr>
          <w:rFonts w:eastAsia="Calibri" w:cs="Calibri" w:ascii="Calibri" w:hAnsi="Calibri"/>
          <w:b/>
          <w:bCs/>
          <w:color w:val="2E5496"/>
          <w:sz w:val="25"/>
          <w:szCs w:val="25"/>
        </w:rPr>
        <w:t>2.4 Repository &amp; Implementation Status</w:t>
      </w:r>
    </w:p>
    <w:p>
      <w:pPr>
        <w:pStyle w:val="Normal"/>
        <w:spacing w:lineRule="auto" w:line="276" w:before="0" w:after="120"/>
        <w:rPr/>
      </w:pPr>
      <w:r>
        <w:rPr>
          <w:rFonts w:eastAsia="Calibri" w:cs="Calibri"/>
          <w:sz w:val="21"/>
          <w:szCs w:val="21"/>
        </w:rPr>
        <w:t xml:space="preserve">Source, manifests, pipelines, and evidence are maintained in the project repository at </w:t>
      </w:r>
      <w:hyperlink r:id="rId4">
        <w:r>
          <w:rPr>
            <w:rStyle w:val="Hyperlink"/>
            <w:rFonts w:eastAsia="Calibri" w:cs="Calibri"/>
            <w:sz w:val="21"/>
            <w:szCs w:val="21"/>
          </w:rPr>
          <w:t>github.com/EshaKhan-ek/SecureVault-platform</w:t>
        </w:r>
      </w:hyperlink>
      <w:r>
        <w:rPr>
          <w:rFonts w:eastAsia="Calibri" w:cs="Calibri"/>
          <w:sz w:val="21"/>
          <w:szCs w:val="21"/>
        </w:rPr>
        <w:t>. The repository follows the prescribed structure (/src, /docker, /k8s, /iac, /ci, /monitor, /reports, /docs).</w:t>
      </w:r>
    </w:p>
    <w:p>
      <w:pPr>
        <w:pStyle w:val="Normal"/>
        <w:spacing w:lineRule="auto" w:line="276" w:before="0" w:after="120"/>
        <w:rPr>
          <w:rFonts w:ascii="Calibri" w:hAnsi="Calibri" w:eastAsia="Calibri" w:cs="Calibri"/>
          <w:b/>
          <w:bCs/>
          <w:color w:val="1F3864"/>
          <w:sz w:val="30"/>
          <w:szCs w:val="30"/>
        </w:rPr>
      </w:pPr>
      <w:r>
        <w:rPr>
          <w:rFonts w:eastAsia="Calibri" w:cs="Calibri"/>
          <w:b/>
          <w:bCs/>
          <w:color w:val="1F3864"/>
          <w:sz w:val="30"/>
          <w:szCs w:val="30"/>
        </w:rPr>
        <w:t>3. Security Objectives — CIA Triad</w:t>
      </w:r>
    </w:p>
    <w:p>
      <w:pPr>
        <w:pStyle w:val="Normal"/>
        <w:spacing w:lineRule="auto" w:line="276" w:before="0" w:after="120"/>
        <w:rPr/>
      </w:pPr>
      <w:r>
        <w:rPr>
          <w:rFonts w:eastAsia="Calibri" w:cs="Calibri"/>
          <w:sz w:val="21"/>
          <w:szCs w:val="21"/>
        </w:rPr>
        <w:t>Every control in the platform traces back to one or more of the three foundational security objectives. The table below states each objective and the concrete mechanisms that satisfy it.</w:t>
      </w:r>
    </w:p>
    <w:tbl>
      <w:tblPr>
        <w:tblW w:w="9360" w:type="dxa"/>
        <w:jc w:val="start"/>
        <w:tblInd w:w="0" w:type="dxa"/>
        <w:tblLayout w:type="fixed"/>
        <w:tblCellMar>
          <w:top w:w="70" w:type="dxa"/>
          <w:start w:w="110" w:type="dxa"/>
          <w:bottom w:w="70" w:type="dxa"/>
          <w:end w:w="110" w:type="dxa"/>
        </w:tblCellMar>
      </w:tblPr>
      <w:tblGrid>
        <w:gridCol w:w="1444"/>
        <w:gridCol w:w="3255"/>
        <w:gridCol w:w="4661"/>
      </w:tblGrid>
      <w:tr>
        <w:trPr>
          <w:tblHeader w:val="true"/>
        </w:trPr>
        <w:tc>
          <w:tcPr>
            <w:tcW w:w="1444"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Objective</w:t>
            </w:r>
          </w:p>
        </w:tc>
        <w:tc>
          <w:tcPr>
            <w:tcW w:w="3255"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Definition</w:t>
            </w:r>
          </w:p>
        </w:tc>
        <w:tc>
          <w:tcPr>
            <w:tcW w:w="466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 in SecureVault</w:t>
            </w:r>
          </w:p>
        </w:tc>
      </w:tr>
      <w:tr>
        <w:trPr/>
        <w:tc>
          <w:tcPr>
            <w:tcW w:w="144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Confidentiality</w:t>
            </w:r>
          </w:p>
        </w:tc>
        <w:tc>
          <w:tcPr>
            <w:tcW w:w="325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Data accessible only to authorised parties</w:t>
            </w:r>
          </w:p>
        </w:tc>
        <w:tc>
          <w:tcPr>
            <w:tcW w:w="46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RS256 JWT on all endpoints; RBAC limiting customers to their own data; AES-256 at rest; TLS 1.3 in transit</w:t>
            </w:r>
          </w:p>
        </w:tc>
      </w:tr>
      <w:tr>
        <w:trPr/>
        <w:tc>
          <w:tcPr>
            <w:tcW w:w="144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Integrity</w:t>
            </w:r>
          </w:p>
        </w:tc>
        <w:tc>
          <w:tcPr>
            <w:tcW w:w="325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Data and transactions cannot be tampered with</w:t>
            </w:r>
          </w:p>
        </w:tc>
        <w:tc>
          <w:tcPr>
            <w:tcW w:w="46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HMAC-SHA256 Kafka event signing; parameterised queries; strict input validation; immutable audit logging</w:t>
            </w:r>
          </w:p>
        </w:tc>
      </w:tr>
      <w:tr>
        <w:trPr/>
        <w:tc>
          <w:tcPr>
            <w:tcW w:w="144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Availability</w:t>
            </w:r>
          </w:p>
        </w:tc>
        <w:tc>
          <w:tcPr>
            <w:tcW w:w="325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Service remains responsive under attac</w:t>
            </w:r>
            <w:r>
              <w:rPr>
                <w:rFonts w:eastAsia="Calibri" w:cs="Calibri"/>
                <w:b w:val="false"/>
                <w:bCs w:val="false"/>
                <w:color w:val="1A1A1A"/>
                <w:sz w:val="18"/>
                <w:szCs w:val="18"/>
              </w:rPr>
              <w:t>k</w:t>
            </w:r>
          </w:p>
        </w:tc>
        <w:tc>
          <w:tcPr>
            <w:tcW w:w="46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Redis rate limiting; horizontal autoscaling; gateway DoS protection; pod restart and rollback</w:t>
            </w:r>
          </w:p>
        </w:tc>
      </w:tr>
    </w:tbl>
    <w:p>
      <w:pPr>
        <w:pStyle w:val="Heading1"/>
        <w:spacing w:before="320" w:after="140"/>
        <w:rPr/>
      </w:pPr>
      <w:r>
        <w:br w:type="page"/>
      </w:r>
      <w:bookmarkStart w:id="7" w:name="__RefHeading___Toc9932_3694443629"/>
      <w:bookmarkEnd w:id="7"/>
      <w:r>
        <w:rPr>
          <w:rFonts w:eastAsia="Calibri" w:cs="Calibri" w:ascii="Calibri" w:hAnsi="Calibri"/>
          <w:b/>
          <w:bCs/>
          <w:color w:val="1F3864"/>
          <w:sz w:val="30"/>
          <w:szCs w:val="30"/>
        </w:rPr>
        <w:t>4. Secure Architecture Summary</w:t>
      </w:r>
    </w:p>
    <w:p>
      <w:pPr>
        <w:pStyle w:val="Normal"/>
        <w:spacing w:lineRule="auto" w:line="276" w:before="0" w:after="120"/>
        <w:rPr/>
      </w:pPr>
      <w:r>
        <w:rPr>
          <w:rFonts w:eastAsia="Calibri" w:cs="Calibri"/>
          <w:sz w:val="21"/>
          <w:szCs w:val="21"/>
        </w:rPr>
        <w:t>The architecture is designed top-to-bottom on Zero Trust (NIST SP 800-207) principles and documented using the C4 model (Context, Container, Component, Code). No implicit trust is granted on the basis of network location; every request is authenticated and authorised, and every service validates tokens independently.</w:t>
      </w:r>
    </w:p>
    <w:p>
      <w:pPr>
        <w:pStyle w:val="Heading2"/>
        <w:spacing w:before="220" w:after="100"/>
        <w:rPr/>
      </w:pPr>
      <w:bookmarkStart w:id="8" w:name="__RefHeading___Toc9934_3694443629"/>
      <w:bookmarkEnd w:id="8"/>
      <w:r>
        <w:rPr>
          <w:rFonts w:eastAsia="Calibri" w:cs="Calibri" w:ascii="Calibri" w:hAnsi="Calibri"/>
          <w:b/>
          <w:bCs/>
          <w:color w:val="2E5496"/>
          <w:sz w:val="25"/>
          <w:szCs w:val="25"/>
        </w:rPr>
        <w:t>4.1 Zero Trust Principles Applied</w:t>
      </w:r>
    </w:p>
    <w:tbl>
      <w:tblPr>
        <w:tblW w:w="9360" w:type="dxa"/>
        <w:jc w:val="start"/>
        <w:tblInd w:w="0" w:type="dxa"/>
        <w:tblLayout w:type="fixed"/>
        <w:tblCellMar>
          <w:top w:w="70" w:type="dxa"/>
          <w:start w:w="110" w:type="dxa"/>
          <w:bottom w:w="70" w:type="dxa"/>
          <w:end w:w="110" w:type="dxa"/>
        </w:tblCellMar>
      </w:tblPr>
      <w:tblGrid>
        <w:gridCol w:w="2269"/>
        <w:gridCol w:w="7091"/>
      </w:tblGrid>
      <w:tr>
        <w:trPr>
          <w:tblHeader w:val="true"/>
        </w:trPr>
        <w:tc>
          <w:tcPr>
            <w:tcW w:w="226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Principle</w:t>
            </w:r>
          </w:p>
        </w:tc>
        <w:tc>
          <w:tcPr>
            <w:tcW w:w="709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r>
      <w:tr>
        <w:trPr/>
        <w:tc>
          <w:tcPr>
            <w:tcW w:w="226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Never trust, always verify</w:t>
            </w:r>
          </w:p>
        </w:tc>
        <w:tc>
          <w:tcPr>
            <w:tcW w:w="709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Every endpoint requires a valid RS256 JWT bearer token; no anonymous access to protected routes</w:t>
            </w:r>
          </w:p>
        </w:tc>
      </w:tr>
      <w:tr>
        <w:trPr/>
        <w:tc>
          <w:tcPr>
            <w:tcW w:w="226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Least privilege</w:t>
            </w:r>
          </w:p>
        </w:tc>
        <w:tc>
          <w:tcPr>
            <w:tcW w:w="709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RBAC blocks customers from admin endpoints (HTTP 403); ABAC validates transaction ownership</w:t>
            </w:r>
          </w:p>
        </w:tc>
      </w:tr>
      <w:tr>
        <w:trPr/>
        <w:tc>
          <w:tcPr>
            <w:tcW w:w="226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Assume breach</w:t>
            </w:r>
          </w:p>
        </w:tc>
        <w:tc>
          <w:tcPr>
            <w:tcW w:w="709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Each service validates tokens locally; Falco runtime monitoring on all pods; immutable logs</w:t>
            </w:r>
          </w:p>
        </w:tc>
      </w:tr>
      <w:tr>
        <w:trPr/>
        <w:tc>
          <w:tcPr>
            <w:tcW w:w="226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Micro-segmentation</w:t>
            </w:r>
          </w:p>
        </w:tc>
        <w:tc>
          <w:tcPr>
            <w:tcW w:w="709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Services isolated by namespace/port; Kubernetes Network Policies restrict inter-service traffic</w:t>
            </w:r>
          </w:p>
        </w:tc>
      </w:tr>
      <w:tr>
        <w:trPr/>
        <w:tc>
          <w:tcPr>
            <w:tcW w:w="226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Short-lived credentials</w:t>
            </w:r>
          </w:p>
        </w:tc>
        <w:tc>
          <w:tcPr>
            <w:tcW w:w="709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Short JWT TTL with refresh rotation; Redis-backed rate-limit windows; Vault dynamic secrets</w:t>
            </w:r>
          </w:p>
        </w:tc>
      </w:tr>
    </w:tbl>
    <w:p>
      <w:pPr>
        <w:pStyle w:val="Heading2"/>
        <w:spacing w:before="220" w:after="100"/>
        <w:rPr/>
      </w:pPr>
      <w:bookmarkStart w:id="9" w:name="__RefHeading___Toc9936_3694443629"/>
      <w:bookmarkEnd w:id="9"/>
      <w:r>
        <w:rPr>
          <w:rFonts w:eastAsia="Calibri" w:cs="Calibri" w:ascii="Calibri" w:hAnsi="Calibri"/>
          <w:b/>
          <w:bCs/>
          <w:color w:val="2E5496"/>
          <w:sz w:val="25"/>
          <w:szCs w:val="25"/>
        </w:rPr>
        <w:t>4.2 Logical Architecture</w:t>
      </w:r>
    </w:p>
    <w:p>
      <w:pPr>
        <w:pStyle w:val="Normal"/>
        <w:spacing w:lineRule="auto" w:line="276" w:before="0" w:after="120"/>
        <w:rPr>
          <w:rFonts w:ascii="Calibri" w:hAnsi="Calibri" w:eastAsia="Calibri" w:cs="Calibri"/>
          <w:sz w:val="21"/>
          <w:szCs w:val="21"/>
        </w:rPr>
      </w:pPr>
      <w:r>
        <w:rPr>
          <w:rFonts w:eastAsia="Calibri" w:cs="Calibri"/>
          <w:sz w:val="21"/>
          <w:szCs w:val="21"/>
        </w:rPr>
        <w:t>The client reaches the platform through an API Gateway enforcing rate limiting, CORS, and WAF rules. The gateway fronts the Authentication Service (Keycloak/OIDC issuing RS256 JWTs) and the business services. Services publish integrity-signed events to Kafka; Redis provides rate-limit and session state; PostgreSQL holds persistent data encrypted at rest. A monitoring and security plane (Prometheus, Grafana, Loki, Falco, SIEM) and a secrets/policy plane (Vault, OPA/Kyverno) wrap the whole system.</w:t>
      </w:r>
    </w:p>
    <w:p>
      <w:pPr>
        <w:pStyle w:val="Normal"/>
        <w:spacing w:before="60" w:after="20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8854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tretch>
                      <a:fillRect/>
                    </a:stretch>
                  </pic:blipFill>
                  <pic:spPr bwMode="auto">
                    <a:xfrm>
                      <a:off x="0" y="0"/>
                      <a:ext cx="5943600" cy="2885440"/>
                    </a:xfrm>
                    <a:prstGeom prst="rect">
                      <a:avLst/>
                    </a:prstGeom>
                    <a:noFill/>
                  </pic:spPr>
                </pic:pic>
              </a:graphicData>
            </a:graphic>
          </wp:anchor>
        </w:drawing>
      </w:r>
      <w:r>
        <w:rPr>
          <w:rFonts w:eastAsia="Calibri" w:cs="Calibri"/>
          <w:i/>
          <w:iCs/>
          <w:color w:val="595959"/>
          <w:sz w:val="17"/>
          <w:szCs w:val="17"/>
        </w:rPr>
        <w:t>Figure 2. SecureVault Bank Zero Trust architecture / C4 container diagram</w:t>
      </w:r>
    </w:p>
    <w:p>
      <w:pPr>
        <w:pStyle w:val="Heading2"/>
        <w:spacing w:before="220" w:after="100"/>
        <w:rPr/>
      </w:pPr>
      <w:bookmarkStart w:id="10" w:name="__RefHeading___Toc9938_3694443629"/>
      <w:bookmarkEnd w:id="10"/>
      <w:r>
        <w:rPr>
          <w:rFonts w:eastAsia="Calibri" w:cs="Calibri" w:ascii="Calibri" w:hAnsi="Calibri"/>
          <w:b/>
          <w:bCs/>
          <w:color w:val="2E5496"/>
          <w:sz w:val="25"/>
          <w:szCs w:val="25"/>
        </w:rPr>
        <w:t>4.3 SABSA Architecture Justification</w:t>
      </w:r>
    </w:p>
    <w:tbl>
      <w:tblPr>
        <w:tblW w:w="9360" w:type="dxa"/>
        <w:jc w:val="start"/>
        <w:tblInd w:w="0" w:type="dxa"/>
        <w:tblLayout w:type="fixed"/>
        <w:tblCellMar>
          <w:top w:w="70" w:type="dxa"/>
          <w:start w:w="110" w:type="dxa"/>
          <w:bottom w:w="70" w:type="dxa"/>
          <w:end w:w="110" w:type="dxa"/>
        </w:tblCellMar>
      </w:tblPr>
      <w:tblGrid>
        <w:gridCol w:w="2156"/>
        <w:gridCol w:w="7204"/>
      </w:tblGrid>
      <w:tr>
        <w:trPr>
          <w:tblHeader w:val="true"/>
        </w:trPr>
        <w:tc>
          <w:tcPr>
            <w:tcW w:w="2156"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SABSA Layer</w:t>
            </w:r>
          </w:p>
        </w:tc>
        <w:tc>
          <w:tcPr>
            <w:tcW w:w="7204"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Security Implementation</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Contextual (Business)</w:t>
            </w:r>
          </w:p>
        </w:tc>
        <w:tc>
          <w:tcPr>
            <w:tcW w:w="720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Protect customer financial data; PCI-DSS-aligned regulatory posture</w:t>
            </w:r>
          </w:p>
        </w:tc>
      </w:tr>
      <w:tr>
        <w:trPr/>
        <w:tc>
          <w:tcPr>
            <w:tcW w:w="215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Conceptual (Architect)</w:t>
            </w:r>
          </w:p>
        </w:tc>
        <w:tc>
          <w:tcPr>
            <w:tcW w:w="720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Zero Trust model; CIA Triad objectives; risk-based access strategy</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Logical (Designer)</w:t>
            </w:r>
          </w:p>
        </w:tc>
        <w:tc>
          <w:tcPr>
            <w:tcW w:w="720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OAuth2/OIDC flows; RBAC/ABAC policy; encryption-key hierarchy</w:t>
            </w:r>
          </w:p>
        </w:tc>
      </w:tr>
      <w:tr>
        <w:trPr/>
        <w:tc>
          <w:tcPr>
            <w:tcW w:w="215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Physical (Builder)</w:t>
            </w:r>
          </w:p>
        </w:tc>
        <w:tc>
          <w:tcPr>
            <w:tcW w:w="720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Docker multi-stage hardened images; TLS certificates; Vault PKI</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Component (Tradesman)</w:t>
            </w:r>
          </w:p>
        </w:tc>
        <w:tc>
          <w:tcPr>
            <w:tcW w:w="720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FastAPI services; Keycloak config; Kafka ACLs; Redis TLS settings</w:t>
            </w:r>
          </w:p>
        </w:tc>
      </w:tr>
      <w:tr>
        <w:trPr/>
        <w:tc>
          <w:tcPr>
            <w:tcW w:w="215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Operational (Manager)</w:t>
            </w:r>
          </w:p>
        </w:tc>
        <w:tc>
          <w:tcPr>
            <w:tcW w:w="720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CI/CD security gates; incident-response runbooks; SLA monitoring</w:t>
            </w:r>
          </w:p>
        </w:tc>
      </w:tr>
    </w:tbl>
    <w:p>
      <w:pPr>
        <w:pStyle w:val="Heading1"/>
        <w:spacing w:before="320" w:after="140"/>
        <w:rPr/>
      </w:pPr>
      <w:r>
        <w:br w:type="page"/>
      </w:r>
      <w:bookmarkStart w:id="11" w:name="__RefHeading___Toc9940_3694443629"/>
      <w:bookmarkEnd w:id="11"/>
      <w:r>
        <w:rPr>
          <w:rFonts w:eastAsia="Calibri" w:cs="Calibri" w:ascii="Calibri" w:hAnsi="Calibri"/>
          <w:b/>
          <w:bCs/>
          <w:color w:val="1F3864"/>
          <w:sz w:val="30"/>
          <w:szCs w:val="30"/>
        </w:rPr>
        <w:t>5. Threat Landscape Summary</w:t>
      </w:r>
    </w:p>
    <w:p>
      <w:pPr>
        <w:pStyle w:val="Normal"/>
        <w:spacing w:lineRule="auto" w:line="276" w:before="0" w:after="120"/>
        <w:rPr/>
      </w:pPr>
      <w:r>
        <w:rPr>
          <w:rFonts w:eastAsia="Calibri" w:cs="Calibri"/>
          <w:sz w:val="21"/>
          <w:szCs w:val="21"/>
        </w:rPr>
        <w:t>Threats were modelled with STRIDE per endpoint, prioritised through a PASTA risk assessment, and scored with the DREAD model. The full per-endpoint analysis is in the Threat Model document; the highlights and prioritised risks are summarised here and cross-referenced to MITRE ATT&amp;CK.</w:t>
      </w:r>
    </w:p>
    <w:p>
      <w:pPr>
        <w:pStyle w:val="Heading2"/>
        <w:spacing w:before="220" w:after="100"/>
        <w:rPr/>
      </w:pPr>
      <w:bookmarkStart w:id="12" w:name="__RefHeading___Toc9942_3694443629"/>
      <w:bookmarkEnd w:id="12"/>
      <w:r>
        <w:rPr>
          <w:rFonts w:eastAsia="Calibri" w:cs="Calibri" w:ascii="Calibri" w:hAnsi="Calibri"/>
          <w:b/>
          <w:bCs/>
          <w:color w:val="2E5496"/>
          <w:sz w:val="25"/>
          <w:szCs w:val="25"/>
        </w:rPr>
        <w:t>5.1 Highest-Priority Risks (DREAD)</w:t>
      </w:r>
    </w:p>
    <w:tbl>
      <w:tblPr>
        <w:tblW w:w="9360" w:type="dxa"/>
        <w:jc w:val="start"/>
        <w:tblInd w:w="0" w:type="dxa"/>
        <w:tblLayout w:type="fixed"/>
        <w:tblCellMar>
          <w:top w:w="70" w:type="dxa"/>
          <w:start w:w="110" w:type="dxa"/>
          <w:bottom w:w="70" w:type="dxa"/>
          <w:end w:w="110" w:type="dxa"/>
        </w:tblCellMar>
      </w:tblPr>
      <w:tblGrid>
        <w:gridCol w:w="3300"/>
        <w:gridCol w:w="1100"/>
        <w:gridCol w:w="1499"/>
        <w:gridCol w:w="3461"/>
      </w:tblGrid>
      <w:tr>
        <w:trPr>
          <w:tblHeader w:val="true"/>
        </w:trPr>
        <w:tc>
          <w:tcPr>
            <w:tcW w:w="33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Risk</w:t>
            </w:r>
          </w:p>
        </w:tc>
        <w:tc>
          <w:tcPr>
            <w:tcW w:w="11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DREAD</w:t>
            </w:r>
          </w:p>
        </w:tc>
        <w:tc>
          <w:tcPr>
            <w:tcW w:w="14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Level</w:t>
            </w:r>
          </w:p>
        </w:tc>
        <w:tc>
          <w:tcPr>
            <w:tcW w:w="346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Primary Mitigation</w:t>
            </w:r>
          </w:p>
        </w:tc>
      </w:tr>
      <w:tr>
        <w:trPr/>
        <w:tc>
          <w:tcPr>
            <w:tcW w:w="3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JWT alg:none forgery</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9.2</w:t>
            </w:r>
          </w:p>
        </w:tc>
        <w:tc>
          <w:tcPr>
            <w:tcW w:w="14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CRITICAL</w:t>
            </w:r>
          </w:p>
        </w:tc>
        <w:tc>
          <w:tcPr>
            <w:tcW w:w="34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Reject alg:none; accept RS256 only; server-side role assignment</w:t>
            </w:r>
          </w:p>
        </w:tc>
      </w:tr>
      <w:tr>
        <w:trPr/>
        <w:tc>
          <w:tcPr>
            <w:tcW w:w="3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Brute-force login</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9.2</w:t>
            </w:r>
          </w:p>
        </w:tc>
        <w:tc>
          <w:tcPr>
            <w:tcW w:w="14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00000"/>
                <w:sz w:val="18"/>
                <w:szCs w:val="18"/>
              </w:rPr>
              <w:t>CRITICAL</w:t>
            </w:r>
          </w:p>
        </w:tc>
        <w:tc>
          <w:tcPr>
            <w:tcW w:w="34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Rate limit 5/window per IP; bcrypt cost 12; lockout</w:t>
            </w:r>
          </w:p>
        </w:tc>
      </w:tr>
      <w:tr>
        <w:trPr/>
        <w:tc>
          <w:tcPr>
            <w:tcW w:w="3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IDOR on /users/{id}</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9.0</w:t>
            </w:r>
          </w:p>
        </w:tc>
        <w:tc>
          <w:tcPr>
            <w:tcW w:w="14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CRITICAL</w:t>
            </w:r>
          </w:p>
        </w:tc>
        <w:tc>
          <w:tcPr>
            <w:tcW w:w="34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RBAC admin-only; 403 on customer access; audit logging</w:t>
            </w:r>
          </w:p>
        </w:tc>
      </w:tr>
      <w:tr>
        <w:trPr/>
        <w:tc>
          <w:tcPr>
            <w:tcW w:w="3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SQL injection (transactions)</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8.2</w:t>
            </w:r>
          </w:p>
        </w:tc>
        <w:tc>
          <w:tcPr>
            <w:tcW w:w="14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55A11"/>
                <w:sz w:val="18"/>
                <w:szCs w:val="18"/>
              </w:rPr>
              <w:t>HIGH</w:t>
            </w:r>
          </w:p>
        </w:tc>
        <w:tc>
          <w:tcPr>
            <w:tcW w:w="34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Parameterised queries; input validation; WAF</w:t>
            </w:r>
          </w:p>
        </w:tc>
      </w:tr>
      <w:tr>
        <w:trPr/>
        <w:tc>
          <w:tcPr>
            <w:tcW w:w="3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Privilege escalation (customer→admin)</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8.0</w:t>
            </w:r>
          </w:p>
        </w:tc>
        <w:tc>
          <w:tcPr>
            <w:tcW w:w="14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55A11"/>
                <w:sz w:val="18"/>
                <w:szCs w:val="18"/>
              </w:rPr>
              <w:t>HIGH</w:t>
            </w:r>
          </w:p>
        </w:tc>
        <w:tc>
          <w:tcPr>
            <w:tcW w:w="34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RS256 signature validation; role from server, not client</w:t>
            </w:r>
          </w:p>
        </w:tc>
      </w:tr>
      <w:tr>
        <w:trPr>
          <w:trHeight w:val="648" w:hRule="atLeast"/>
        </w:trPr>
        <w:tc>
          <w:tcPr>
            <w:tcW w:w="3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Rate-limit bypass</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8.0</w:t>
            </w:r>
          </w:p>
        </w:tc>
        <w:tc>
          <w:tcPr>
            <w:tcW w:w="14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55A11"/>
                <w:sz w:val="18"/>
                <w:szCs w:val="18"/>
              </w:rPr>
              <w:t>HIGH</w:t>
            </w:r>
          </w:p>
        </w:tc>
        <w:tc>
          <w:tcPr>
            <w:tcW w:w="34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Per-IP windowing; 429 with Retry-After; anomaly detection</w:t>
            </w:r>
          </w:p>
        </w:tc>
      </w:tr>
    </w:tbl>
    <w:p>
      <w:pPr>
        <w:pStyle w:val="Heading2"/>
        <w:spacing w:before="220" w:after="100"/>
        <w:rPr/>
      </w:pPr>
      <w:bookmarkStart w:id="13" w:name="__RefHeading___Toc9944_3694443629"/>
      <w:bookmarkEnd w:id="13"/>
      <w:r>
        <w:rPr>
          <w:rFonts w:eastAsia="Calibri" w:cs="Calibri" w:ascii="Calibri" w:hAnsi="Calibri"/>
          <w:b/>
          <w:bCs/>
          <w:color w:val="2E5496"/>
          <w:sz w:val="25"/>
          <w:szCs w:val="25"/>
        </w:rPr>
        <w:t>5.2 PASTA Risk Assessment (Summary)</w:t>
      </w:r>
    </w:p>
    <w:p>
      <w:pPr>
        <w:pStyle w:val="ListParagraph"/>
        <w:numPr>
          <w:ilvl w:val="0"/>
          <w:numId w:val="3"/>
        </w:numPr>
        <w:spacing w:lineRule="auto" w:line="271" w:before="0" w:after="60"/>
        <w:rPr/>
      </w:pPr>
      <w:r>
        <w:rPr>
          <w:rFonts w:eastAsia="Calibri" w:cs="Calibri"/>
          <w:sz w:val="21"/>
          <w:szCs w:val="21"/>
        </w:rPr>
        <w:t>Objectives: protect customer financial data, guarantee transaction integrity, prevent privilege escalation, and maintain a complete audit trail.</w:t>
      </w:r>
    </w:p>
    <w:p>
      <w:pPr>
        <w:pStyle w:val="ListParagraph"/>
        <w:numPr>
          <w:ilvl w:val="0"/>
          <w:numId w:val="1"/>
        </w:numPr>
        <w:spacing w:lineRule="auto" w:line="271" w:before="0" w:after="60"/>
        <w:rPr/>
      </w:pPr>
      <w:r>
        <w:rPr>
          <w:rFonts w:eastAsia="Calibri" w:cs="Calibri"/>
          <w:sz w:val="21"/>
          <w:szCs w:val="21"/>
        </w:rPr>
        <w:t>Technical scope: 3 microservices, 8 endpoints, 2 roles; all endpoints externally reachable via the gateway.</w:t>
      </w:r>
    </w:p>
    <w:p>
      <w:pPr>
        <w:pStyle w:val="ListParagraph"/>
        <w:numPr>
          <w:ilvl w:val="0"/>
          <w:numId w:val="1"/>
        </w:numPr>
        <w:spacing w:lineRule="auto" w:line="271" w:before="0" w:after="60"/>
        <w:rPr/>
      </w:pPr>
      <w:r>
        <w:rPr>
          <w:rFonts w:eastAsia="Calibri" w:cs="Calibri"/>
          <w:sz w:val="21"/>
          <w:szCs w:val="21"/>
        </w:rPr>
        <w:t>Decomposition: /auth/login is untrusted (public); profile and transaction endpoints are semi-trusted (JWT required); Redis and PostgreSQL are internal trust zones protected by network policy and TLS.</w:t>
      </w:r>
    </w:p>
    <w:p>
      <w:pPr>
        <w:pStyle w:val="ListParagraph"/>
        <w:numPr>
          <w:ilvl w:val="0"/>
          <w:numId w:val="1"/>
        </w:numPr>
        <w:spacing w:lineRule="auto" w:line="271" w:before="0" w:after="60"/>
        <w:rPr/>
      </w:pPr>
      <w:r>
        <w:rPr>
          <w:rFonts w:eastAsia="Calibri" w:cs="Calibri"/>
          <w:sz w:val="21"/>
          <w:szCs w:val="21"/>
        </w:rPr>
        <w:t>Threat analysis: JWT forgery and brute-force rank highest on likelihood×impact, driving the emphasis on asymmetric signing and rate limiting.</w:t>
      </w:r>
    </w:p>
    <w:p>
      <w:pPr>
        <w:pStyle w:val="Heading2"/>
        <w:spacing w:before="220" w:after="100"/>
        <w:rPr/>
      </w:pPr>
      <w:bookmarkStart w:id="14" w:name="__RefHeading___Toc9946_3694443629"/>
      <w:bookmarkEnd w:id="14"/>
      <w:r>
        <w:rPr>
          <w:rFonts w:eastAsia="Calibri" w:cs="Calibri" w:ascii="Calibri" w:hAnsi="Calibri"/>
          <w:b/>
          <w:bCs/>
          <w:color w:val="2E5496"/>
          <w:sz w:val="25"/>
          <w:szCs w:val="25"/>
        </w:rPr>
        <w:t>5.3 MITRE ATT&amp;CK Coverage Heatmap</w:t>
      </w:r>
    </w:p>
    <w:tbl>
      <w:tblPr>
        <w:tblW w:w="10080" w:type="dxa"/>
        <w:jc w:val="start"/>
        <w:tblInd w:w="-1" w:type="dxa"/>
        <w:tblLayout w:type="fixed"/>
        <w:tblCellMar>
          <w:top w:w="80" w:type="dxa"/>
          <w:start w:w="120" w:type="dxa"/>
          <w:bottom w:w="80" w:type="dxa"/>
          <w:end w:w="120" w:type="dxa"/>
        </w:tblCellMar>
      </w:tblPr>
      <w:tblGrid>
        <w:gridCol w:w="1998"/>
        <w:gridCol w:w="2222"/>
        <w:gridCol w:w="4500"/>
        <w:gridCol w:w="1360"/>
      </w:tblGrid>
      <w:tr>
        <w:trPr>
          <w:tblHeader w:val="true"/>
        </w:trPr>
        <w:tc>
          <w:tcPr>
            <w:tcW w:w="1998" w:type="dxa"/>
            <w:tcBorders>
              <w:top w:val="single" w:sz="2" w:space="0" w:color="6495ED"/>
              <w:start w:val="single" w:sz="2" w:space="0" w:color="6495ED"/>
              <w:bottom w:val="single" w:sz="2" w:space="0" w:color="6495ED"/>
              <w:end w:val="single" w:sz="2" w:space="0" w:color="6495ED"/>
            </w:tcBorders>
            <w:shd w:fill="2E5496" w:val="clear"/>
            <w:vAlign w:val="center"/>
          </w:tcPr>
          <w:p>
            <w:pPr>
              <w:pStyle w:val="Normal"/>
              <w:bidi w:val="0"/>
              <w:jc w:val="center"/>
              <w:rPr/>
            </w:pPr>
            <w:r>
              <w:rPr>
                <w:rFonts w:eastAsia="Arial" w:cs="Arial" w:ascii="Arial" w:hAnsi="Arial"/>
                <w:b/>
                <w:bCs/>
                <w:color w:val="FFFFFF"/>
                <w:sz w:val="20"/>
                <w:szCs w:val="20"/>
              </w:rPr>
              <w:t>Tactic</w:t>
            </w:r>
          </w:p>
        </w:tc>
        <w:tc>
          <w:tcPr>
            <w:tcW w:w="2222" w:type="dxa"/>
            <w:tcBorders>
              <w:top w:val="single" w:sz="2" w:space="0" w:color="6495ED"/>
              <w:start w:val="single" w:sz="2" w:space="0" w:color="6495ED"/>
              <w:bottom w:val="single" w:sz="2" w:space="0" w:color="6495ED"/>
              <w:end w:val="single" w:sz="2" w:space="0" w:color="6495ED"/>
            </w:tcBorders>
            <w:shd w:fill="2E5496" w:val="clear"/>
            <w:vAlign w:val="center"/>
          </w:tcPr>
          <w:p>
            <w:pPr>
              <w:pStyle w:val="Normal"/>
              <w:bidi w:val="0"/>
              <w:jc w:val="center"/>
              <w:rPr/>
            </w:pPr>
            <w:r>
              <w:rPr>
                <w:rFonts w:eastAsia="Arial" w:cs="Arial" w:ascii="Arial" w:hAnsi="Arial"/>
                <w:b/>
                <w:bCs/>
                <w:color w:val="FFFFFF"/>
                <w:sz w:val="20"/>
                <w:szCs w:val="20"/>
              </w:rPr>
              <w:t>Techniques Mapped</w:t>
            </w:r>
          </w:p>
        </w:tc>
        <w:tc>
          <w:tcPr>
            <w:tcW w:w="4500" w:type="dxa"/>
            <w:tcBorders>
              <w:top w:val="single" w:sz="2" w:space="0" w:color="6495ED"/>
              <w:start w:val="single" w:sz="2" w:space="0" w:color="6495ED"/>
              <w:bottom w:val="single" w:sz="2" w:space="0" w:color="6495ED"/>
              <w:end w:val="single" w:sz="2" w:space="0" w:color="6495ED"/>
            </w:tcBorders>
            <w:shd w:fill="2E5496" w:val="clear"/>
            <w:vAlign w:val="center"/>
          </w:tcPr>
          <w:p>
            <w:pPr>
              <w:pStyle w:val="Normal"/>
              <w:bidi w:val="0"/>
              <w:jc w:val="center"/>
              <w:rPr/>
            </w:pPr>
            <w:r>
              <w:rPr>
                <w:rFonts w:eastAsia="Arial" w:cs="Arial" w:ascii="Arial" w:hAnsi="Arial"/>
                <w:b/>
                <w:bCs/>
                <w:color w:val="FFFFFF"/>
                <w:sz w:val="20"/>
                <w:szCs w:val="20"/>
              </w:rPr>
              <w:t>Detection Method</w:t>
            </w:r>
          </w:p>
        </w:tc>
        <w:tc>
          <w:tcPr>
            <w:tcW w:w="1360" w:type="dxa"/>
            <w:tcBorders>
              <w:top w:val="single" w:sz="2" w:space="0" w:color="6495ED"/>
              <w:start w:val="single" w:sz="2" w:space="0" w:color="6495ED"/>
              <w:bottom w:val="single" w:sz="2" w:space="0" w:color="6495ED"/>
              <w:end w:val="single" w:sz="2" w:space="0" w:color="6495ED"/>
            </w:tcBorders>
            <w:shd w:fill="2E5496" w:val="clear"/>
            <w:vAlign w:val="center"/>
          </w:tcPr>
          <w:p>
            <w:pPr>
              <w:pStyle w:val="Normal"/>
              <w:bidi w:val="0"/>
              <w:jc w:val="center"/>
              <w:rPr/>
            </w:pPr>
            <w:r>
              <w:rPr>
                <w:rFonts w:eastAsia="Arial" w:cs="Arial" w:ascii="Arial" w:hAnsi="Arial"/>
                <w:b/>
                <w:bCs/>
                <w:color w:val="FFFFFF"/>
                <w:sz w:val="20"/>
                <w:szCs w:val="20"/>
              </w:rPr>
              <w:t>Coverage</w:t>
            </w:r>
          </w:p>
        </w:tc>
      </w:tr>
      <w:tr>
        <w:trPr/>
        <w:tc>
          <w:tcPr>
            <w:tcW w:w="1998"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b/>
                <w:bCs/>
              </w:rPr>
            </w:pPr>
            <w:r>
              <w:rPr>
                <w:rFonts w:eastAsia="Arial" w:cs="Arial" w:ascii="Arial" w:hAnsi="Arial"/>
                <w:b/>
                <w:bCs/>
                <w:color w:val="2C2C2C"/>
                <w:sz w:val="20"/>
                <w:szCs w:val="20"/>
              </w:rPr>
              <w:t>Initial Access</w:t>
            </w:r>
          </w:p>
        </w:tc>
        <w:tc>
          <w:tcPr>
            <w:tcW w:w="2222"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T1190, T1078</w:t>
            </w:r>
          </w:p>
        </w:tc>
        <w:tc>
          <w:tcPr>
            <w:tcW w:w="450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ZAP scanning; QRadar R-01 brute force rule</w:t>
            </w:r>
          </w:p>
        </w:tc>
        <w:tc>
          <w:tcPr>
            <w:tcW w:w="136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HIGH</w:t>
            </w:r>
          </w:p>
        </w:tc>
      </w:tr>
      <w:tr>
        <w:trPr/>
        <w:tc>
          <w:tcPr>
            <w:tcW w:w="1998"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b/>
                <w:bCs/>
              </w:rPr>
            </w:pPr>
            <w:r>
              <w:rPr>
                <w:rFonts w:eastAsia="Arial" w:cs="Arial" w:ascii="Arial" w:hAnsi="Arial"/>
                <w:b/>
                <w:bCs/>
                <w:color w:val="2C2C2C"/>
                <w:sz w:val="20"/>
                <w:szCs w:val="20"/>
              </w:rPr>
              <w:t>Credential Access</w:t>
            </w:r>
          </w:p>
        </w:tc>
        <w:tc>
          <w:tcPr>
            <w:tcW w:w="2222"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T1110, T1110.001, T1110.003, T1528</w:t>
            </w:r>
          </w:p>
        </w:tc>
        <w:tc>
          <w:tcPr>
            <w:tcW w:w="4500"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Redis rate limit counter; Falco; QRadar R-01</w:t>
            </w:r>
          </w:p>
        </w:tc>
        <w:tc>
          <w:tcPr>
            <w:tcW w:w="1360"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HIGH</w:t>
            </w:r>
          </w:p>
        </w:tc>
      </w:tr>
      <w:tr>
        <w:trPr/>
        <w:tc>
          <w:tcPr>
            <w:tcW w:w="1998"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b/>
                <w:bCs/>
              </w:rPr>
            </w:pPr>
            <w:r>
              <w:rPr>
                <w:rFonts w:eastAsia="Arial" w:cs="Arial" w:ascii="Arial" w:hAnsi="Arial"/>
                <w:b/>
                <w:bCs/>
                <w:color w:val="2C2C2C"/>
                <w:sz w:val="20"/>
                <w:szCs w:val="20"/>
              </w:rPr>
              <w:t>Privilege Escalation</w:t>
            </w:r>
          </w:p>
        </w:tc>
        <w:tc>
          <w:tcPr>
            <w:tcW w:w="2222"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T1068, T1134</w:t>
            </w:r>
          </w:p>
        </w:tc>
        <w:tc>
          <w:tcPr>
            <w:tcW w:w="450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JWT RS256 validation; RBAC enforcement; QRadar R-05</w:t>
            </w:r>
          </w:p>
        </w:tc>
        <w:tc>
          <w:tcPr>
            <w:tcW w:w="136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HIGH</w:t>
            </w:r>
          </w:p>
        </w:tc>
      </w:tr>
      <w:tr>
        <w:trPr/>
        <w:tc>
          <w:tcPr>
            <w:tcW w:w="1998"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b/>
                <w:bCs/>
              </w:rPr>
            </w:pPr>
            <w:r>
              <w:rPr>
                <w:rFonts w:eastAsia="Arial" w:cs="Arial" w:ascii="Arial" w:hAnsi="Arial"/>
                <w:b/>
                <w:bCs/>
                <w:color w:val="2C2C2C"/>
                <w:sz w:val="20"/>
                <w:szCs w:val="20"/>
              </w:rPr>
              <w:t>Defense Evasion</w:t>
            </w:r>
          </w:p>
        </w:tc>
        <w:tc>
          <w:tcPr>
            <w:tcW w:w="2222"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T1562</w:t>
            </w:r>
          </w:p>
        </w:tc>
        <w:tc>
          <w:tcPr>
            <w:tcW w:w="4500"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Immutable QRadar logs; Falco log deletion rule</w:t>
            </w:r>
          </w:p>
        </w:tc>
        <w:tc>
          <w:tcPr>
            <w:tcW w:w="1360"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MEDIUM</w:t>
            </w:r>
          </w:p>
        </w:tc>
      </w:tr>
      <w:tr>
        <w:trPr/>
        <w:tc>
          <w:tcPr>
            <w:tcW w:w="1998"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b/>
                <w:bCs/>
              </w:rPr>
            </w:pPr>
            <w:r>
              <w:rPr>
                <w:rFonts w:eastAsia="Arial" w:cs="Arial" w:ascii="Arial" w:hAnsi="Arial"/>
                <w:b/>
                <w:bCs/>
                <w:color w:val="2C2C2C"/>
                <w:sz w:val="20"/>
                <w:szCs w:val="20"/>
              </w:rPr>
              <w:t>Discovery</w:t>
            </w:r>
          </w:p>
        </w:tc>
        <w:tc>
          <w:tcPr>
            <w:tcW w:w="2222"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T1087, T1083</w:t>
            </w:r>
          </w:p>
        </w:tc>
        <w:tc>
          <w:tcPr>
            <w:tcW w:w="450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API gateway logging; rate limiting; QRadar anomaly</w:t>
            </w:r>
          </w:p>
        </w:tc>
        <w:tc>
          <w:tcPr>
            <w:tcW w:w="136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MEDIUM</w:t>
            </w:r>
          </w:p>
        </w:tc>
      </w:tr>
      <w:tr>
        <w:trPr/>
        <w:tc>
          <w:tcPr>
            <w:tcW w:w="1998"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b/>
                <w:bCs/>
              </w:rPr>
            </w:pPr>
            <w:r>
              <w:rPr>
                <w:rFonts w:eastAsia="Arial" w:cs="Arial" w:ascii="Arial" w:hAnsi="Arial"/>
                <w:b/>
                <w:bCs/>
                <w:color w:val="2C2C2C"/>
                <w:sz w:val="20"/>
                <w:szCs w:val="20"/>
              </w:rPr>
              <w:t>Collection</w:t>
            </w:r>
          </w:p>
        </w:tc>
        <w:tc>
          <w:tcPr>
            <w:tcW w:w="2222"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T1005</w:t>
            </w:r>
          </w:p>
        </w:tc>
        <w:tc>
          <w:tcPr>
            <w:tcW w:w="4500"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Pagination enforcement; admin access logging</w:t>
            </w:r>
          </w:p>
        </w:tc>
        <w:tc>
          <w:tcPr>
            <w:tcW w:w="1360" w:type="dxa"/>
            <w:tcBorders>
              <w:top w:val="single" w:sz="2" w:space="0" w:color="6495ED"/>
              <w:start w:val="single" w:sz="2" w:space="0" w:color="6495ED"/>
              <w:bottom w:val="single" w:sz="2" w:space="0" w:color="6495ED"/>
              <w:end w:val="single" w:sz="2" w:space="0" w:color="6495ED"/>
            </w:tcBorders>
            <w:shd w:fill="EAF0FA" w:val="clear"/>
          </w:tcPr>
          <w:p>
            <w:pPr>
              <w:pStyle w:val="Normal"/>
              <w:bidi w:val="0"/>
              <w:jc w:val="start"/>
              <w:rPr/>
            </w:pPr>
            <w:r>
              <w:rPr>
                <w:rFonts w:eastAsia="Arial" w:cs="Arial" w:ascii="Arial" w:hAnsi="Arial"/>
                <w:b w:val="false"/>
                <w:bCs w:val="false"/>
                <w:color w:val="2C2C2C"/>
                <w:sz w:val="20"/>
                <w:szCs w:val="20"/>
              </w:rPr>
              <w:t>MEDIUM</w:t>
            </w:r>
          </w:p>
        </w:tc>
      </w:tr>
      <w:tr>
        <w:trPr/>
        <w:tc>
          <w:tcPr>
            <w:tcW w:w="1998"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b/>
                <w:bCs/>
              </w:rPr>
            </w:pPr>
            <w:r>
              <w:rPr>
                <w:rFonts w:eastAsia="Arial" w:cs="Arial" w:ascii="Arial" w:hAnsi="Arial"/>
                <w:b/>
                <w:bCs/>
                <w:color w:val="2C2C2C"/>
                <w:sz w:val="20"/>
                <w:szCs w:val="20"/>
              </w:rPr>
              <w:t>Impact</w:t>
            </w:r>
          </w:p>
        </w:tc>
        <w:tc>
          <w:tcPr>
            <w:tcW w:w="2222"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T1565, T1657, T1498</w:t>
            </w:r>
          </w:p>
        </w:tc>
        <w:tc>
          <w:tcPr>
            <w:tcW w:w="450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HMAC signing; anomaly detection ML model; K8s HPA</w:t>
            </w:r>
          </w:p>
        </w:tc>
        <w:tc>
          <w:tcPr>
            <w:tcW w:w="1360" w:type="dxa"/>
            <w:tcBorders>
              <w:top w:val="single" w:sz="2" w:space="0" w:color="6495ED"/>
              <w:start w:val="single" w:sz="2" w:space="0" w:color="6495ED"/>
              <w:bottom w:val="single" w:sz="2" w:space="0" w:color="6495ED"/>
              <w:end w:val="single" w:sz="2" w:space="0" w:color="6495ED"/>
            </w:tcBorders>
            <w:shd w:fill="FFFFFF" w:val="clear"/>
          </w:tcPr>
          <w:p>
            <w:pPr>
              <w:pStyle w:val="Normal"/>
              <w:bidi w:val="0"/>
              <w:jc w:val="start"/>
              <w:rPr/>
            </w:pPr>
            <w:r>
              <w:rPr>
                <w:rFonts w:eastAsia="Arial" w:cs="Arial" w:ascii="Arial" w:hAnsi="Arial"/>
                <w:b w:val="false"/>
                <w:bCs w:val="false"/>
                <w:color w:val="2C2C2C"/>
                <w:sz w:val="20"/>
                <w:szCs w:val="20"/>
              </w:rPr>
              <w:t>HIGH</w:t>
            </w:r>
          </w:p>
        </w:tc>
      </w:tr>
    </w:tbl>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start"/>
        <w:rPr>
          <w:rFonts w:ascii="Calibri" w:hAnsi="Calibri" w:eastAsia="Calibri" w:cs="Calibri"/>
          <w:b/>
          <w:bCs/>
          <w:color w:val="1F3864"/>
          <w:sz w:val="30"/>
          <w:szCs w:val="30"/>
        </w:rPr>
      </w:pPr>
      <w:r>
        <w:rPr>
          <w:rFonts w:eastAsia="Calibri" w:cs="Calibri"/>
          <w:b/>
          <w:bCs/>
          <w:color w:val="1F3864"/>
          <w:sz w:val="30"/>
          <w:szCs w:val="30"/>
        </w:rPr>
        <w:t>6. NIST Cybersecurity Framework Alignment</w:t>
      </w:r>
    </w:p>
    <w:p>
      <w:pPr>
        <w:pStyle w:val="Normal"/>
        <w:spacing w:lineRule="auto" w:line="276" w:before="0" w:after="120"/>
        <w:rPr/>
      </w:pPr>
      <w:r>
        <w:rPr>
          <w:rFonts w:eastAsia="Calibri" w:cs="Calibri"/>
          <w:sz w:val="21"/>
          <w:szCs w:val="21"/>
        </w:rPr>
        <w:t>The NIST CSF is the anchor framework for this report. Its five core functions — Identify, Protect, Detect, Respond, Recover — provide a complete lifecycle view of the platform's security posture. The table below gives a function-level maturity self-assessment, followed by the detailed control mapping for each function.</w:t>
      </w:r>
    </w:p>
    <w:p>
      <w:pPr>
        <w:pStyle w:val="Heading2"/>
        <w:spacing w:before="220" w:after="100"/>
        <w:rPr/>
      </w:pPr>
      <w:bookmarkStart w:id="15" w:name="__RefHeading___Toc9950_3694443629"/>
      <w:bookmarkEnd w:id="15"/>
      <w:r>
        <w:rPr>
          <w:rFonts w:eastAsia="Calibri" w:cs="Calibri" w:ascii="Calibri" w:hAnsi="Calibri"/>
          <w:b/>
          <w:bCs/>
          <w:color w:val="2E5496"/>
          <w:sz w:val="25"/>
          <w:szCs w:val="25"/>
        </w:rPr>
        <w:t>6.1 Function-Level Maturity Summary</w:t>
      </w:r>
    </w:p>
    <w:tbl>
      <w:tblPr>
        <w:tblW w:w="10080" w:type="dxa"/>
        <w:jc w:val="start"/>
        <w:tblInd w:w="0" w:type="dxa"/>
        <w:tblLayout w:type="fixed"/>
        <w:tblCellMar>
          <w:top w:w="70" w:type="dxa"/>
          <w:start w:w="110" w:type="dxa"/>
          <w:bottom w:w="70" w:type="dxa"/>
          <w:end w:w="110" w:type="dxa"/>
        </w:tblCellMar>
      </w:tblPr>
      <w:tblGrid>
        <w:gridCol w:w="1350"/>
        <w:gridCol w:w="1988"/>
        <w:gridCol w:w="5382"/>
        <w:gridCol w:w="1360"/>
      </w:tblGrid>
      <w:tr>
        <w:trPr>
          <w:tblHeader w:val="true"/>
        </w:trPr>
        <w:tc>
          <w:tcPr>
            <w:tcW w:w="135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CSF Function</w:t>
            </w:r>
          </w:p>
        </w:tc>
        <w:tc>
          <w:tcPr>
            <w:tcW w:w="1988"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Focus</w:t>
            </w:r>
          </w:p>
        </w:tc>
        <w:tc>
          <w:tcPr>
            <w:tcW w:w="5382"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Evidence</w:t>
            </w:r>
          </w:p>
        </w:tc>
        <w:tc>
          <w:tcPr>
            <w:tcW w:w="136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Maturity</w:t>
            </w:r>
          </w:p>
        </w:tc>
      </w:tr>
      <w:tr>
        <w:trPr/>
        <w:tc>
          <w:tcPr>
            <w:tcW w:w="135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Identify</w:t>
            </w:r>
          </w:p>
        </w:tc>
        <w:tc>
          <w:tcPr>
            <w:tcW w:w="19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Asset &amp; risk visibility</w:t>
            </w:r>
          </w:p>
        </w:tc>
        <w:tc>
          <w:tcPr>
            <w:tcW w:w="538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Service inventory, SRD, threat model, MITRE mapping, Trivy</w:t>
            </w:r>
          </w:p>
        </w:tc>
        <w:tc>
          <w:tcPr>
            <w:tcW w:w="13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Strong</w:t>
            </w:r>
          </w:p>
        </w:tc>
      </w:tr>
      <w:tr>
        <w:trPr/>
        <w:tc>
          <w:tcPr>
            <w:tcW w:w="135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Protect</w:t>
            </w:r>
          </w:p>
        </w:tc>
        <w:tc>
          <w:tcPr>
            <w:tcW w:w="19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Safeguards</w:t>
            </w:r>
          </w:p>
        </w:tc>
        <w:tc>
          <w:tcPr>
            <w:tcW w:w="5382"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RS256/bcrypt/RBAC/ABAC, TLS, Vault, input validation, hardened images</w:t>
            </w:r>
          </w:p>
        </w:tc>
        <w:tc>
          <w:tcPr>
            <w:tcW w:w="13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Strong</w:t>
            </w:r>
          </w:p>
        </w:tc>
      </w:tr>
      <w:tr>
        <w:trPr/>
        <w:tc>
          <w:tcPr>
            <w:tcW w:w="135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Detect</w:t>
            </w:r>
          </w:p>
        </w:tc>
        <w:tc>
          <w:tcPr>
            <w:tcW w:w="19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Continuous monitoring</w:t>
            </w:r>
          </w:p>
        </w:tc>
        <w:tc>
          <w:tcPr>
            <w:tcW w:w="538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Prometheus/Grafana, Falco, SIEM rules R-01–R-05, ML anomaly model</w:t>
            </w:r>
          </w:p>
        </w:tc>
        <w:tc>
          <w:tcPr>
            <w:tcW w:w="13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Strong</w:t>
            </w:r>
          </w:p>
        </w:tc>
      </w:tr>
      <w:tr>
        <w:trPr/>
        <w:tc>
          <w:tcPr>
            <w:tcW w:w="135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Respond</w:t>
            </w:r>
          </w:p>
        </w:tc>
        <w:tc>
          <w:tcPr>
            <w:tcW w:w="19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Incident handling</w:t>
            </w:r>
          </w:p>
        </w:tc>
        <w:tc>
          <w:tcPr>
            <w:tcW w:w="5382"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Blue-team runbook (NIST SP 800-61), SIEM offenses, containment playbook</w:t>
            </w:r>
          </w:p>
        </w:tc>
        <w:tc>
          <w:tcPr>
            <w:tcW w:w="13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Good</w:t>
            </w:r>
          </w:p>
        </w:tc>
      </w:tr>
      <w:tr>
        <w:trPr/>
        <w:tc>
          <w:tcPr>
            <w:tcW w:w="135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Recover</w:t>
            </w:r>
          </w:p>
        </w:tc>
        <w:tc>
          <w:tcPr>
            <w:tcW w:w="19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Restoration</w:t>
            </w:r>
          </w:p>
        </w:tc>
        <w:tc>
          <w:tcPr>
            <w:tcW w:w="538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Image rollback, Vault key rotation, pod restart, lessons-learned loop</w:t>
            </w:r>
          </w:p>
        </w:tc>
        <w:tc>
          <w:tcPr>
            <w:tcW w:w="13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Developing</w:t>
            </w:r>
          </w:p>
        </w:tc>
      </w:tr>
    </w:tbl>
    <w:p>
      <w:pPr>
        <w:pStyle w:val="Heading2"/>
        <w:spacing w:before="220" w:after="100"/>
        <w:rPr/>
      </w:pPr>
      <w:bookmarkStart w:id="16" w:name="__RefHeading___Toc9952_3694443629"/>
      <w:bookmarkEnd w:id="16"/>
      <w:r>
        <w:rPr>
          <w:rFonts w:eastAsia="Calibri" w:cs="Calibri" w:ascii="Calibri" w:hAnsi="Calibri"/>
          <w:b/>
          <w:bCs/>
          <w:color w:val="2E5496"/>
          <w:sz w:val="25"/>
          <w:szCs w:val="25"/>
        </w:rPr>
        <w:t>6.2 IDENTIFY</w:t>
      </w:r>
    </w:p>
    <w:p>
      <w:pPr>
        <w:pStyle w:val="Normal"/>
        <w:spacing w:lineRule="auto" w:line="276" w:before="0" w:after="120"/>
        <w:rPr/>
      </w:pPr>
      <w:r>
        <w:rPr>
          <w:rFonts w:eastAsia="Calibri" w:cs="Calibri"/>
          <w:sz w:val="21"/>
          <w:szCs w:val="21"/>
        </w:rPr>
        <w:t>The Identify function establishes what must be protected and the risks it faces. The platform maintains a current inventory of services and images, a documented Software Requirements Document, a STRIDE/PASTA threat model, and a MITRE ATT&amp;CK mapping; vulnerabilities are continuously surfaced by Trivy and SonarCloud.</w:t>
      </w:r>
    </w:p>
    <w:tbl>
      <w:tblPr>
        <w:tblW w:w="10080" w:type="dxa"/>
        <w:jc w:val="start"/>
        <w:tblInd w:w="0" w:type="dxa"/>
        <w:tblLayout w:type="fixed"/>
        <w:tblCellMar>
          <w:top w:w="70" w:type="dxa"/>
          <w:start w:w="110" w:type="dxa"/>
          <w:bottom w:w="70" w:type="dxa"/>
          <w:end w:w="110" w:type="dxa"/>
        </w:tblCellMar>
      </w:tblPr>
      <w:tblGrid>
        <w:gridCol w:w="994"/>
        <w:gridCol w:w="3150"/>
        <w:gridCol w:w="5936"/>
      </w:tblGrid>
      <w:tr>
        <w:trPr>
          <w:tblHeader w:val="true"/>
        </w:trPr>
        <w:tc>
          <w:tcPr>
            <w:tcW w:w="994"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Control</w:t>
            </w:r>
          </w:p>
        </w:tc>
        <w:tc>
          <w:tcPr>
            <w:tcW w:w="315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Description</w:t>
            </w:r>
          </w:p>
        </w:tc>
        <w:tc>
          <w:tcPr>
            <w:tcW w:w="5936"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r>
      <w:tr>
        <w:trPr/>
        <w:tc>
          <w:tcPr>
            <w:tcW w:w="99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ID.AM-1</w:t>
            </w:r>
          </w:p>
        </w:tc>
        <w:tc>
          <w:tcPr>
            <w:tcW w:w="315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Inventory of systems</w:t>
            </w:r>
          </w:p>
        </w:tc>
        <w:tc>
          <w:tcPr>
            <w:tcW w:w="593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Three microservices catalogued; container/pod inventory</w:t>
            </w:r>
          </w:p>
        </w:tc>
      </w:tr>
      <w:tr>
        <w:trPr/>
        <w:tc>
          <w:tcPr>
            <w:tcW w:w="99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ID.AM-2</w:t>
            </w:r>
          </w:p>
        </w:tc>
        <w:tc>
          <w:tcPr>
            <w:tcW w:w="315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Inventory of software/platforms</w:t>
            </w:r>
          </w:p>
        </w:tc>
        <w:tc>
          <w:tcPr>
            <w:tcW w:w="593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Docker image registry; pinned dependencies; Helm versioning</w:t>
            </w:r>
          </w:p>
        </w:tc>
      </w:tr>
      <w:tr>
        <w:trPr/>
        <w:tc>
          <w:tcPr>
            <w:tcW w:w="99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ID.RA-1</w:t>
            </w:r>
          </w:p>
        </w:tc>
        <w:tc>
          <w:tcPr>
            <w:tcW w:w="315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Vulnerabilities identified &amp; documented</w:t>
            </w:r>
          </w:p>
        </w:tc>
        <w:tc>
          <w:tcPr>
            <w:tcW w:w="593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Trivy image scans; SonarCloud findings; this report</w:t>
            </w:r>
          </w:p>
        </w:tc>
      </w:tr>
      <w:tr>
        <w:trPr/>
        <w:tc>
          <w:tcPr>
            <w:tcW w:w="99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ID.RA-3</w:t>
            </w:r>
          </w:p>
        </w:tc>
        <w:tc>
          <w:tcPr>
            <w:tcW w:w="315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Threats identified &amp; documented</w:t>
            </w:r>
          </w:p>
        </w:tc>
        <w:tc>
          <w:tcPr>
            <w:tcW w:w="593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STRIDE threat model; MITRE ATT&amp;CK mapping</w:t>
            </w:r>
          </w:p>
        </w:tc>
      </w:tr>
    </w:tbl>
    <w:p>
      <w:pPr>
        <w:pStyle w:val="Heading2"/>
        <w:spacing w:before="220" w:after="100"/>
        <w:rPr/>
      </w:pPr>
      <w:bookmarkStart w:id="17" w:name="__RefHeading___Toc9954_3694443629"/>
      <w:bookmarkEnd w:id="17"/>
      <w:r>
        <w:rPr>
          <w:rFonts w:eastAsia="Calibri" w:cs="Calibri" w:ascii="Calibri" w:hAnsi="Calibri"/>
          <w:b/>
          <w:bCs/>
          <w:color w:val="2E5496"/>
          <w:sz w:val="25"/>
          <w:szCs w:val="25"/>
        </w:rPr>
        <w:t>6.3 PROTECT</w:t>
      </w:r>
    </w:p>
    <w:p>
      <w:pPr>
        <w:pStyle w:val="Normal"/>
        <w:spacing w:lineRule="auto" w:line="276" w:before="0" w:after="120"/>
        <w:rPr/>
      </w:pPr>
      <w:r>
        <w:rPr>
          <w:rFonts w:eastAsia="Calibri" w:cs="Calibri"/>
          <w:sz w:val="21"/>
          <w:szCs w:val="21"/>
        </w:rPr>
        <w:t>The Protect function delivers the safeguards that limit or contain the impact of an event. SecureVault concentrates the bulk of its engineering effort here: strong authentication and credential handling, encryption in transit and at rest, least-privilege access control, secrets management, and a secure build/deploy chain.</w:t>
      </w:r>
    </w:p>
    <w:tbl>
      <w:tblPr>
        <w:tblW w:w="10080" w:type="dxa"/>
        <w:jc w:val="start"/>
        <w:tblInd w:w="0" w:type="dxa"/>
        <w:tblLayout w:type="fixed"/>
        <w:tblCellMar>
          <w:top w:w="70" w:type="dxa"/>
          <w:start w:w="110" w:type="dxa"/>
          <w:bottom w:w="70" w:type="dxa"/>
          <w:end w:w="110" w:type="dxa"/>
        </w:tblCellMar>
      </w:tblPr>
      <w:tblGrid>
        <w:gridCol w:w="1088"/>
        <w:gridCol w:w="2775"/>
        <w:gridCol w:w="6217"/>
      </w:tblGrid>
      <w:tr>
        <w:trPr>
          <w:tblHeader w:val="true"/>
        </w:trPr>
        <w:tc>
          <w:tcPr>
            <w:tcW w:w="1088"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Control</w:t>
            </w:r>
          </w:p>
        </w:tc>
        <w:tc>
          <w:tcPr>
            <w:tcW w:w="2775"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Description</w:t>
            </w:r>
          </w:p>
        </w:tc>
        <w:tc>
          <w:tcPr>
            <w:tcW w:w="6217"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r>
      <w:tr>
        <w:trPr/>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PR.AC-1</w:t>
            </w:r>
          </w:p>
        </w:tc>
        <w:tc>
          <w:tcPr>
            <w:tcW w:w="277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Identities &amp; credentials managed</w:t>
            </w:r>
          </w:p>
        </w:tc>
        <w:tc>
          <w:tcPr>
            <w:tcW w:w="621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Keycloak OIDC; RS256 JWT; bcrypt cost 12; Vault-stored keys</w:t>
            </w:r>
          </w:p>
        </w:tc>
      </w:tr>
      <w:tr>
        <w:trPr/>
        <w:tc>
          <w:tcPr>
            <w:tcW w:w="10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PR.AC-3/4</w:t>
            </w:r>
          </w:p>
        </w:tc>
        <w:tc>
          <w:tcPr>
            <w:tcW w:w="277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Access &amp; least privilege</w:t>
            </w:r>
          </w:p>
        </w:tc>
        <w:tc>
          <w:tcPr>
            <w:tcW w:w="621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RBAC customer/admin; ABAC ownership checks; 403 on violation</w:t>
            </w:r>
          </w:p>
        </w:tc>
      </w:tr>
      <w:tr>
        <w:trPr/>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PR.AC-5</w:t>
            </w:r>
          </w:p>
        </w:tc>
        <w:tc>
          <w:tcPr>
            <w:tcW w:w="277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Network protection</w:t>
            </w:r>
          </w:p>
        </w:tc>
        <w:tc>
          <w:tcPr>
            <w:tcW w:w="621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Network Policies; gateway; port restriction; micro-segmentation</w:t>
            </w:r>
          </w:p>
        </w:tc>
      </w:tr>
      <w:tr>
        <w:trPr/>
        <w:tc>
          <w:tcPr>
            <w:tcW w:w="10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PR.DS-1</w:t>
            </w:r>
          </w:p>
        </w:tc>
        <w:tc>
          <w:tcPr>
            <w:tcW w:w="277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Data at rest protected</w:t>
            </w:r>
          </w:p>
        </w:tc>
        <w:tc>
          <w:tcPr>
            <w:tcW w:w="621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AES-256 database encryption; Vault key management</w:t>
            </w:r>
          </w:p>
        </w:tc>
      </w:tr>
      <w:tr>
        <w:trPr/>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PR.DS-2</w:t>
            </w:r>
          </w:p>
        </w:tc>
        <w:tc>
          <w:tcPr>
            <w:tcW w:w="2775"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Data in transit protected</w:t>
            </w:r>
          </w:p>
        </w:tc>
        <w:tc>
          <w:tcPr>
            <w:tcW w:w="621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TLS 1.3 enforced; mTLS inter-service; legacy TLS disabled</w:t>
            </w:r>
          </w:p>
        </w:tc>
      </w:tr>
      <w:tr>
        <w:trPr/>
        <w:tc>
          <w:tcPr>
            <w:tcW w:w="10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PR.IP-1/2</w:t>
            </w:r>
          </w:p>
        </w:tc>
        <w:tc>
          <w:tcPr>
            <w:tcW w:w="2775"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Secure baselines &amp; SDLC</w:t>
            </w:r>
          </w:p>
        </w:tc>
        <w:tc>
          <w:tcPr>
            <w:tcW w:w="621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Input validation; hardened multi-stage images; CI/CD SAST gates</w:t>
            </w:r>
          </w:p>
        </w:tc>
      </w:tr>
    </w:tbl>
    <w:p>
      <w:pPr>
        <w:pStyle w:val="Heading2"/>
        <w:spacing w:before="220" w:after="100"/>
        <w:rPr/>
      </w:pPr>
      <w:bookmarkStart w:id="18" w:name="__RefHeading___Toc9956_3694443629"/>
      <w:bookmarkEnd w:id="18"/>
      <w:r>
        <w:rPr>
          <w:rFonts w:eastAsia="Calibri" w:cs="Calibri" w:ascii="Calibri" w:hAnsi="Calibri"/>
          <w:b/>
          <w:bCs/>
          <w:color w:val="2E5496"/>
          <w:sz w:val="25"/>
          <w:szCs w:val="25"/>
        </w:rPr>
        <w:t>6.4 DETECT</w:t>
      </w:r>
    </w:p>
    <w:p>
      <w:pPr>
        <w:pStyle w:val="Normal"/>
        <w:spacing w:lineRule="auto" w:line="276" w:before="0" w:after="120"/>
        <w:rPr/>
      </w:pPr>
      <w:r>
        <w:rPr>
          <w:rFonts w:eastAsia="Calibri" w:cs="Calibri"/>
          <w:sz w:val="21"/>
          <w:szCs w:val="21"/>
        </w:rPr>
        <w:t>The Detect function provides timely discovery of security events. The platform layers metric-based monitoring (Prometheus/Grafana), runtime behavioural detection (Falco), SIEM correlation (rules R-01 through R-05), and an unsupervised machine-learning anomaly detector that scores live traffic features.</w:t>
      </w:r>
    </w:p>
    <w:tbl>
      <w:tblPr>
        <w:tblW w:w="10080" w:type="dxa"/>
        <w:jc w:val="start"/>
        <w:tblInd w:w="0" w:type="dxa"/>
        <w:tblLayout w:type="fixed"/>
        <w:tblCellMar>
          <w:top w:w="70" w:type="dxa"/>
          <w:start w:w="110" w:type="dxa"/>
          <w:bottom w:w="70" w:type="dxa"/>
          <w:end w:w="110" w:type="dxa"/>
        </w:tblCellMar>
      </w:tblPr>
      <w:tblGrid>
        <w:gridCol w:w="1088"/>
        <w:gridCol w:w="3318"/>
        <w:gridCol w:w="5674"/>
      </w:tblGrid>
      <w:tr>
        <w:trPr>
          <w:tblHeader w:val="true"/>
        </w:trPr>
        <w:tc>
          <w:tcPr>
            <w:tcW w:w="1088"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Control</w:t>
            </w:r>
          </w:p>
        </w:tc>
        <w:tc>
          <w:tcPr>
            <w:tcW w:w="3318"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Description</w:t>
            </w:r>
          </w:p>
        </w:tc>
        <w:tc>
          <w:tcPr>
            <w:tcW w:w="5674"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r>
      <w:tr>
        <w:trPr/>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DE.CM-1</w:t>
            </w:r>
          </w:p>
        </w:tc>
        <w:tc>
          <w:tcPr>
            <w:tcW w:w="331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Network/anomaly monitoring</w:t>
            </w:r>
          </w:p>
        </w:tc>
        <w:tc>
          <w:tcPr>
            <w:tcW w:w="567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Prometheus metrics; Falco runtime; ML anomaly model</w:t>
            </w:r>
          </w:p>
        </w:tc>
      </w:tr>
      <w:tr>
        <w:trPr/>
        <w:tc>
          <w:tcPr>
            <w:tcW w:w="10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DE.CM-3</w:t>
            </w:r>
          </w:p>
        </w:tc>
        <w:tc>
          <w:tcPr>
            <w:tcW w:w="331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Personnel/activity monitoring</w:t>
            </w:r>
          </w:p>
        </w:tc>
        <w:tc>
          <w:tcPr>
            <w:tcW w:w="567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All API calls logged; admin actions audited in SIEM</w:t>
            </w:r>
          </w:p>
        </w:tc>
      </w:tr>
      <w:tr>
        <w:trPr/>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DE.CM-7</w:t>
            </w:r>
          </w:p>
        </w:tc>
        <w:tc>
          <w:tcPr>
            <w:tcW w:w="331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Unauthorised connection monitoring</w:t>
            </w:r>
          </w:p>
        </w:tc>
        <w:tc>
          <w:tcPr>
            <w:tcW w:w="567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SIEM correlation rules R-01–R-05; custom Falco rules</w:t>
            </w:r>
          </w:p>
        </w:tc>
      </w:tr>
      <w:tr>
        <w:trPr/>
        <w:tc>
          <w:tcPr>
            <w:tcW w:w="10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DE.AE-2</w:t>
            </w:r>
          </w:p>
        </w:tc>
        <w:tc>
          <w:tcPr>
            <w:tcW w:w="331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Event analysis</w:t>
            </w:r>
          </w:p>
        </w:tc>
        <w:tc>
          <w:tcPr>
            <w:tcW w:w="567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SIEM offenses; Grafana dashboards; ML anomaly scoring</w:t>
            </w:r>
          </w:p>
        </w:tc>
      </w:tr>
    </w:tbl>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10" behindDoc="0" locked="0" layoutInCell="0" allowOverlap="1">
            <wp:simplePos x="0" y="0"/>
            <wp:positionH relativeFrom="page">
              <wp:posOffset>914400</wp:posOffset>
            </wp:positionH>
            <wp:positionV relativeFrom="paragraph">
              <wp:posOffset>166370</wp:posOffset>
            </wp:positionV>
            <wp:extent cx="5817235" cy="1193165"/>
            <wp:effectExtent l="0" t="0" r="0" b="0"/>
            <wp:wrapTopAndBottom/>
            <wp:docPr id="4"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01"/>
                    <pic:cNvPicPr>
                      <a:picLocks noChangeAspect="1" noChangeArrowheads="1"/>
                    </pic:cNvPicPr>
                  </pic:nvPicPr>
                  <pic:blipFill>
                    <a:blip r:embed="rId6"/>
                    <a:stretch>
                      <a:fillRect/>
                    </a:stretch>
                  </pic:blipFill>
                  <pic:spPr bwMode="auto">
                    <a:xfrm>
                      <a:off x="0" y="0"/>
                      <a:ext cx="5817235" cy="1193165"/>
                    </a:xfrm>
                    <a:prstGeom prst="rect">
                      <a:avLst/>
                    </a:prstGeom>
                    <a:noFill/>
                  </pic:spPr>
                </pic:pic>
              </a:graphicData>
            </a:graphic>
          </wp:anchor>
        </w:drawing>
        <w:drawing>
          <wp:inline distT="0" distB="0" distL="0" distR="0">
            <wp:extent cx="5888990" cy="2132965"/>
            <wp:effectExtent l="0" t="0" r="0" b="0"/>
            <wp:docPr id="5"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97"/>
                    <pic:cNvPicPr>
                      <a:picLocks noChangeAspect="1" noChangeArrowheads="1"/>
                    </pic:cNvPicPr>
                  </pic:nvPicPr>
                  <pic:blipFill>
                    <a:blip r:embed="rId7"/>
                    <a:stretch>
                      <a:fillRect/>
                    </a:stretch>
                  </pic:blipFill>
                  <pic:spPr bwMode="auto">
                    <a:xfrm>
                      <a:off x="0" y="0"/>
                      <a:ext cx="5888990" cy="2132965"/>
                    </a:xfrm>
                    <a:prstGeom prst="rect">
                      <a:avLst/>
                    </a:prstGeom>
                    <a:noFill/>
                  </pic:spPr>
                </pic:pic>
              </a:graphicData>
            </a:graphic>
          </wp:inline>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4. Detection stack — Falco runtime alert + SIEM correlated offense for the same attack</w:t>
      </w:r>
    </w:p>
    <w:p>
      <w:pPr>
        <w:pStyle w:val="Heading2"/>
        <w:spacing w:before="220" w:after="100"/>
        <w:rPr/>
      </w:pPr>
      <w:bookmarkStart w:id="19" w:name="__RefHeading___Toc9958_3694443629"/>
      <w:bookmarkEnd w:id="19"/>
      <w:r>
        <w:rPr>
          <w:rFonts w:eastAsia="Calibri" w:cs="Calibri" w:ascii="Calibri" w:hAnsi="Calibri"/>
          <w:b/>
          <w:bCs/>
          <w:color w:val="2E5496"/>
          <w:sz w:val="25"/>
          <w:szCs w:val="25"/>
        </w:rPr>
        <w:t>6.5 RESPOND</w:t>
      </w:r>
    </w:p>
    <w:p>
      <w:pPr>
        <w:pStyle w:val="Normal"/>
        <w:spacing w:lineRule="auto" w:line="276" w:before="0" w:after="120"/>
        <w:rPr/>
      </w:pPr>
      <w:r>
        <w:rPr>
          <w:rFonts w:eastAsia="Calibri" w:cs="Calibri"/>
          <w:sz w:val="21"/>
          <w:szCs w:val="21"/>
        </w:rPr>
        <w:t>The Respond function governs action once an incident is detected. The Blue-Team runbook follows NIST SP 800-61 (Preparation → Detection &amp; Analysis → Containment → Eradication &amp; Recovery → Post-Incident), with SIEM offenses driving triage and a documented containment playbook (cordon/drain nodes, isolate pods, emergency network policy, secret rotation).</w:t>
      </w:r>
    </w:p>
    <w:tbl>
      <w:tblPr>
        <w:tblW w:w="9360" w:type="dxa"/>
        <w:jc w:val="start"/>
        <w:tblInd w:w="0" w:type="dxa"/>
        <w:tblLayout w:type="fixed"/>
        <w:tblCellMar>
          <w:top w:w="70" w:type="dxa"/>
          <w:start w:w="110" w:type="dxa"/>
          <w:bottom w:w="70" w:type="dxa"/>
          <w:end w:w="110" w:type="dxa"/>
        </w:tblCellMar>
      </w:tblPr>
      <w:tblGrid>
        <w:gridCol w:w="1500"/>
        <w:gridCol w:w="3060"/>
        <w:gridCol w:w="4800"/>
      </w:tblGrid>
      <w:tr>
        <w:trPr>
          <w:tblHeader w:val="true"/>
        </w:trPr>
        <w:tc>
          <w:tcPr>
            <w:tcW w:w="15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Control</w:t>
            </w:r>
          </w:p>
        </w:tc>
        <w:tc>
          <w:tcPr>
            <w:tcW w:w="306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Description</w:t>
            </w:r>
          </w:p>
        </w:tc>
        <w:tc>
          <w:tcPr>
            <w:tcW w:w="48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r>
      <w:tr>
        <w:trPr/>
        <w:tc>
          <w:tcPr>
            <w:tcW w:w="15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RS.RP-1</w:t>
            </w:r>
          </w:p>
        </w:tc>
        <w:tc>
          <w:tcPr>
            <w:tcW w:w="30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Response plan executed</w:t>
            </w:r>
          </w:p>
        </w:tc>
        <w:tc>
          <w:tcPr>
            <w:tcW w:w="48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Blue-team runbook through all five SP 800-61 phases</w:t>
            </w:r>
          </w:p>
        </w:tc>
      </w:tr>
      <w:tr>
        <w:trPr/>
        <w:tc>
          <w:tcPr>
            <w:tcW w:w="15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RS.CO-2</w:t>
            </w:r>
          </w:p>
        </w:tc>
        <w:tc>
          <w:tcPr>
            <w:tcW w:w="30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Incident reporting</w:t>
            </w:r>
          </w:p>
        </w:tc>
        <w:tc>
          <w:tcPr>
            <w:tcW w:w="48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SIEM offense creation; SOC alert; P1/P2 severity tagging</w:t>
            </w:r>
          </w:p>
        </w:tc>
      </w:tr>
      <w:tr>
        <w:trPr/>
        <w:tc>
          <w:tcPr>
            <w:tcW w:w="15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RS.AN-1</w:t>
            </w:r>
          </w:p>
        </w:tc>
        <w:tc>
          <w:tcPr>
            <w:tcW w:w="30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Detection alerts investigated</w:t>
            </w:r>
          </w:p>
        </w:tc>
        <w:tc>
          <w:tcPr>
            <w:tcW w:w="48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Offenses reviewed; Falco alerts triaged; log correlation</w:t>
            </w:r>
          </w:p>
        </w:tc>
      </w:tr>
      <w:tr>
        <w:trPr/>
        <w:tc>
          <w:tcPr>
            <w:tcW w:w="15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RS.IM-1</w:t>
            </w:r>
          </w:p>
        </w:tc>
        <w:tc>
          <w:tcPr>
            <w:tcW w:w="30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Lessons learned incorporated</w:t>
            </w:r>
          </w:p>
        </w:tc>
        <w:tc>
          <w:tcPr>
            <w:tcW w:w="48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Post-incident report; updated Falco and SIEM rules</w:t>
            </w:r>
          </w:p>
        </w:tc>
      </w:tr>
    </w:tbl>
    <w:p>
      <w:pPr>
        <w:pStyle w:val="Heading2"/>
        <w:spacing w:before="220" w:after="100"/>
        <w:rPr/>
      </w:pPr>
      <w:bookmarkStart w:id="20" w:name="__RefHeading___Toc9960_3694443629"/>
      <w:bookmarkEnd w:id="20"/>
      <w:r>
        <w:rPr>
          <w:rFonts w:eastAsia="Calibri" w:cs="Calibri" w:ascii="Calibri" w:hAnsi="Calibri"/>
          <w:b/>
          <w:bCs/>
          <w:color w:val="2E5496"/>
          <w:sz w:val="25"/>
          <w:szCs w:val="25"/>
        </w:rPr>
        <w:t>6.6 RECOVER</w:t>
      </w:r>
    </w:p>
    <w:p>
      <w:pPr>
        <w:pStyle w:val="Normal"/>
        <w:spacing w:lineRule="auto" w:line="276" w:before="0" w:after="120"/>
        <w:rPr/>
      </w:pPr>
      <w:r>
        <w:rPr>
          <w:rFonts w:eastAsia="Calibri" w:cs="Calibri"/>
          <w:sz w:val="21"/>
          <w:szCs w:val="21"/>
        </w:rPr>
        <w:t>The Recover function restores normal operation and feeds improvements back into the system. Recovery relies on redeploying from a known-clean image via Helm rollback, rotating compromised secrets in Vault, and restarting affected pods, with the threat model and requirements updated from each incident.</w:t>
      </w:r>
    </w:p>
    <w:tbl>
      <w:tblPr>
        <w:tblW w:w="9360" w:type="dxa"/>
        <w:jc w:val="start"/>
        <w:tblInd w:w="0" w:type="dxa"/>
        <w:tblLayout w:type="fixed"/>
        <w:tblCellMar>
          <w:top w:w="70" w:type="dxa"/>
          <w:start w:w="110" w:type="dxa"/>
          <w:bottom w:w="70" w:type="dxa"/>
          <w:end w:w="110" w:type="dxa"/>
        </w:tblCellMar>
      </w:tblPr>
      <w:tblGrid>
        <w:gridCol w:w="1350"/>
        <w:gridCol w:w="2438"/>
        <w:gridCol w:w="5572"/>
      </w:tblGrid>
      <w:tr>
        <w:trPr>
          <w:tblHeader w:val="true"/>
        </w:trPr>
        <w:tc>
          <w:tcPr>
            <w:tcW w:w="135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Control</w:t>
            </w:r>
          </w:p>
        </w:tc>
        <w:tc>
          <w:tcPr>
            <w:tcW w:w="2438"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Description</w:t>
            </w:r>
          </w:p>
        </w:tc>
        <w:tc>
          <w:tcPr>
            <w:tcW w:w="5572"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r>
      <w:tr>
        <w:trPr/>
        <w:tc>
          <w:tcPr>
            <w:tcW w:w="135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RC.RP-1</w:t>
            </w:r>
          </w:p>
        </w:tc>
        <w:tc>
          <w:tcPr>
            <w:tcW w:w="243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Recovery plan executed</w:t>
            </w:r>
          </w:p>
        </w:tc>
        <w:tc>
          <w:tcPr>
            <w:tcW w:w="5572"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Helm rollback to clean image; Vault secret rotation; pod restart</w:t>
            </w:r>
          </w:p>
        </w:tc>
      </w:tr>
      <w:tr>
        <w:trPr/>
        <w:tc>
          <w:tcPr>
            <w:tcW w:w="135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RC.IM-1</w:t>
            </w:r>
          </w:p>
        </w:tc>
        <w:tc>
          <w:tcPr>
            <w:tcW w:w="243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Lessons learned incorporated</w:t>
            </w:r>
          </w:p>
        </w:tc>
        <w:tc>
          <w:tcPr>
            <w:tcW w:w="5572"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Updated threat model and security requirements after incidents</w:t>
            </w:r>
          </w:p>
        </w:tc>
      </w:tr>
    </w:tbl>
    <w:p>
      <w:pPr>
        <w:pStyle w:val="Heading1"/>
        <w:spacing w:before="320" w:after="140"/>
        <w:rPr/>
      </w:pPr>
      <w:r>
        <w:br w:type="page"/>
      </w:r>
      <w:bookmarkStart w:id="21" w:name="__RefHeading___Toc9962_3694443629"/>
      <w:bookmarkEnd w:id="21"/>
      <w:r>
        <w:rPr>
          <w:rFonts w:eastAsia="Calibri" w:cs="Calibri" w:ascii="Calibri" w:hAnsi="Calibri"/>
          <w:b/>
          <w:bCs/>
          <w:color w:val="1F3864"/>
          <w:sz w:val="30"/>
          <w:szCs w:val="30"/>
        </w:rPr>
        <w:t>7. Multi-Framework Compliance Mapping</w:t>
      </w:r>
    </w:p>
    <w:p>
      <w:pPr>
        <w:pStyle w:val="Normal"/>
        <w:spacing w:lineRule="auto" w:line="276" w:before="0" w:after="120"/>
        <w:rPr/>
      </w:pPr>
      <w:r>
        <w:rPr>
          <w:rFonts w:eastAsia="Calibri" w:cs="Calibri"/>
          <w:sz w:val="21"/>
          <w:szCs w:val="21"/>
        </w:rPr>
        <w:t>Beyond NIST CSF, the platform is mapped to seven additional security frameworks. The master table below shows, for each control objective, how a single SecureVault implementation simultaneously satisfies requirements across frameworks — demonstrating defence-in-depth and compliance breadth.</w:t>
      </w:r>
    </w:p>
    <w:p>
      <w:pPr>
        <w:pStyle w:val="Heading2"/>
        <w:spacing w:before="220" w:after="100"/>
        <w:rPr/>
      </w:pPr>
      <w:bookmarkStart w:id="22" w:name="__RefHeading___Toc9964_3694443629"/>
      <w:bookmarkEnd w:id="22"/>
      <w:r>
        <w:rPr>
          <w:rFonts w:eastAsia="Calibri" w:cs="Calibri" w:ascii="Calibri" w:hAnsi="Calibri"/>
          <w:b/>
          <w:bCs/>
          <w:color w:val="2E5496"/>
          <w:sz w:val="25"/>
          <w:szCs w:val="25"/>
        </w:rPr>
        <w:t>7.1 Master Compliance Table</w:t>
      </w:r>
    </w:p>
    <w:tbl>
      <w:tblPr>
        <w:tblW w:w="9360" w:type="dxa"/>
        <w:jc w:val="start"/>
        <w:tblInd w:w="0" w:type="dxa"/>
        <w:tblLayout w:type="fixed"/>
        <w:tblCellMar>
          <w:top w:w="70" w:type="dxa"/>
          <w:start w:w="110" w:type="dxa"/>
          <w:bottom w:w="70" w:type="dxa"/>
          <w:end w:w="110" w:type="dxa"/>
        </w:tblCellMar>
      </w:tblPr>
      <w:tblGrid>
        <w:gridCol w:w="2000"/>
        <w:gridCol w:w="1100"/>
        <w:gridCol w:w="1099"/>
        <w:gridCol w:w="1151"/>
        <w:gridCol w:w="1099"/>
        <w:gridCol w:w="2911"/>
      </w:tblGrid>
      <w:tr>
        <w:trPr>
          <w:tblHeader w:val="true"/>
        </w:trPr>
        <w:tc>
          <w:tcPr>
            <w:tcW w:w="20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Control Objective</w:t>
            </w:r>
          </w:p>
        </w:tc>
        <w:tc>
          <w:tcPr>
            <w:tcW w:w="11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NIST CSF</w:t>
            </w:r>
          </w:p>
        </w:tc>
        <w:tc>
          <w:tcPr>
            <w:tcW w:w="10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OWASP ASVS</w:t>
            </w:r>
          </w:p>
        </w:tc>
        <w:tc>
          <w:tcPr>
            <w:tcW w:w="115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ISO 27034</w:t>
            </w:r>
          </w:p>
        </w:tc>
        <w:tc>
          <w:tcPr>
            <w:tcW w:w="10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CSA CCM</w:t>
            </w:r>
          </w:p>
        </w:tc>
        <w:tc>
          <w:tcPr>
            <w:tcW w:w="291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SecureVault Implementation</w:t>
            </w:r>
          </w:p>
        </w:tc>
      </w:tr>
      <w:tr>
        <w:trPr/>
        <w:tc>
          <w:tcPr>
            <w:tcW w:w="2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Identity &amp; Access</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PR.AC-1</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V2</w:t>
            </w:r>
          </w:p>
        </w:tc>
        <w:tc>
          <w:tcPr>
            <w:tcW w:w="115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A.9.4</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IAM-01</w:t>
            </w:r>
          </w:p>
        </w:tc>
        <w:tc>
          <w:tcPr>
            <w:tcW w:w="291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Keycloak OIDC + RS256 JWT + RBAC</w:t>
            </w:r>
          </w:p>
        </w:tc>
      </w:tr>
      <w:tr>
        <w:trPr/>
        <w:tc>
          <w:tcPr>
            <w:tcW w:w="2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Credential Protection</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PR.AC-3</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V2.1</w:t>
            </w:r>
          </w:p>
        </w:tc>
        <w:tc>
          <w:tcPr>
            <w:tcW w:w="115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A.9.4.3</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IAM-02</w:t>
            </w:r>
          </w:p>
        </w:tc>
        <w:tc>
          <w:tcPr>
            <w:tcW w:w="291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bcrypt cost 12; Vault keys; no hardcoded secrets</w:t>
            </w:r>
          </w:p>
        </w:tc>
      </w:tr>
      <w:tr>
        <w:trPr/>
        <w:tc>
          <w:tcPr>
            <w:tcW w:w="2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Session Management</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PR.AC-4</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V3</w:t>
            </w:r>
          </w:p>
        </w:tc>
        <w:tc>
          <w:tcPr>
            <w:tcW w:w="115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A.9.4.2</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IAM-03</w:t>
            </w:r>
          </w:p>
        </w:tc>
        <w:tc>
          <w:tcPr>
            <w:tcW w:w="291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Redis TLS sessions; short JWT TTL; logout invalidation</w:t>
            </w:r>
          </w:p>
        </w:tc>
      </w:tr>
      <w:tr>
        <w:trPr/>
        <w:tc>
          <w:tcPr>
            <w:tcW w:w="2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Encryption at Rest</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PR.DS-1</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V6</w:t>
            </w:r>
          </w:p>
        </w:tc>
        <w:tc>
          <w:tcPr>
            <w:tcW w:w="115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A.10.1.1</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EKM-01</w:t>
            </w:r>
          </w:p>
        </w:tc>
        <w:tc>
          <w:tcPr>
            <w:tcW w:w="291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AES-256; Vault key management; rotation</w:t>
            </w:r>
          </w:p>
        </w:tc>
      </w:tr>
      <w:tr>
        <w:trPr/>
        <w:tc>
          <w:tcPr>
            <w:tcW w:w="2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Encryption in Transit</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PR.DS-2</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V9</w:t>
            </w:r>
          </w:p>
        </w:tc>
        <w:tc>
          <w:tcPr>
            <w:tcW w:w="115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A.10.1.1</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IVS-09</w:t>
            </w:r>
          </w:p>
        </w:tc>
        <w:tc>
          <w:tcPr>
            <w:tcW w:w="291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TLS 1.3; mTLS between services</w:t>
            </w:r>
          </w:p>
        </w:tc>
      </w:tr>
      <w:tr>
        <w:trPr/>
        <w:tc>
          <w:tcPr>
            <w:tcW w:w="2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Input Validation</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PR.IP-1</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V5</w:t>
            </w:r>
          </w:p>
        </w:tc>
        <w:tc>
          <w:tcPr>
            <w:tcW w:w="115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A.14.2.5</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AIS-01</w:t>
            </w:r>
          </w:p>
        </w:tc>
        <w:tc>
          <w:tcPr>
            <w:tcW w:w="291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Forbidden chars; parameterised queries; length limits</w:t>
            </w:r>
          </w:p>
        </w:tc>
      </w:tr>
      <w:tr>
        <w:trPr/>
        <w:tc>
          <w:tcPr>
            <w:tcW w:w="2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Audit Logging</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DE.CM-1</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V7</w:t>
            </w:r>
          </w:p>
        </w:tc>
        <w:tc>
          <w:tcPr>
            <w:tcW w:w="115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A.12.4.1</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LOG-01</w:t>
            </w:r>
          </w:p>
        </w:tc>
        <w:tc>
          <w:tcPr>
            <w:tcW w:w="291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Auth + transaction events; CEF to SIEM</w:t>
            </w:r>
          </w:p>
        </w:tc>
      </w:tr>
      <w:tr>
        <w:trPr/>
        <w:tc>
          <w:tcPr>
            <w:tcW w:w="2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Threat Detection</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DE.CM-7</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V1</w:t>
            </w:r>
          </w:p>
        </w:tc>
        <w:tc>
          <w:tcPr>
            <w:tcW w:w="115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A.12.6.1</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TVM-01</w:t>
            </w:r>
          </w:p>
        </w:tc>
        <w:tc>
          <w:tcPr>
            <w:tcW w:w="291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Falco; ML anomaly model; SIEM correlation</w:t>
            </w:r>
          </w:p>
        </w:tc>
      </w:tr>
      <w:tr>
        <w:trPr/>
        <w:tc>
          <w:tcPr>
            <w:tcW w:w="2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Incident Response</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RS.RP-1</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V7</w:t>
            </w:r>
          </w:p>
        </w:tc>
        <w:tc>
          <w:tcPr>
            <w:tcW w:w="115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A.16.1.5</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SEF-04</w:t>
            </w:r>
          </w:p>
        </w:tc>
        <w:tc>
          <w:tcPr>
            <w:tcW w:w="291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Blue-team runbook; SIEM offenses; pod isolation</w:t>
            </w:r>
          </w:p>
        </w:tc>
      </w:tr>
      <w:tr>
        <w:trPr/>
        <w:tc>
          <w:tcPr>
            <w:tcW w:w="2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Vulnerability Mgmt</w:t>
            </w:r>
          </w:p>
        </w:tc>
        <w:tc>
          <w:tcPr>
            <w:tcW w:w="1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ID.RA-1</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V14</w:t>
            </w:r>
          </w:p>
        </w:tc>
        <w:tc>
          <w:tcPr>
            <w:tcW w:w="115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A.12.6.1</w:t>
            </w:r>
          </w:p>
        </w:tc>
        <w:tc>
          <w:tcPr>
            <w:tcW w:w="10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TVM-02</w:t>
            </w:r>
          </w:p>
        </w:tc>
        <w:tc>
          <w:tcPr>
            <w:tcW w:w="291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Trivy; SonarCloud; CodeQL; ZAP in CI/CD</w:t>
            </w:r>
          </w:p>
        </w:tc>
      </w:tr>
      <w:tr>
        <w:trPr/>
        <w:tc>
          <w:tcPr>
            <w:tcW w:w="2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Secrets Management</w:t>
            </w:r>
          </w:p>
        </w:tc>
        <w:tc>
          <w:tcPr>
            <w:tcW w:w="1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PR.DS-1</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V14.3</w:t>
            </w:r>
          </w:p>
        </w:tc>
        <w:tc>
          <w:tcPr>
            <w:tcW w:w="115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A.9.4.3</w:t>
            </w:r>
          </w:p>
        </w:tc>
        <w:tc>
          <w:tcPr>
            <w:tcW w:w="10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EKM-03</w:t>
            </w:r>
          </w:p>
        </w:tc>
        <w:tc>
          <w:tcPr>
            <w:tcW w:w="291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Vault dynamic secrets; no env-var secrets</w:t>
            </w:r>
          </w:p>
        </w:tc>
      </w:tr>
    </w:tbl>
    <w:p>
      <w:pPr>
        <w:pStyle w:val="Normal"/>
        <w:spacing w:before="0" w:after="120"/>
        <w:rPr/>
      </w:pPr>
      <w:r>
        <w:rPr/>
      </w:r>
    </w:p>
    <w:p>
      <w:pPr>
        <w:pStyle w:val="Heading2"/>
        <w:spacing w:before="220" w:after="100"/>
        <w:rPr/>
      </w:pPr>
      <w:bookmarkStart w:id="23" w:name="__RefHeading___Toc9966_3694443629"/>
      <w:bookmarkEnd w:id="23"/>
      <w:r>
        <w:rPr>
          <w:rFonts w:eastAsia="Calibri" w:cs="Calibri" w:ascii="Calibri" w:hAnsi="Calibri"/>
          <w:b/>
          <w:bCs/>
          <w:color w:val="2E5496"/>
          <w:sz w:val="25"/>
          <w:szCs w:val="25"/>
        </w:rPr>
        <w:t>7.2 OWASP ASVS v5.0 Verification</w:t>
      </w:r>
    </w:p>
    <w:tbl>
      <w:tblPr>
        <w:tblW w:w="9360" w:type="dxa"/>
        <w:jc w:val="start"/>
        <w:tblInd w:w="0" w:type="dxa"/>
        <w:tblLayout w:type="fixed"/>
        <w:tblCellMar>
          <w:top w:w="70" w:type="dxa"/>
          <w:start w:w="110" w:type="dxa"/>
          <w:bottom w:w="70" w:type="dxa"/>
          <w:end w:w="110" w:type="dxa"/>
        </w:tblCellMar>
      </w:tblPr>
      <w:tblGrid>
        <w:gridCol w:w="2049"/>
        <w:gridCol w:w="2801"/>
        <w:gridCol w:w="3310"/>
        <w:gridCol w:w="1200"/>
      </w:tblGrid>
      <w:tr>
        <w:trPr>
          <w:tblHeader w:val="true"/>
        </w:trPr>
        <w:tc>
          <w:tcPr>
            <w:tcW w:w="204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ASVS Category</w:t>
            </w:r>
          </w:p>
        </w:tc>
        <w:tc>
          <w:tcPr>
            <w:tcW w:w="280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Requirement</w:t>
            </w:r>
          </w:p>
        </w:tc>
        <w:tc>
          <w:tcPr>
            <w:tcW w:w="331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Implementation</w:t>
            </w:r>
          </w:p>
        </w:tc>
        <w:tc>
          <w:tcPr>
            <w:tcW w:w="12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Priority</w:t>
            </w:r>
          </w:p>
        </w:tc>
      </w:tr>
      <w:tr>
        <w:trPr/>
        <w:tc>
          <w:tcPr>
            <w:tcW w:w="204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V2 Authentication</w:t>
            </w:r>
          </w:p>
        </w:tc>
        <w:tc>
          <w:tcPr>
            <w:tcW w:w="28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MFA, OIDC, brute-force protection</w:t>
            </w:r>
          </w:p>
        </w:tc>
        <w:tc>
          <w:tcPr>
            <w:tcW w:w="331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Keycloak OIDC + Redis rate limiting</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CRITICAL</w:t>
            </w:r>
          </w:p>
        </w:tc>
      </w:tr>
      <w:tr>
        <w:trPr/>
        <w:tc>
          <w:tcPr>
            <w:tcW w:w="204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V3 Session Mgmt</w:t>
            </w:r>
          </w:p>
        </w:tc>
        <w:tc>
          <w:tcPr>
            <w:tcW w:w="28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Secure tokens, TTL enforcement</w:t>
            </w:r>
          </w:p>
        </w:tc>
        <w:tc>
          <w:tcPr>
            <w:tcW w:w="331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Redis TLS sessions + short JWT TTL + invalidation</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55A11"/>
                <w:sz w:val="18"/>
                <w:szCs w:val="18"/>
              </w:rPr>
              <w:t>HIGH</w:t>
            </w:r>
          </w:p>
        </w:tc>
      </w:tr>
      <w:tr>
        <w:trPr/>
        <w:tc>
          <w:tcPr>
            <w:tcW w:w="204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V4 Access Control</w:t>
            </w:r>
          </w:p>
        </w:tc>
        <w:tc>
          <w:tcPr>
            <w:tcW w:w="28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RBAC/ABAC, least privilege</w:t>
            </w:r>
          </w:p>
        </w:tc>
        <w:tc>
          <w:tcPr>
            <w:tcW w:w="331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Customer/admin RBAC; ABAC ownership checks</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55A11"/>
                <w:sz w:val="18"/>
                <w:szCs w:val="18"/>
              </w:rPr>
              <w:t>HIGH</w:t>
            </w:r>
          </w:p>
        </w:tc>
      </w:tr>
      <w:tr>
        <w:trPr/>
        <w:tc>
          <w:tcPr>
            <w:tcW w:w="204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V5 Input Validation</w:t>
            </w:r>
          </w:p>
        </w:tc>
        <w:tc>
          <w:tcPr>
            <w:tcW w:w="28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Reject malicious input</w:t>
            </w:r>
          </w:p>
        </w:tc>
        <w:tc>
          <w:tcPr>
            <w:tcW w:w="331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Forbidden-char checks + parameterised queries</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00000"/>
                <w:sz w:val="18"/>
                <w:szCs w:val="18"/>
              </w:rPr>
              <w:t>CRITICAL</w:t>
            </w:r>
          </w:p>
        </w:tc>
      </w:tr>
      <w:tr>
        <w:trPr/>
        <w:tc>
          <w:tcPr>
            <w:tcW w:w="204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V6 Cryptography</w:t>
            </w:r>
          </w:p>
        </w:tc>
        <w:tc>
          <w:tcPr>
            <w:tcW w:w="28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AES-256 at rest, TLS 1.3 in transit</w:t>
            </w:r>
          </w:p>
        </w:tc>
        <w:tc>
          <w:tcPr>
            <w:tcW w:w="331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Vault-managed keys; TLS 1.3 enforced</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CRITICAL</w:t>
            </w:r>
          </w:p>
        </w:tc>
      </w:tr>
      <w:tr>
        <w:trPr/>
        <w:tc>
          <w:tcPr>
            <w:tcW w:w="204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V9 Communications</w:t>
            </w:r>
          </w:p>
        </w:tc>
        <w:tc>
          <w:tcPr>
            <w:tcW w:w="28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TLS everywhere, mTLS</w:t>
            </w:r>
          </w:p>
        </w:tc>
        <w:tc>
          <w:tcPr>
            <w:tcW w:w="331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Mutual TLS for inter-service calls</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00000"/>
                <w:sz w:val="18"/>
                <w:szCs w:val="18"/>
              </w:rPr>
              <w:t>CRITICAL</w:t>
            </w:r>
          </w:p>
        </w:tc>
      </w:tr>
      <w:tr>
        <w:trPr/>
        <w:tc>
          <w:tcPr>
            <w:tcW w:w="204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V13 API Security</w:t>
            </w:r>
          </w:p>
        </w:tc>
        <w:tc>
          <w:tcPr>
            <w:tcW w:w="28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Validation, rate limiting, CORS</w:t>
            </w:r>
          </w:p>
        </w:tc>
        <w:tc>
          <w:tcPr>
            <w:tcW w:w="331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Gateway + FastAPI validators + CORS policy</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55A11"/>
                <w:sz w:val="18"/>
                <w:szCs w:val="18"/>
              </w:rPr>
              <w:t>HIGH</w:t>
            </w:r>
          </w:p>
        </w:tc>
      </w:tr>
      <w:tr>
        <w:trPr/>
        <w:tc>
          <w:tcPr>
            <w:tcW w:w="204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V14 Config Security</w:t>
            </w:r>
          </w:p>
        </w:tc>
        <w:tc>
          <w:tcPr>
            <w:tcW w:w="28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Secrets mgmt, secure defaults</w:t>
            </w:r>
          </w:p>
        </w:tc>
        <w:tc>
          <w:tcPr>
            <w:tcW w:w="331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Vault dynamic secret injection</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55A11"/>
                <w:sz w:val="18"/>
                <w:szCs w:val="18"/>
              </w:rPr>
              <w:t>HIGH</w:t>
            </w:r>
          </w:p>
        </w:tc>
      </w:tr>
    </w:tbl>
    <w:p>
      <w:pPr>
        <w:pStyle w:val="Normal"/>
        <w:spacing w:before="0" w:after="120"/>
        <w:rPr/>
      </w:pPr>
      <w:r>
        <w:rPr/>
      </w:r>
    </w:p>
    <w:p>
      <w:pPr>
        <w:pStyle w:val="Heading2"/>
        <w:spacing w:before="220" w:after="100"/>
        <w:rPr/>
      </w:pPr>
      <w:bookmarkStart w:id="24" w:name="__RefHeading___Toc9968_3694443629"/>
      <w:bookmarkEnd w:id="24"/>
      <w:r>
        <w:rPr>
          <w:rFonts w:eastAsia="Calibri" w:cs="Calibri" w:ascii="Calibri" w:hAnsi="Calibri"/>
          <w:b/>
          <w:bCs/>
          <w:color w:val="2E5496"/>
          <w:sz w:val="25"/>
          <w:szCs w:val="25"/>
        </w:rPr>
        <w:t>7.3 ISO/IEC 27034 &amp; CSA CCM (Summary)</w:t>
      </w:r>
    </w:p>
    <w:p>
      <w:pPr>
        <w:pStyle w:val="Normal"/>
        <w:spacing w:lineRule="auto" w:line="276" w:before="0" w:after="120"/>
        <w:rPr/>
      </w:pPr>
      <w:r>
        <w:rPr>
          <w:rFonts w:eastAsia="Calibri" w:cs="Calibri"/>
          <w:sz w:val="21"/>
          <w:szCs w:val="21"/>
        </w:rPr>
        <w:t>ISO/IEC 27034 application-security controls are satisfied across Access Control (A.9), Cryptography (A.10), Operations Security (A.12), Network Security (A.13), Secure Acquisition/SDLC (A.14), Incident Management (A.16), and Business Continuity (A.17). The CSA Cloud Controls Matrix is addressed across the IAM, EKM, IVS, AIS, TVM, LOG, SEF, and DSI domains. Full control-by-control evidence is provided in the Multi-Framework Compliance document.</w:t>
      </w:r>
    </w:p>
    <w:p>
      <w:pPr>
        <w:pStyle w:val="Heading2"/>
        <w:spacing w:before="220" w:after="100"/>
        <w:rPr/>
      </w:pPr>
      <w:bookmarkStart w:id="25" w:name="__RefHeading___Toc9970_3694443629"/>
      <w:bookmarkEnd w:id="25"/>
      <w:r>
        <w:rPr>
          <w:rFonts w:eastAsia="Calibri" w:cs="Calibri" w:ascii="Calibri" w:hAnsi="Calibri"/>
          <w:b/>
          <w:bCs/>
          <w:color w:val="2E5496"/>
          <w:sz w:val="25"/>
          <w:szCs w:val="25"/>
        </w:rPr>
        <w:t>7.4 CIS Docker &amp; Kubernetes Benchmarks</w:t>
      </w:r>
    </w:p>
    <w:tbl>
      <w:tblPr>
        <w:tblW w:w="9360" w:type="dxa"/>
        <w:jc w:val="start"/>
        <w:tblInd w:w="0" w:type="dxa"/>
        <w:tblLayout w:type="fixed"/>
        <w:tblCellMar>
          <w:top w:w="70" w:type="dxa"/>
          <w:start w:w="110" w:type="dxa"/>
          <w:bottom w:w="70" w:type="dxa"/>
          <w:end w:w="110" w:type="dxa"/>
        </w:tblCellMar>
      </w:tblPr>
      <w:tblGrid>
        <w:gridCol w:w="1900"/>
        <w:gridCol w:w="4959"/>
        <w:gridCol w:w="2501"/>
      </w:tblGrid>
      <w:tr>
        <w:trPr>
          <w:tblHeader w:val="true"/>
        </w:trPr>
        <w:tc>
          <w:tcPr>
            <w:tcW w:w="19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CIS Control</w:t>
            </w:r>
          </w:p>
        </w:tc>
        <w:tc>
          <w:tcPr>
            <w:tcW w:w="495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Benchmark</w:t>
            </w:r>
          </w:p>
        </w:tc>
        <w:tc>
          <w:tcPr>
            <w:tcW w:w="250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Status</w:t>
            </w:r>
          </w:p>
        </w:tc>
      </w:tr>
      <w:tr>
        <w:trPr/>
        <w:tc>
          <w:tcPr>
            <w:tcW w:w="1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5.1.1</w:t>
            </w:r>
          </w:p>
        </w:tc>
        <w:tc>
          <w:tcPr>
            <w:tcW w:w="49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Image scanning in CI/CD before push</w:t>
            </w:r>
          </w:p>
        </w:tc>
        <w:tc>
          <w:tcPr>
            <w:tcW w:w="25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38135"/>
                <w:sz w:val="18"/>
                <w:szCs w:val="18"/>
              </w:rPr>
              <w:t>PASS — Trivy integrated</w:t>
            </w:r>
          </w:p>
        </w:tc>
      </w:tr>
      <w:tr>
        <w:trPr/>
        <w:tc>
          <w:tcPr>
            <w:tcW w:w="1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5.2.1 / 5.2.2</w:t>
            </w:r>
          </w:p>
        </w:tc>
        <w:tc>
          <w:tcPr>
            <w:tcW w:w="49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No root / no privileged containers</w:t>
            </w:r>
          </w:p>
        </w:tc>
        <w:tc>
          <w:tcPr>
            <w:tcW w:w="25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38135"/>
                <w:sz w:val="18"/>
                <w:szCs w:val="18"/>
              </w:rPr>
              <w:t>PASS — policy-enforced</w:t>
            </w:r>
          </w:p>
        </w:tc>
      </w:tr>
      <w:tr>
        <w:trPr/>
        <w:tc>
          <w:tcPr>
            <w:tcW w:w="1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5.2.6</w:t>
            </w:r>
          </w:p>
        </w:tc>
        <w:tc>
          <w:tcPr>
            <w:tcW w:w="49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Containers must not run as root</w:t>
            </w:r>
          </w:p>
        </w:tc>
        <w:tc>
          <w:tcPr>
            <w:tcW w:w="25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38135"/>
                <w:sz w:val="18"/>
                <w:szCs w:val="18"/>
              </w:rPr>
              <w:t>PASS — runAsNonRoot: true</w:t>
            </w:r>
          </w:p>
        </w:tc>
      </w:tr>
      <w:tr>
        <w:trPr/>
        <w:tc>
          <w:tcPr>
            <w:tcW w:w="1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5.3.1</w:t>
            </w:r>
          </w:p>
        </w:tc>
        <w:tc>
          <w:tcPr>
            <w:tcW w:w="49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Network policies for all namespaces</w:t>
            </w:r>
          </w:p>
        </w:tc>
        <w:tc>
          <w:tcPr>
            <w:tcW w:w="25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38135"/>
                <w:sz w:val="18"/>
                <w:szCs w:val="18"/>
              </w:rPr>
              <w:t>PASS — namespaces covered</w:t>
            </w:r>
          </w:p>
        </w:tc>
      </w:tr>
      <w:tr>
        <w:trPr/>
        <w:tc>
          <w:tcPr>
            <w:tcW w:w="1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5.4.1</w:t>
            </w:r>
          </w:p>
        </w:tc>
        <w:tc>
          <w:tcPr>
            <w:tcW w:w="49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Prefer secrets over environment variables</w:t>
            </w:r>
          </w:p>
        </w:tc>
        <w:tc>
          <w:tcPr>
            <w:tcW w:w="25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38135"/>
                <w:sz w:val="18"/>
                <w:szCs w:val="18"/>
              </w:rPr>
              <w:t>PASS — Vault injection</w:t>
            </w:r>
          </w:p>
        </w:tc>
      </w:tr>
      <w:tr>
        <w:trPr/>
        <w:tc>
          <w:tcPr>
            <w:tcW w:w="1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5.7.1</w:t>
            </w:r>
          </w:p>
        </w:tc>
        <w:tc>
          <w:tcPr>
            <w:tcW w:w="49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Namespace Pod Security Standards</w:t>
            </w:r>
          </w:p>
        </w:tc>
        <w:tc>
          <w:tcPr>
            <w:tcW w:w="25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38135"/>
                <w:sz w:val="18"/>
                <w:szCs w:val="18"/>
              </w:rPr>
              <w:t>PASS — restricted profile</w:t>
            </w:r>
          </w:p>
        </w:tc>
      </w:tr>
    </w:tbl>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5" behindDoc="0" locked="0" layoutInCell="0" allowOverlap="1">
            <wp:simplePos x="0" y="0"/>
            <wp:positionH relativeFrom="column">
              <wp:posOffset>0</wp:posOffset>
            </wp:positionH>
            <wp:positionV relativeFrom="paragraph">
              <wp:posOffset>254000</wp:posOffset>
            </wp:positionV>
            <wp:extent cx="5943600" cy="310261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bwMode="auto">
                    <a:xfrm>
                      <a:off x="0" y="0"/>
                      <a:ext cx="5943600" cy="3102610"/>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5. Compliance evidence — SonarCloud quality gate / CIS benchmark (kube-bench or Trivy) results</w:t>
      </w:r>
    </w:p>
    <w:p>
      <w:pPr>
        <w:pStyle w:val="Normal"/>
        <w:spacing w:before="60" w:after="200"/>
        <w:jc w:val="start"/>
        <w:rPr>
          <w:rFonts w:ascii="Calibri" w:hAnsi="Calibri" w:eastAsia="Calibri" w:cs="Calibri"/>
          <w:b/>
          <w:bCs/>
          <w:color w:val="1F3864"/>
          <w:sz w:val="30"/>
          <w:szCs w:val="30"/>
        </w:rPr>
      </w:pPr>
      <w:r>
        <w:rPr>
          <w:rFonts w:eastAsia="Calibri" w:cs="Calibri"/>
          <w:b/>
          <w:bCs/>
          <w:color w:val="1F3864"/>
          <w:sz w:val="30"/>
          <w:szCs w:val="30"/>
        </w:rPr>
        <w:t>8. Security Testing &amp; Assurance Results</w:t>
      </w:r>
    </w:p>
    <w:p>
      <w:pPr>
        <w:pStyle w:val="Normal"/>
        <w:spacing w:lineRule="auto" w:line="276" w:before="0" w:after="120"/>
        <w:rPr/>
      </w:pPr>
      <w:r>
        <w:rPr>
          <w:rFonts w:eastAsia="Calibri" w:cs="Calibri"/>
          <w:sz w:val="21"/>
          <w:szCs w:val="21"/>
        </w:rPr>
        <w:t>Security was verified through complementary techniques across the SSDLC: static analysis of source, dynamic analysis of the running system, container image scanning, manual API penetration testing, a memory-safety demonstration, and machine-learning anomaly detection. The summary below is expanded per technique in the sections that follow.</w:t>
      </w:r>
    </w:p>
    <w:p>
      <w:pPr>
        <w:pStyle w:val="Heading2"/>
        <w:spacing w:before="220" w:after="100"/>
        <w:rPr/>
      </w:pPr>
      <w:bookmarkStart w:id="26" w:name="__RefHeading___Toc9974_3694443629"/>
      <w:bookmarkEnd w:id="26"/>
      <w:r>
        <w:rPr>
          <w:rFonts w:eastAsia="Calibri" w:cs="Calibri" w:ascii="Calibri" w:hAnsi="Calibri"/>
          <w:b/>
          <w:bCs/>
          <w:color w:val="2E5496"/>
          <w:sz w:val="25"/>
          <w:szCs w:val="25"/>
        </w:rPr>
        <w:t>8.1 Testing Summary</w:t>
      </w:r>
    </w:p>
    <w:tbl>
      <w:tblPr>
        <w:tblW w:w="9980" w:type="dxa"/>
        <w:jc w:val="start"/>
        <w:tblInd w:w="0" w:type="dxa"/>
        <w:tblLayout w:type="fixed"/>
        <w:tblCellMar>
          <w:top w:w="70" w:type="dxa"/>
          <w:start w:w="110" w:type="dxa"/>
          <w:bottom w:w="70" w:type="dxa"/>
          <w:end w:w="110" w:type="dxa"/>
        </w:tblCellMar>
      </w:tblPr>
      <w:tblGrid>
        <w:gridCol w:w="2156"/>
        <w:gridCol w:w="2157"/>
        <w:gridCol w:w="993"/>
        <w:gridCol w:w="4674"/>
      </w:tblGrid>
      <w:tr>
        <w:trPr>
          <w:tblHeader w:val="true"/>
        </w:trPr>
        <w:tc>
          <w:tcPr>
            <w:tcW w:w="2156"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Activity</w:t>
            </w:r>
          </w:p>
        </w:tc>
        <w:tc>
          <w:tcPr>
            <w:tcW w:w="2157"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Tool</w:t>
            </w:r>
          </w:p>
        </w:tc>
        <w:tc>
          <w:tcPr>
            <w:tcW w:w="993"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Status</w:t>
            </w:r>
          </w:p>
        </w:tc>
        <w:tc>
          <w:tcPr>
            <w:tcW w:w="4674"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Key Finding</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SAST — application code</w:t>
            </w:r>
          </w:p>
        </w:tc>
        <w:tc>
          <w:tcPr>
            <w:tcW w:w="215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Bandit v1.9.4</w:t>
            </w:r>
          </w:p>
        </w:tc>
        <w:tc>
          <w:tcPr>
            <w:tcW w:w="99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0 issues across 261 LOC</w:t>
            </w:r>
          </w:p>
        </w:tc>
      </w:tr>
      <w:tr>
        <w:trPr/>
        <w:tc>
          <w:tcPr>
            <w:tcW w:w="215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SAST — full codebase</w:t>
            </w:r>
          </w:p>
        </w:tc>
        <w:tc>
          <w:tcPr>
            <w:tcW w:w="215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SonarCloud</w:t>
            </w:r>
          </w:p>
        </w:tc>
        <w:tc>
          <w:tcPr>
            <w:tcW w:w="993"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Security A; 2 reliability bugs in memory_safe.c demo</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CI/CD SAST gate</w:t>
            </w:r>
          </w:p>
        </w:tc>
        <w:tc>
          <w:tcPr>
            <w:tcW w:w="215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CodeQL (GitHub Actions)</w:t>
            </w:r>
          </w:p>
        </w:tc>
        <w:tc>
          <w:tcPr>
            <w:tcW w:w="99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Pipeline passing; Python code clean</w:t>
            </w:r>
          </w:p>
        </w:tc>
      </w:tr>
      <w:tr>
        <w:trPr/>
        <w:tc>
          <w:tcPr>
            <w:tcW w:w="215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DAST — live APIs</w:t>
            </w:r>
          </w:p>
        </w:tc>
        <w:tc>
          <w:tcPr>
            <w:tcW w:w="215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OWASP ZAP v2.17.0</w:t>
            </w:r>
          </w:p>
        </w:tc>
        <w:tc>
          <w:tcPr>
            <w:tcW w:w="993"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0 High; 4 Medium / 4 Low header findings</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Container scanning</w:t>
            </w:r>
          </w:p>
        </w:tc>
        <w:tc>
          <w:tcPr>
            <w:tcW w:w="215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Trivy</w:t>
            </w:r>
          </w:p>
        </w:tc>
        <w:tc>
          <w:tcPr>
            <w:tcW w:w="99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App code clean; base-image OS CVEs + embedded key</w:t>
            </w:r>
          </w:p>
        </w:tc>
      </w:tr>
      <w:tr>
        <w:trPr/>
        <w:tc>
          <w:tcPr>
            <w:tcW w:w="215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API pentest</w:t>
            </w:r>
          </w:p>
        </w:tc>
        <w:tc>
          <w:tcPr>
            <w:tcW w:w="215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Postman</w:t>
            </w:r>
          </w:p>
        </w:tc>
        <w:tc>
          <w:tcPr>
            <w:tcW w:w="993"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Controls verified; PT-05 rate-limit gap (HIGH)</w:t>
            </w:r>
          </w:p>
        </w:tc>
      </w:tr>
      <w:tr>
        <w:trPr/>
        <w:tc>
          <w:tcPr>
            <w:tcW w:w="215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Anomaly detection</w:t>
            </w:r>
          </w:p>
        </w:tc>
        <w:tc>
          <w:tcPr>
            <w:tcW w:w="215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scikit-learn Isolation Forest</w:t>
            </w:r>
          </w:p>
        </w:tc>
        <w:tc>
          <w:tcPr>
            <w:tcW w:w="993"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Complete</w:t>
            </w:r>
          </w:p>
        </w:tc>
        <w:tc>
          <w:tcPr>
            <w:tcW w:w="467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3/3 attack scenarios detected</w:t>
            </w:r>
          </w:p>
        </w:tc>
      </w:tr>
    </w:tbl>
    <w:p>
      <w:pPr>
        <w:pStyle w:val="Heading2"/>
        <w:spacing w:before="220" w:after="100"/>
        <w:rPr/>
      </w:pPr>
      <w:bookmarkStart w:id="27" w:name="__RefHeading___Toc9976_3694443629"/>
      <w:bookmarkEnd w:id="27"/>
      <w:r>
        <w:rPr>
          <w:rFonts w:eastAsia="Calibri" w:cs="Calibri" w:ascii="Calibri" w:hAnsi="Calibri"/>
          <w:b/>
          <w:bCs/>
          <w:color w:val="2E5496"/>
          <w:sz w:val="25"/>
          <w:szCs w:val="25"/>
        </w:rPr>
        <w:t>8.2 Static Analysis (SAST)</w:t>
      </w:r>
    </w:p>
    <w:p>
      <w:pPr>
        <w:pStyle w:val="Normal"/>
        <w:spacing w:lineRule="auto" w:line="276" w:before="0" w:after="120"/>
        <w:rPr/>
      </w:pPr>
      <w:r>
        <w:rPr>
          <w:rFonts w:eastAsia="Calibri" w:cs="Calibri"/>
          <w:sz w:val="21"/>
          <w:szCs w:val="21"/>
        </w:rPr>
        <w:t>Bandit analysed the Python application files (auth, user, transaction services and shared modules) and reported zero issues across 261 lines of code at all severities — confirming correct use of bcrypt, RS256 JWT, and parameterised queries. SonarCloud awarded the project Security grade A with no open security issues; its only Reliability findings (grade E, two bugs) are isolated to memory_safe.c, the C file intentionally written to demonstrate memory vulnerabilities. CodeQL runs as a CI/CD quality gate on every push and pull request and passes on the Python codebase.</w:t>
      </w:r>
    </w:p>
    <w:tbl>
      <w:tblPr>
        <w:tblW w:w="9980" w:type="dxa"/>
        <w:jc w:val="start"/>
        <w:tblInd w:w="0" w:type="dxa"/>
        <w:tblLayout w:type="fixed"/>
        <w:tblCellMar>
          <w:top w:w="70" w:type="dxa"/>
          <w:start w:w="110" w:type="dxa"/>
          <w:bottom w:w="70" w:type="dxa"/>
          <w:end w:w="110" w:type="dxa"/>
        </w:tblCellMar>
      </w:tblPr>
      <w:tblGrid>
        <w:gridCol w:w="2100"/>
        <w:gridCol w:w="3359"/>
        <w:gridCol w:w="4521"/>
      </w:tblGrid>
      <w:tr>
        <w:trPr>
          <w:tblHeader w:val="true"/>
        </w:trPr>
        <w:tc>
          <w:tcPr>
            <w:tcW w:w="21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Tool</w:t>
            </w:r>
          </w:p>
        </w:tc>
        <w:tc>
          <w:tcPr>
            <w:tcW w:w="335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Scope</w:t>
            </w:r>
          </w:p>
        </w:tc>
        <w:tc>
          <w:tcPr>
            <w:tcW w:w="452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Result</w:t>
            </w:r>
          </w:p>
        </w:tc>
      </w:tr>
      <w:tr>
        <w:trPr/>
        <w:tc>
          <w:tcPr>
            <w:tcW w:w="2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Bandit v1.9.4</w:t>
            </w:r>
          </w:p>
        </w:tc>
        <w:tc>
          <w:tcPr>
            <w:tcW w:w="33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Python application code (261 LOC)</w:t>
            </w:r>
          </w:p>
        </w:tc>
        <w:tc>
          <w:tcPr>
            <w:tcW w:w="452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0 High / 0 Medium / 0 Low — CLEAN</w:t>
            </w:r>
          </w:p>
        </w:tc>
      </w:tr>
      <w:tr>
        <w:trPr/>
        <w:tc>
          <w:tcPr>
            <w:tcW w:w="2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SonarCloud</w:t>
            </w:r>
          </w:p>
        </w:tc>
        <w:tc>
          <w:tcPr>
            <w:tcW w:w="335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Full repository</w:t>
            </w:r>
          </w:p>
        </w:tc>
        <w:tc>
          <w:tcPr>
            <w:tcW w:w="452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Security A; Reliability E (2 bugs, demo C file only); Maintainability A</w:t>
            </w:r>
          </w:p>
        </w:tc>
      </w:tr>
      <w:tr>
        <w:trPr/>
        <w:tc>
          <w:tcPr>
            <w:tcW w:w="2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CodeQL v3</w:t>
            </w:r>
          </w:p>
        </w:tc>
        <w:tc>
          <w:tcPr>
            <w:tcW w:w="335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Python (security-and-quality)</w:t>
            </w:r>
          </w:p>
        </w:tc>
        <w:tc>
          <w:tcPr>
            <w:tcW w:w="452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PASSING quality gate; no critical findings</w:t>
            </w:r>
          </w:p>
        </w:tc>
      </w:tr>
    </w:tbl>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45186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bwMode="auto">
                    <a:xfrm>
                      <a:off x="0" y="0"/>
                      <a:ext cx="5943600" cy="3451860"/>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6. SAST evidence — Bandit clean output and SonarCloud A-grade dashboard</w:t>
      </w:r>
    </w:p>
    <w:p>
      <w:pPr>
        <w:pStyle w:val="Heading2"/>
        <w:spacing w:before="220" w:after="100"/>
        <w:rPr/>
      </w:pPr>
      <w:bookmarkStart w:id="28" w:name="__RefHeading___Toc9978_3694443629"/>
      <w:bookmarkEnd w:id="28"/>
      <w:r>
        <w:rPr>
          <w:rFonts w:eastAsia="Calibri" w:cs="Calibri" w:ascii="Calibri" w:hAnsi="Calibri"/>
          <w:b/>
          <w:bCs/>
          <w:color w:val="2E5496"/>
          <w:sz w:val="25"/>
          <w:szCs w:val="25"/>
        </w:rPr>
        <w:t>8.3 Dynamic Analysis (DAST) — OWASP ZAP</w:t>
      </w:r>
    </w:p>
    <w:p>
      <w:pPr>
        <w:pStyle w:val="Normal"/>
        <w:spacing w:lineRule="auto" w:line="276" w:before="0" w:after="120"/>
        <w:rPr/>
      </w:pPr>
      <w:r>
        <w:rPr>
          <w:rFonts w:eastAsia="Calibri" w:cs="Calibri"/>
          <w:sz w:val="21"/>
          <w:szCs w:val="21"/>
        </w:rPr>
        <w:t>OWASP ZAP v2.17.0 performed an automated active scan and spider against the three live services. It found no High-risk vulnerabilities. Critically, ZAP did not detect SQL injection, authentication bypass, or sensitive-data exposure — corroborating the SAST and pentest results that application-level controls are effective. The Medium and Low findings are missing HTTP security headers and external-resource hygiene on the auto-generated Swagger /docs pages — issues normally remediated at the gateway/ingress layer rather than in application code.</w:t>
      </w:r>
    </w:p>
    <w:tbl>
      <w:tblPr>
        <w:tblW w:w="9360" w:type="dxa"/>
        <w:jc w:val="start"/>
        <w:tblInd w:w="0" w:type="dxa"/>
        <w:tblLayout w:type="fixed"/>
        <w:tblCellMar>
          <w:top w:w="70" w:type="dxa"/>
          <w:start w:w="110" w:type="dxa"/>
          <w:bottom w:w="70" w:type="dxa"/>
          <w:end w:w="110" w:type="dxa"/>
        </w:tblCellMar>
      </w:tblPr>
      <w:tblGrid>
        <w:gridCol w:w="3399"/>
        <w:gridCol w:w="914"/>
        <w:gridCol w:w="731"/>
        <w:gridCol w:w="4316"/>
      </w:tblGrid>
      <w:tr>
        <w:trPr>
          <w:tblHeader w:val="true"/>
        </w:trPr>
        <w:tc>
          <w:tcPr>
            <w:tcW w:w="33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Alert</w:t>
            </w:r>
          </w:p>
        </w:tc>
        <w:tc>
          <w:tcPr>
            <w:tcW w:w="914"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Risk</w:t>
            </w:r>
          </w:p>
        </w:tc>
        <w:tc>
          <w:tcPr>
            <w:tcW w:w="73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CWE</w:t>
            </w:r>
          </w:p>
        </w:tc>
        <w:tc>
          <w:tcPr>
            <w:tcW w:w="4316"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Remediation</w:t>
            </w:r>
          </w:p>
        </w:tc>
      </w:tr>
      <w:tr>
        <w:trPr/>
        <w:tc>
          <w:tcPr>
            <w:tcW w:w="33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Content Security Policy (CSP) header not set</w:t>
            </w:r>
          </w:p>
        </w:tc>
        <w:tc>
          <w:tcPr>
            <w:tcW w:w="91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BF8F00"/>
                <w:sz w:val="18"/>
                <w:szCs w:val="18"/>
              </w:rPr>
              <w:t>Medium</w:t>
            </w:r>
          </w:p>
        </w:tc>
        <w:tc>
          <w:tcPr>
            <w:tcW w:w="73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693</w:t>
            </w:r>
          </w:p>
        </w:tc>
        <w:tc>
          <w:tcPr>
            <w:tcW w:w="431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Set Content-Security-Policy (e.g. default-src 'self')</w:t>
            </w:r>
          </w:p>
        </w:tc>
      </w:tr>
      <w:tr>
        <w:trPr/>
        <w:tc>
          <w:tcPr>
            <w:tcW w:w="33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Cross-Domain Misconfiguration (CORS *)</w:t>
            </w:r>
          </w:p>
        </w:tc>
        <w:tc>
          <w:tcPr>
            <w:tcW w:w="91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BF8F00"/>
                <w:sz w:val="18"/>
                <w:szCs w:val="18"/>
              </w:rPr>
              <w:t>Medium</w:t>
            </w:r>
          </w:p>
        </w:tc>
        <w:tc>
          <w:tcPr>
            <w:tcW w:w="73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264</w:t>
            </w:r>
          </w:p>
        </w:tc>
        <w:tc>
          <w:tcPr>
            <w:tcW w:w="431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Restrict Access-Control-Allow-Origin to trusted origins</w:t>
            </w:r>
          </w:p>
        </w:tc>
      </w:tr>
      <w:tr>
        <w:trPr/>
        <w:tc>
          <w:tcPr>
            <w:tcW w:w="33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Missing Anti-clickjacking header</w:t>
            </w:r>
          </w:p>
        </w:tc>
        <w:tc>
          <w:tcPr>
            <w:tcW w:w="91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BF8F00"/>
                <w:sz w:val="18"/>
                <w:szCs w:val="18"/>
              </w:rPr>
              <w:t>Medium</w:t>
            </w:r>
          </w:p>
        </w:tc>
        <w:tc>
          <w:tcPr>
            <w:tcW w:w="73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1021</w:t>
            </w:r>
          </w:p>
        </w:tc>
        <w:tc>
          <w:tcPr>
            <w:tcW w:w="431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Set X-Frame-Options: DENY or CSP frame-ancestors</w:t>
            </w:r>
          </w:p>
        </w:tc>
      </w:tr>
      <w:tr>
        <w:trPr/>
        <w:tc>
          <w:tcPr>
            <w:tcW w:w="33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Sub Resource Integrity attribute missing</w:t>
            </w:r>
          </w:p>
        </w:tc>
        <w:tc>
          <w:tcPr>
            <w:tcW w:w="91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BF8F00"/>
                <w:sz w:val="18"/>
                <w:szCs w:val="18"/>
              </w:rPr>
              <w:t>Medium</w:t>
            </w:r>
          </w:p>
        </w:tc>
        <w:tc>
          <w:tcPr>
            <w:tcW w:w="73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345</w:t>
            </w:r>
          </w:p>
        </w:tc>
        <w:tc>
          <w:tcPr>
            <w:tcW w:w="431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Add integrity hashes to external script/link tags</w:t>
            </w:r>
          </w:p>
        </w:tc>
      </w:tr>
      <w:tr>
        <w:trPr/>
        <w:tc>
          <w:tcPr>
            <w:tcW w:w="33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Cross-Domain JavaScript source inclusion</w:t>
            </w:r>
          </w:p>
        </w:tc>
        <w:tc>
          <w:tcPr>
            <w:tcW w:w="91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48235"/>
                <w:sz w:val="18"/>
                <w:szCs w:val="18"/>
              </w:rPr>
              <w:t>Low</w:t>
            </w:r>
          </w:p>
        </w:tc>
        <w:tc>
          <w:tcPr>
            <w:tcW w:w="73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829</w:t>
            </w:r>
          </w:p>
        </w:tc>
        <w:tc>
          <w:tcPr>
            <w:tcW w:w="431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Host scripts locally or pin with SRI</w:t>
            </w:r>
          </w:p>
        </w:tc>
      </w:tr>
      <w:tr>
        <w:trPr/>
        <w:tc>
          <w:tcPr>
            <w:tcW w:w="33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Strict-Transport-Security not set</w:t>
            </w:r>
          </w:p>
        </w:tc>
        <w:tc>
          <w:tcPr>
            <w:tcW w:w="91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48235"/>
                <w:sz w:val="18"/>
                <w:szCs w:val="18"/>
              </w:rPr>
              <w:t>Low</w:t>
            </w:r>
          </w:p>
        </w:tc>
        <w:tc>
          <w:tcPr>
            <w:tcW w:w="73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319</w:t>
            </w:r>
          </w:p>
        </w:tc>
        <w:tc>
          <w:tcPr>
            <w:tcW w:w="431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Enable HSTS on TLS endpoints</w:t>
            </w:r>
          </w:p>
        </w:tc>
      </w:tr>
      <w:tr>
        <w:trPr/>
        <w:tc>
          <w:tcPr>
            <w:tcW w:w="33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Timestamp disclosure (Unix)</w:t>
            </w:r>
          </w:p>
        </w:tc>
        <w:tc>
          <w:tcPr>
            <w:tcW w:w="914"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48235"/>
                <w:sz w:val="18"/>
                <w:szCs w:val="18"/>
              </w:rPr>
              <w:t>Low</w:t>
            </w:r>
          </w:p>
        </w:tc>
        <w:tc>
          <w:tcPr>
            <w:tcW w:w="73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200</w:t>
            </w:r>
          </w:p>
        </w:tc>
        <w:tc>
          <w:tcPr>
            <w:tcW w:w="431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Confirm non-sensitive; suppress where avoidable</w:t>
            </w:r>
          </w:p>
        </w:tc>
      </w:tr>
      <w:tr>
        <w:trPr/>
        <w:tc>
          <w:tcPr>
            <w:tcW w:w="33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X-Content-Type-Options missing</w:t>
            </w:r>
          </w:p>
        </w:tc>
        <w:tc>
          <w:tcPr>
            <w:tcW w:w="914"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48235"/>
                <w:sz w:val="18"/>
                <w:szCs w:val="18"/>
              </w:rPr>
              <w:t>Low</w:t>
            </w:r>
          </w:p>
        </w:tc>
        <w:tc>
          <w:tcPr>
            <w:tcW w:w="73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693</w:t>
            </w:r>
          </w:p>
        </w:tc>
        <w:tc>
          <w:tcPr>
            <w:tcW w:w="431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Set X-Content-Type-Options: nosniff</w:t>
            </w:r>
          </w:p>
        </w:tc>
      </w:tr>
    </w:tbl>
    <w:p>
      <w:pPr>
        <w:pStyle w:val="Normal"/>
        <w:spacing w:before="0" w:after="80"/>
        <w:rPr/>
      </w:pPr>
      <w:r>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295775" cy="245745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0"/>
                    <a:stretch>
                      <a:fillRect/>
                    </a:stretch>
                  </pic:blipFill>
                  <pic:spPr bwMode="auto">
                    <a:xfrm>
                      <a:off x="0" y="0"/>
                      <a:ext cx="4295775" cy="2457450"/>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7. DAST evidence — OWASP ZAP alert summary (0 High / 4 Medium / 4 Low)</w:t>
      </w:r>
    </w:p>
    <w:p>
      <w:pPr>
        <w:pStyle w:val="Heading2"/>
        <w:spacing w:before="220" w:after="100"/>
        <w:rPr>
          <w:rFonts w:ascii="Calibri" w:hAnsi="Calibri" w:eastAsia="Calibri" w:cs="Calibri"/>
          <w:b/>
          <w:bCs/>
          <w:color w:val="2E5496"/>
          <w:sz w:val="25"/>
          <w:szCs w:val="25"/>
        </w:rPr>
      </w:pPr>
      <w:bookmarkStart w:id="29" w:name="__RefHeading___Toc9980_3694443629"/>
      <w:bookmarkEnd w:id="29"/>
      <w:r>
        <w:rPr>
          <w:rFonts w:eastAsia="Calibri" w:cs="Calibri" w:ascii="Calibri" w:hAnsi="Calibri"/>
          <w:b/>
          <w:bCs/>
          <w:color w:val="2E5496"/>
          <w:sz w:val="25"/>
          <w:szCs w:val="25"/>
        </w:rPr>
        <w:t>8.4 Container Image Scanning — Trivy</w:t>
      </w:r>
    </w:p>
    <w:p>
      <w:pPr>
        <w:pStyle w:val="Normal"/>
        <w:spacing w:lineRule="auto" w:line="276" w:before="0" w:after="120"/>
        <w:rPr/>
      </w:pPr>
      <w:r>
        <w:rPr>
          <w:rFonts w:eastAsia="Calibri" w:cs="Calibri"/>
          <w:sz w:val="21"/>
          <w:szCs w:val="21"/>
        </w:rPr>
        <w:t>Each service image was scanned with Trivy. No vulnerabilities were found in the application's own Python packages; all reported CVEs originate from the Debian base image (e.g. ncurses, OpenSSL, perl-base) and are remediated by rebuilding on a patched base or pinning fixed package versions. Trivy additionally flagged a secret: the RS256 private key (private.pem) is embedded inside the image — a meaningful hardening finding that should be resolved by injecting the key at runtime via Vault or a mounted secret rather than copying it into the image.</w:t>
      </w:r>
    </w:p>
    <w:tbl>
      <w:tblPr>
        <w:tblW w:w="9360" w:type="dxa"/>
        <w:jc w:val="start"/>
        <w:tblInd w:w="0" w:type="dxa"/>
        <w:tblLayout w:type="fixed"/>
        <w:tblCellMar>
          <w:top w:w="70" w:type="dxa"/>
          <w:start w:w="110" w:type="dxa"/>
          <w:bottom w:w="70" w:type="dxa"/>
          <w:end w:w="110" w:type="dxa"/>
        </w:tblCellMar>
      </w:tblPr>
      <w:tblGrid>
        <w:gridCol w:w="2606"/>
        <w:gridCol w:w="1088"/>
        <w:gridCol w:w="1969"/>
        <w:gridCol w:w="3697"/>
      </w:tblGrid>
      <w:tr>
        <w:trPr>
          <w:tblHeader w:val="true"/>
        </w:trPr>
        <w:tc>
          <w:tcPr>
            <w:tcW w:w="2606"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Image</w:t>
            </w:r>
          </w:p>
        </w:tc>
        <w:tc>
          <w:tcPr>
            <w:tcW w:w="1088"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OS Vulns</w:t>
            </w:r>
          </w:p>
        </w:tc>
        <w:tc>
          <w:tcPr>
            <w:tcW w:w="196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Severity Split</w:t>
            </w:r>
          </w:p>
        </w:tc>
        <w:tc>
          <w:tcPr>
            <w:tcW w:w="3697"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Secret Detected</w:t>
            </w:r>
          </w:p>
        </w:tc>
      </w:tr>
      <w:tr>
        <w:trPr/>
        <w:tc>
          <w:tcPr>
            <w:tcW w:w="260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auth-service:latest</w:t>
            </w:r>
          </w:p>
        </w:tc>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13</w:t>
            </w:r>
          </w:p>
        </w:tc>
        <w:tc>
          <w:tcPr>
            <w:tcW w:w="196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11 HIGH / 2 CRITICAL</w:t>
            </w:r>
          </w:p>
        </w:tc>
        <w:tc>
          <w:tcPr>
            <w:tcW w:w="369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1 — private.pem embedded</w:t>
            </w:r>
          </w:p>
        </w:tc>
      </w:tr>
      <w:tr>
        <w:trPr/>
        <w:tc>
          <w:tcPr>
            <w:tcW w:w="2606"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user-service:latest</w:t>
            </w:r>
          </w:p>
        </w:tc>
        <w:tc>
          <w:tcPr>
            <w:tcW w:w="1088"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13</w:t>
            </w:r>
          </w:p>
        </w:tc>
        <w:tc>
          <w:tcPr>
            <w:tcW w:w="196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00000"/>
                <w:sz w:val="18"/>
                <w:szCs w:val="18"/>
              </w:rPr>
              <w:t>11 HIGH / 2 CRITICAL</w:t>
            </w:r>
          </w:p>
        </w:tc>
        <w:tc>
          <w:tcPr>
            <w:tcW w:w="3697"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1 — private key material</w:t>
            </w:r>
          </w:p>
        </w:tc>
      </w:tr>
      <w:tr>
        <w:trPr/>
        <w:tc>
          <w:tcPr>
            <w:tcW w:w="2606"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transaction-service:latest</w:t>
            </w:r>
          </w:p>
        </w:tc>
        <w:tc>
          <w:tcPr>
            <w:tcW w:w="1088"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13</w:t>
            </w:r>
          </w:p>
        </w:tc>
        <w:tc>
          <w:tcPr>
            <w:tcW w:w="196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11 HIGH / 2 CRITICAL</w:t>
            </w:r>
          </w:p>
        </w:tc>
        <w:tc>
          <w:tcPr>
            <w:tcW w:w="3697"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1 — private key material</w:t>
            </w:r>
          </w:p>
        </w:tc>
      </w:tr>
    </w:tbl>
    <w:p>
      <w:pPr>
        <w:pStyle w:val="Normal"/>
        <w:spacing w:before="0" w:after="80"/>
        <w:rPr/>
      </w:pPr>
      <w:r>
        <w:rPr/>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73507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1"/>
                    <a:stretch>
                      <a:fillRect/>
                    </a:stretch>
                  </pic:blipFill>
                  <pic:spPr bwMode="auto">
                    <a:xfrm>
                      <a:off x="0" y="0"/>
                      <a:ext cx="5943600" cy="3735070"/>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8. Container evidence — Trivy scan output showing severity counts and the secret detection</w:t>
      </w:r>
    </w:p>
    <w:p>
      <w:pPr>
        <w:pStyle w:val="Heading2"/>
        <w:spacing w:before="220" w:after="100"/>
        <w:rPr/>
      </w:pPr>
      <w:bookmarkStart w:id="30" w:name="__RefHeading___Toc9982_3694443629"/>
      <w:bookmarkEnd w:id="30"/>
      <w:r>
        <w:rPr>
          <w:rFonts w:eastAsia="Calibri" w:cs="Calibri" w:ascii="Calibri" w:hAnsi="Calibri"/>
          <w:b/>
          <w:bCs/>
          <w:color w:val="2E5496"/>
          <w:sz w:val="25"/>
          <w:szCs w:val="25"/>
        </w:rPr>
        <w:t>8.5 API Penetration Testing — Postman</w:t>
      </w:r>
    </w:p>
    <w:p>
      <w:pPr>
        <w:pStyle w:val="Normal"/>
        <w:spacing w:lineRule="auto" w:line="276" w:before="0" w:after="120"/>
        <w:rPr/>
      </w:pPr>
      <w:r>
        <w:rPr>
          <w:rFonts w:eastAsia="Calibri" w:cs="Calibri"/>
          <w:sz w:val="21"/>
          <w:szCs w:val="21"/>
        </w:rPr>
        <w:t>Manual API testing exercised authentication, authorization, and injection paths against the live services. Registration, login, expired-token rejection, IDOR/RBAC enforcement (admin-only endpoints return 403 to customers), and SQL-injection resistance all behaved correctly. One finding was raised: in the network test the login endpoint did not return HTTP 429 under repeated failures (PT-05), indicating a rate-limiting enforcement gap to be closed.</w:t>
      </w:r>
    </w:p>
    <w:tbl>
      <w:tblPr>
        <w:tblW w:w="9360" w:type="dxa"/>
        <w:jc w:val="start"/>
        <w:tblInd w:w="0" w:type="dxa"/>
        <w:tblLayout w:type="fixed"/>
        <w:tblCellMar>
          <w:top w:w="70" w:type="dxa"/>
          <w:start w:w="110" w:type="dxa"/>
          <w:bottom w:w="70" w:type="dxa"/>
          <w:end w:w="110" w:type="dxa"/>
        </w:tblCellMar>
      </w:tblPr>
      <w:tblGrid>
        <w:gridCol w:w="900"/>
        <w:gridCol w:w="2699"/>
        <w:gridCol w:w="1900"/>
        <w:gridCol w:w="2300"/>
        <w:gridCol w:w="1561"/>
      </w:tblGrid>
      <w:tr>
        <w:trPr>
          <w:tblHeader w:val="true"/>
        </w:trPr>
        <w:tc>
          <w:tcPr>
            <w:tcW w:w="9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ID</w:t>
            </w:r>
          </w:p>
        </w:tc>
        <w:tc>
          <w:tcPr>
            <w:tcW w:w="26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Test</w:t>
            </w:r>
          </w:p>
        </w:tc>
        <w:tc>
          <w:tcPr>
            <w:tcW w:w="19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Expected</w:t>
            </w:r>
          </w:p>
        </w:tc>
        <w:tc>
          <w:tcPr>
            <w:tcW w:w="23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Actual</w:t>
            </w:r>
          </w:p>
        </w:tc>
        <w:tc>
          <w:tcPr>
            <w:tcW w:w="156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Result</w:t>
            </w:r>
          </w:p>
        </w:tc>
      </w:tr>
      <w:tr>
        <w:trPr/>
        <w:tc>
          <w:tcPr>
            <w:tcW w:w="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PT-01</w:t>
            </w:r>
          </w:p>
        </w:tc>
        <w:tc>
          <w:tcPr>
            <w:tcW w:w="26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Registration</w:t>
            </w:r>
          </w:p>
        </w:tc>
        <w:tc>
          <w:tcPr>
            <w:tcW w:w="1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201 Created</w:t>
            </w:r>
          </w:p>
        </w:tc>
        <w:tc>
          <w:tcPr>
            <w:tcW w:w="2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201 — role: customer</w:t>
            </w:r>
          </w:p>
        </w:tc>
        <w:tc>
          <w:tcPr>
            <w:tcW w:w="15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38135"/>
                <w:sz w:val="18"/>
                <w:szCs w:val="18"/>
              </w:rPr>
              <w:t>PASS</w:t>
            </w:r>
          </w:p>
        </w:tc>
      </w:tr>
      <w:tr>
        <w:trPr/>
        <w:tc>
          <w:tcPr>
            <w:tcW w:w="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PT-02</w:t>
            </w:r>
          </w:p>
        </w:tc>
        <w:tc>
          <w:tcPr>
            <w:tcW w:w="26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Valid login (JWT)</w:t>
            </w:r>
          </w:p>
        </w:tc>
        <w:tc>
          <w:tcPr>
            <w:tcW w:w="1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200 + token</w:t>
            </w:r>
          </w:p>
        </w:tc>
        <w:tc>
          <w:tcPr>
            <w:tcW w:w="2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200 — access_token</w:t>
            </w:r>
          </w:p>
        </w:tc>
        <w:tc>
          <w:tcPr>
            <w:tcW w:w="15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38135"/>
                <w:sz w:val="18"/>
                <w:szCs w:val="18"/>
              </w:rPr>
              <w:t>PASS</w:t>
            </w:r>
          </w:p>
        </w:tc>
      </w:tr>
      <w:tr>
        <w:trPr/>
        <w:tc>
          <w:tcPr>
            <w:tcW w:w="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PT-03</w:t>
            </w:r>
          </w:p>
        </w:tc>
        <w:tc>
          <w:tcPr>
            <w:tcW w:w="26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Expired JWT</w:t>
            </w:r>
          </w:p>
        </w:tc>
        <w:tc>
          <w:tcPr>
            <w:tcW w:w="1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401</w:t>
            </w:r>
          </w:p>
        </w:tc>
        <w:tc>
          <w:tcPr>
            <w:tcW w:w="2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401 — invalid/expired</w:t>
            </w:r>
          </w:p>
        </w:tc>
        <w:tc>
          <w:tcPr>
            <w:tcW w:w="15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538135"/>
                <w:sz w:val="18"/>
                <w:szCs w:val="18"/>
              </w:rPr>
              <w:t>PASS</w:t>
            </w:r>
          </w:p>
        </w:tc>
      </w:tr>
      <w:tr>
        <w:trPr/>
        <w:tc>
          <w:tcPr>
            <w:tcW w:w="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PT-04</w:t>
            </w:r>
          </w:p>
        </w:tc>
        <w:tc>
          <w:tcPr>
            <w:tcW w:w="26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IDOR / admin endpoint</w:t>
            </w:r>
          </w:p>
        </w:tc>
        <w:tc>
          <w:tcPr>
            <w:tcW w:w="1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403</w:t>
            </w:r>
          </w:p>
        </w:tc>
        <w:tc>
          <w:tcPr>
            <w:tcW w:w="2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403 — admin required</w:t>
            </w:r>
          </w:p>
        </w:tc>
        <w:tc>
          <w:tcPr>
            <w:tcW w:w="15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38135"/>
                <w:sz w:val="18"/>
                <w:szCs w:val="18"/>
              </w:rPr>
              <w:t>PASS</w:t>
            </w:r>
          </w:p>
        </w:tc>
      </w:tr>
      <w:tr>
        <w:trPr/>
        <w:tc>
          <w:tcPr>
            <w:tcW w:w="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PT-05</w:t>
            </w:r>
          </w:p>
        </w:tc>
        <w:tc>
          <w:tcPr>
            <w:tcW w:w="26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Brute-force login</w:t>
            </w:r>
          </w:p>
        </w:tc>
        <w:tc>
          <w:tcPr>
            <w:tcW w:w="1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429</w:t>
            </w:r>
          </w:p>
        </w:tc>
        <w:tc>
          <w:tcPr>
            <w:tcW w:w="2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401 (no 429 observed)</w:t>
            </w:r>
          </w:p>
        </w:tc>
        <w:tc>
          <w:tcPr>
            <w:tcW w:w="15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00000"/>
                <w:sz w:val="18"/>
                <w:szCs w:val="18"/>
              </w:rPr>
              <w:t>VULNERABILITY</w:t>
            </w:r>
          </w:p>
        </w:tc>
      </w:tr>
      <w:tr>
        <w:trPr/>
        <w:tc>
          <w:tcPr>
            <w:tcW w:w="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PT-06</w:t>
            </w:r>
          </w:p>
        </w:tc>
        <w:tc>
          <w:tcPr>
            <w:tcW w:w="26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SQL injection</w:t>
            </w:r>
          </w:p>
        </w:tc>
        <w:tc>
          <w:tcPr>
            <w:tcW w:w="1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401</w:t>
            </w:r>
          </w:p>
        </w:tc>
        <w:tc>
          <w:tcPr>
            <w:tcW w:w="2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401 — invalid credentials</w:t>
            </w:r>
          </w:p>
        </w:tc>
        <w:tc>
          <w:tcPr>
            <w:tcW w:w="15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538135"/>
                <w:sz w:val="18"/>
                <w:szCs w:val="18"/>
              </w:rPr>
              <w:t>PASS</w:t>
            </w:r>
          </w:p>
        </w:tc>
      </w:tr>
    </w:tbl>
    <w:p>
      <w:pPr>
        <w:pStyle w:val="Normal"/>
        <w:spacing w:before="0" w:after="80"/>
        <w:rPr/>
      </w:pPr>
      <w:r>
        <w:rPr/>
      </w:r>
    </w:p>
    <w:p>
      <w:pPr>
        <w:pStyle w:val="Normal"/>
        <w:spacing w:lineRule="auto" w:line="276" w:before="0" w:after="120"/>
        <w:rPr/>
      </w:pPr>
      <w:r>
        <w:rPr>
          <w:rFonts w:eastAsia="Calibri" w:cs="Calibri"/>
          <w:b/>
          <w:bCs/>
          <w:color w:val="C00000"/>
          <w:sz w:val="21"/>
          <w:szCs w:val="21"/>
        </w:rPr>
        <w:t xml:space="preserve">Finding PT-05 (HIGH): </w:t>
      </w:r>
      <w:r>
        <w:rPr>
          <w:rFonts w:eastAsia="Calibri" w:cs="Calibri"/>
          <w:sz w:val="21"/>
          <w:szCs w:val="21"/>
        </w:rPr>
        <w:t xml:space="preserve">rate limiting is implemented in code (Redis per-IP counters) but was not observed firing over the network test path. Remediation: ensure the limiter executes before credential verification, return 429 with a Retry-After header, and add an anomaly-detection trigger. Mapped to MITRE T1110 / </w:t>
      </w:r>
      <w:r>
        <w:drawing>
          <wp:anchor distT="0" distB="0" distL="0" distR="0" simplePos="0" relativeHeight="12" behindDoc="0" locked="0" layoutInCell="0" allowOverlap="1">
            <wp:simplePos x="0" y="0"/>
            <wp:positionH relativeFrom="column">
              <wp:posOffset>0</wp:posOffset>
            </wp:positionH>
            <wp:positionV relativeFrom="paragraph">
              <wp:posOffset>963930</wp:posOffset>
            </wp:positionV>
            <wp:extent cx="5943600" cy="334137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5943600" cy="3341370"/>
                    </a:xfrm>
                    <a:prstGeom prst="rect">
                      <a:avLst/>
                    </a:prstGeom>
                    <a:noFill/>
                  </pic:spPr>
                </pic:pic>
              </a:graphicData>
            </a:graphic>
          </wp:anchor>
        </w:drawing>
      </w:r>
      <w:r>
        <w:rPr>
          <w:rFonts w:eastAsia="Calibri" w:cs="Calibri"/>
          <w:sz w:val="21"/>
          <w:szCs w:val="21"/>
        </w:rPr>
        <w:t>T1110.001 and DREAD 9.2.</w:t>
      </w:r>
    </w:p>
    <w:p>
      <w:pPr>
        <w:pStyle w:val="Normal"/>
        <w:spacing w:lineRule="auto" w:line="276" w:before="0" w:after="120"/>
        <w:rPr>
          <w:rFonts w:ascii="Calibri" w:hAnsi="Calibri" w:eastAsia="Calibri" w:cs="Calibri"/>
          <w:sz w:val="21"/>
          <w:szCs w:val="21"/>
        </w:rPr>
      </w:pPr>
      <w:r>
        <w:rPr>
          <w:rFonts w:eastAsia="Calibri" w:cs="Calibri"/>
          <w:sz w:val="21"/>
          <w:szCs w:val="21"/>
        </w:rPr>
        <w:drawing>
          <wp:anchor distT="0" distB="0" distL="0" distR="0" simplePos="0" relativeHeight="13" behindDoc="0" locked="0" layoutInCell="0" allowOverlap="1">
            <wp:simplePos x="0" y="0"/>
            <wp:positionH relativeFrom="column">
              <wp:posOffset>38100</wp:posOffset>
            </wp:positionH>
            <wp:positionV relativeFrom="paragraph">
              <wp:posOffset>3616325</wp:posOffset>
            </wp:positionV>
            <wp:extent cx="5943600" cy="334137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5943600" cy="3341370"/>
                    </a:xfrm>
                    <a:prstGeom prst="rect">
                      <a:avLst/>
                    </a:prstGeom>
                    <a:noFill/>
                  </pic:spPr>
                </pic:pic>
              </a:graphicData>
            </a:graphic>
          </wp:anchor>
        </w:drawing>
      </w:r>
    </w:p>
    <w:p>
      <w:pPr>
        <w:pStyle w:val="Normal"/>
        <w:spacing w:lineRule="auto" w:line="276" w:before="0" w:after="120"/>
        <w:rPr>
          <w:rFonts w:ascii="Calibri" w:hAnsi="Calibri" w:eastAsia="Calibri" w:cs="Calibri"/>
          <w:sz w:val="21"/>
          <w:szCs w:val="21"/>
        </w:rPr>
      </w:pPr>
      <w:r>
        <w:rPr>
          <w:rFonts w:eastAsia="Calibri" w:cs="Calibri"/>
          <w:sz w:val="21"/>
          <w:szCs w:val="21"/>
        </w:rPr>
      </w:r>
    </w:p>
    <w:p>
      <w:pPr>
        <w:pStyle w:val="Normal"/>
        <w:spacing w:before="60" w:after="200"/>
        <w:jc w:val="start"/>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14" behindDoc="0" locked="0" layoutInCell="0" allowOverlap="1">
            <wp:simplePos x="0" y="0"/>
            <wp:positionH relativeFrom="column">
              <wp:posOffset>-123190</wp:posOffset>
            </wp:positionH>
            <wp:positionV relativeFrom="paragraph">
              <wp:posOffset>22225</wp:posOffset>
            </wp:positionV>
            <wp:extent cx="5943600" cy="3341370"/>
            <wp:effectExtent l="0" t="0" r="0" b="0"/>
            <wp:wrapSquare wrapText="largest"/>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4"/>
                    <a:stretch>
                      <a:fillRect/>
                    </a:stretch>
                  </pic:blipFill>
                  <pic:spPr bwMode="auto">
                    <a:xfrm>
                      <a:off x="0" y="0"/>
                      <a:ext cx="5943600" cy="3341370"/>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9. API pentest evidence — Postman results (403 on IDOR, 401 on SQLi, PT-05 brute-force)</w:t>
      </w:r>
    </w:p>
    <w:p>
      <w:pPr>
        <w:pStyle w:val="Heading2"/>
        <w:spacing w:before="220" w:after="100"/>
        <w:rPr/>
      </w:pPr>
      <w:bookmarkStart w:id="31" w:name="__RefHeading___Toc9984_3694443629"/>
      <w:bookmarkEnd w:id="31"/>
      <w:r>
        <w:rPr>
          <w:rFonts w:eastAsia="Calibri" w:cs="Calibri" w:ascii="Calibri" w:hAnsi="Calibri"/>
          <w:b/>
          <w:bCs/>
          <w:color w:val="2E5496"/>
          <w:sz w:val="25"/>
          <w:szCs w:val="25"/>
        </w:rPr>
        <w:t>8.6 Memory Safety Demonstration</w:t>
      </w:r>
    </w:p>
    <w:p>
      <w:pPr>
        <w:pStyle w:val="Normal"/>
        <w:spacing w:lineRule="auto" w:line="276" w:before="0" w:after="120"/>
        <w:rPr>
          <w:rFonts w:ascii="Calibri" w:hAnsi="Calibri" w:eastAsia="Calibri" w:cs="Calibri"/>
          <w:sz w:val="21"/>
          <w:szCs w:val="21"/>
        </w:rPr>
      </w:pPr>
      <w:r>
        <w:rPr>
          <w:rFonts w:eastAsia="Calibri" w:cs="Calibri"/>
          <w:sz w:val="21"/>
          <w:szCs w:val="21"/>
        </w:rPr>
        <w:t>To evidence secure low-level coding, the team built a C component (memory_safe.c) demonstrating classic vulnerabilities and their fixes: buffer overflow (strcpy → bounds-checked strncpy with explicit null-termination), format-string injection (printf(input) → printf("%s", input)), use-after-free (freed-pointer access → set pointer to NULL after free), and integer overflow (unchecked arithmetic → boundary checks). The secure build uses full hardening flags (-fstack-protector-all, -D_FORTIFY_SOURCE=2, -fPIE -pie, RELRO/NOW). SonarCloud's only reliability findings are deliberately located in this demonstration file.</w:t>
      </w:r>
      <w:r>
        <w:rPr>
          <w:rFonts w:eastAsia="Calibri" w:cs="Calibri"/>
          <w:sz w:val="21"/>
          <w:szCs w:val="21"/>
        </w:rPr>
        <w:drawing>
          <wp:inline distT="0" distB="0" distL="0" distR="0">
            <wp:extent cx="7365365" cy="6400800"/>
            <wp:effectExtent l="0" t="0" r="0" b="0"/>
            <wp:docPr id="13" name="Image2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1 Copy 1"/>
                    <pic:cNvPicPr>
                      <a:picLocks noChangeAspect="1" noChangeArrowheads="1"/>
                    </pic:cNvPicPr>
                  </pic:nvPicPr>
                  <pic:blipFill>
                    <a:blip r:embed="rId15"/>
                    <a:stretch>
                      <a:fillRect/>
                    </a:stretch>
                  </pic:blipFill>
                  <pic:spPr bwMode="auto">
                    <a:xfrm>
                      <a:off x="0" y="0"/>
                      <a:ext cx="7365365" cy="6400800"/>
                    </a:xfrm>
                    <a:prstGeom prst="rect">
                      <a:avLst/>
                    </a:prstGeom>
                    <a:noFill/>
                  </pic:spPr>
                </pic:pic>
              </a:graphicData>
            </a:graphic>
          </wp:inline>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inline distT="0" distB="0" distL="0" distR="0">
            <wp:extent cx="7365365" cy="6400800"/>
            <wp:effectExtent l="0" t="0" r="0" b="0"/>
            <wp:docPr id="1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
                    <pic:cNvPicPr>
                      <a:picLocks noChangeAspect="1" noChangeArrowheads="1"/>
                    </pic:cNvPicPr>
                  </pic:nvPicPr>
                  <pic:blipFill>
                    <a:blip r:embed="rId16"/>
                    <a:stretch>
                      <a:fillRect/>
                    </a:stretch>
                  </pic:blipFill>
                  <pic:spPr bwMode="auto">
                    <a:xfrm>
                      <a:off x="0" y="0"/>
                      <a:ext cx="7365365" cy="6400800"/>
                    </a:xfrm>
                    <a:prstGeom prst="rect">
                      <a:avLst/>
                    </a:prstGeom>
                    <a:noFill/>
                  </pic:spPr>
                </pic:pic>
              </a:graphicData>
            </a:graphic>
          </wp:inline>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10. Memory-safety demo — vulnerable vs. hardened build behaviour (e.g. crash vs. safe truncation)</w:t>
      </w:r>
    </w:p>
    <w:p>
      <w:pPr>
        <w:pStyle w:val="Heading2"/>
        <w:spacing w:before="220" w:after="100"/>
        <w:rPr/>
      </w:pPr>
      <w:bookmarkStart w:id="32" w:name="__RefHeading___Toc9986_3694443629"/>
      <w:bookmarkEnd w:id="32"/>
      <w:r>
        <w:rPr>
          <w:rFonts w:eastAsia="Calibri" w:cs="Calibri" w:ascii="Calibri" w:hAnsi="Calibri"/>
          <w:b/>
          <w:bCs/>
          <w:color w:val="2E5496"/>
          <w:sz w:val="25"/>
          <w:szCs w:val="25"/>
        </w:rPr>
        <w:t>8.7 AI/ML Anomaly Detection</w:t>
      </w:r>
    </w:p>
    <w:p>
      <w:pPr>
        <w:pStyle w:val="Normal"/>
        <w:spacing w:lineRule="auto" w:line="276" w:before="0" w:after="120"/>
        <w:rPr/>
      </w:pPr>
      <w:r>
        <w:rPr>
          <w:rFonts w:eastAsia="Calibri" w:cs="Calibri"/>
          <w:sz w:val="21"/>
          <w:szCs w:val="21"/>
        </w:rPr>
        <w:t>An unsupervised Isolation Forest model (scikit-learn, 200 estimators, 5% contamination) scores nine live traffic features — request rate, failed-auth count, endpoint diversity, response time, payload size, new-IP frequency, Kafka consumer lag, Redis miss rate, and hour-of-day. Anomalies are scored and classified (NORMAL/MEDIUM/HIGH/CRITICAL) and forwarded to the SIEM for correlation. In validation, the model correctly flagged all three simulated attack scenarios.</w:t>
      </w:r>
    </w:p>
    <w:tbl>
      <w:tblPr>
        <w:tblW w:w="9360" w:type="dxa"/>
        <w:jc w:val="start"/>
        <w:tblInd w:w="0" w:type="dxa"/>
        <w:tblLayout w:type="fixed"/>
        <w:tblCellMar>
          <w:top w:w="70" w:type="dxa"/>
          <w:start w:w="110" w:type="dxa"/>
          <w:bottom w:w="70" w:type="dxa"/>
          <w:end w:w="110" w:type="dxa"/>
        </w:tblCellMar>
      </w:tblPr>
      <w:tblGrid>
        <w:gridCol w:w="2600"/>
        <w:gridCol w:w="6760"/>
      </w:tblGrid>
      <w:tr>
        <w:trPr>
          <w:tblHeader w:val="true"/>
        </w:trPr>
        <w:tc>
          <w:tcPr>
            <w:tcW w:w="26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Property</w:t>
            </w:r>
          </w:p>
        </w:tc>
        <w:tc>
          <w:tcPr>
            <w:tcW w:w="676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Value</w:t>
            </w:r>
          </w:p>
        </w:tc>
      </w:tr>
      <w:tr>
        <w:trPr/>
        <w:tc>
          <w:tcPr>
            <w:tcW w:w="26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Algorithm</w:t>
            </w:r>
          </w:p>
        </w:tc>
        <w:tc>
          <w:tcPr>
            <w:tcW w:w="67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Isolation Forest (unsupervised)</w:t>
            </w:r>
          </w:p>
        </w:tc>
      </w:tr>
      <w:tr>
        <w:trPr/>
        <w:tc>
          <w:tcPr>
            <w:tcW w:w="26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Pipeline</w:t>
            </w:r>
          </w:p>
        </w:tc>
        <w:tc>
          <w:tcPr>
            <w:tcW w:w="67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StandardScaler → IsolationForest (n_estimators=200, contamination=0.05)</w:t>
            </w:r>
          </w:p>
        </w:tc>
      </w:tr>
      <w:tr>
        <w:trPr/>
        <w:tc>
          <w:tcPr>
            <w:tcW w:w="26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Features</w:t>
            </w:r>
          </w:p>
        </w:tc>
        <w:tc>
          <w:tcPr>
            <w:tcW w:w="67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9 traffic/behavioural metrics</w:t>
            </w:r>
          </w:p>
        </w:tc>
      </w:tr>
      <w:tr>
        <w:trPr/>
        <w:tc>
          <w:tcPr>
            <w:tcW w:w="26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Training data</w:t>
            </w:r>
          </w:p>
        </w:tc>
        <w:tc>
          <w:tcPr>
            <w:tcW w:w="67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1,000 normal + 50 attack samples</w:t>
            </w:r>
          </w:p>
        </w:tc>
      </w:tr>
      <w:tr>
        <w:trPr/>
        <w:tc>
          <w:tcPr>
            <w:tcW w:w="26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Validation result</w:t>
            </w:r>
          </w:p>
        </w:tc>
        <w:tc>
          <w:tcPr>
            <w:tcW w:w="67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3/3 attack scenarios detected; anomalies forwarded to SIEM</w:t>
            </w:r>
          </w:p>
        </w:tc>
      </w:tr>
    </w:tbl>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400800" cy="3427730"/>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17"/>
                    <a:stretch>
                      <a:fillRect/>
                    </a:stretch>
                  </pic:blipFill>
                  <pic:spPr bwMode="auto">
                    <a:xfrm>
                      <a:off x="0" y="0"/>
                      <a:ext cx="6400800" cy="3427730"/>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11. ML evidence — anomaly detector output flagging an attack burst (score + severity)</w:t>
      </w:r>
    </w:p>
    <w:p>
      <w:pPr>
        <w:pStyle w:val="Normal"/>
        <w:spacing w:before="60" w:after="200"/>
        <w:jc w:val="start"/>
        <w:rPr>
          <w:rFonts w:ascii="Calibri" w:hAnsi="Calibri" w:eastAsia="Calibri" w:cs="Calibri"/>
          <w:b/>
          <w:bCs/>
          <w:color w:val="1F3864"/>
          <w:sz w:val="30"/>
          <w:szCs w:val="30"/>
        </w:rPr>
      </w:pPr>
      <w:r>
        <w:rPr>
          <w:rFonts w:eastAsia="Calibri" w:cs="Calibri"/>
          <w:b/>
          <w:bCs/>
          <w:color w:val="1F3864"/>
          <w:sz w:val="30"/>
          <w:szCs w:val="30"/>
        </w:rPr>
        <w:t>9. Key Findings &amp; Remediation</w:t>
      </w:r>
    </w:p>
    <w:p>
      <w:pPr>
        <w:pStyle w:val="Normal"/>
        <w:spacing w:lineRule="auto" w:line="276" w:before="0" w:after="120"/>
        <w:rPr/>
      </w:pPr>
      <w:r>
        <w:rPr>
          <w:rFonts w:eastAsia="Calibri" w:cs="Calibri"/>
          <w:sz w:val="21"/>
          <w:szCs w:val="21"/>
        </w:rPr>
        <w:t>The consolidated findings below are drawn from all testing activities and prioritised by risk. None are application-logic vulnerabilities; all have concrete, low-effort remediations suitable for completion before or shortly after the live defense.</w:t>
      </w:r>
    </w:p>
    <w:tbl>
      <w:tblPr>
        <w:tblW w:w="9360" w:type="dxa"/>
        <w:jc w:val="start"/>
        <w:tblInd w:w="0" w:type="dxa"/>
        <w:tblLayout w:type="fixed"/>
        <w:tblCellMar>
          <w:top w:w="70" w:type="dxa"/>
          <w:start w:w="110" w:type="dxa"/>
          <w:bottom w:w="70" w:type="dxa"/>
          <w:end w:w="110" w:type="dxa"/>
        </w:tblCellMar>
      </w:tblPr>
      <w:tblGrid>
        <w:gridCol w:w="599"/>
        <w:gridCol w:w="3301"/>
        <w:gridCol w:w="1300"/>
        <w:gridCol w:w="1200"/>
        <w:gridCol w:w="2960"/>
      </w:tblGrid>
      <w:tr>
        <w:trPr>
          <w:tblHeader w:val="true"/>
        </w:trPr>
        <w:tc>
          <w:tcPr>
            <w:tcW w:w="5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w:t>
            </w:r>
          </w:p>
        </w:tc>
        <w:tc>
          <w:tcPr>
            <w:tcW w:w="330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Finding</w:t>
            </w:r>
          </w:p>
        </w:tc>
        <w:tc>
          <w:tcPr>
            <w:tcW w:w="13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Severity</w:t>
            </w:r>
          </w:p>
        </w:tc>
        <w:tc>
          <w:tcPr>
            <w:tcW w:w="12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Source</w:t>
            </w:r>
          </w:p>
        </w:tc>
        <w:tc>
          <w:tcPr>
            <w:tcW w:w="296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Remediation</w:t>
            </w:r>
          </w:p>
        </w:tc>
      </w:tr>
      <w:tr>
        <w:trPr/>
        <w:tc>
          <w:tcPr>
            <w:tcW w:w="5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F-1</w:t>
            </w:r>
          </w:p>
        </w:tc>
        <w:tc>
          <w:tcPr>
            <w:tcW w:w="33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RS256 private key embedded in container images</w:t>
            </w:r>
          </w:p>
        </w:tc>
        <w:tc>
          <w:tcPr>
            <w:tcW w:w="1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55A11"/>
                <w:sz w:val="18"/>
                <w:szCs w:val="18"/>
              </w:rPr>
              <w:t>HIGH</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Trivy</w:t>
            </w:r>
          </w:p>
        </w:tc>
        <w:tc>
          <w:tcPr>
            <w:tcW w:w="29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Remove from image; .dockerignore; inject via Vault/secret; rotate key</w:t>
            </w:r>
          </w:p>
        </w:tc>
      </w:tr>
      <w:tr>
        <w:trPr/>
        <w:tc>
          <w:tcPr>
            <w:tcW w:w="5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F-2</w:t>
            </w:r>
          </w:p>
        </w:tc>
        <w:tc>
          <w:tcPr>
            <w:tcW w:w="33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Rate limiting not enforced on login (PT-05)</w:t>
            </w:r>
          </w:p>
        </w:tc>
        <w:tc>
          <w:tcPr>
            <w:tcW w:w="1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C55A11"/>
                <w:sz w:val="18"/>
                <w:szCs w:val="18"/>
              </w:rPr>
              <w:t>HIGH</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Postman</w:t>
            </w:r>
          </w:p>
        </w:tc>
        <w:tc>
          <w:tcPr>
            <w:tcW w:w="29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Run limiter before auth; return 429 + Retry-After; anomaly trigger</w:t>
            </w:r>
          </w:p>
        </w:tc>
      </w:tr>
      <w:tr>
        <w:trPr/>
        <w:tc>
          <w:tcPr>
            <w:tcW w:w="5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F-3</w:t>
            </w:r>
          </w:p>
        </w:tc>
        <w:tc>
          <w:tcPr>
            <w:tcW w:w="33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Base-image OS CVEs (ncurses, OpenSSL, perl)</w:t>
            </w:r>
          </w:p>
        </w:tc>
        <w:tc>
          <w:tcPr>
            <w:tcW w:w="1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C55A11"/>
                <w:sz w:val="18"/>
                <w:szCs w:val="18"/>
              </w:rPr>
              <w:t>HIGH/CRIT</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Trivy</w:t>
            </w:r>
          </w:p>
        </w:tc>
        <w:tc>
          <w:tcPr>
            <w:tcW w:w="29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Rebuild on patched base; pin fixed versions; re-scan to zero HIGH/CRIT</w:t>
            </w:r>
          </w:p>
        </w:tc>
      </w:tr>
      <w:tr>
        <w:trPr/>
        <w:tc>
          <w:tcPr>
            <w:tcW w:w="5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F-4</w:t>
            </w:r>
          </w:p>
        </w:tc>
        <w:tc>
          <w:tcPr>
            <w:tcW w:w="33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Missing HTTP security headers (CSP, XFO, HSTS, nosniff)</w:t>
            </w:r>
          </w:p>
        </w:tc>
        <w:tc>
          <w:tcPr>
            <w:tcW w:w="1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BF8F00"/>
                <w:sz w:val="18"/>
                <w:szCs w:val="18"/>
              </w:rPr>
              <w:t>MEDIUM</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ZAP</w:t>
            </w:r>
          </w:p>
        </w:tc>
        <w:tc>
          <w:tcPr>
            <w:tcW w:w="29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Add headers at API gateway/ingress for all responses</w:t>
            </w:r>
          </w:p>
        </w:tc>
      </w:tr>
      <w:tr>
        <w:trPr/>
        <w:tc>
          <w:tcPr>
            <w:tcW w:w="5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F-5</w:t>
            </w:r>
          </w:p>
        </w:tc>
        <w:tc>
          <w:tcPr>
            <w:tcW w:w="330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Permissive CORS (Access-Control-Allow-Origin: *)</w:t>
            </w:r>
          </w:p>
        </w:tc>
        <w:tc>
          <w:tcPr>
            <w:tcW w:w="13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bCs/>
                <w:color w:val="BF8F00"/>
                <w:sz w:val="18"/>
                <w:szCs w:val="18"/>
              </w:rPr>
              <w:t>MEDIUM</w:t>
            </w:r>
          </w:p>
        </w:tc>
        <w:tc>
          <w:tcPr>
            <w:tcW w:w="12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ZAP</w:t>
            </w:r>
          </w:p>
        </w:tc>
        <w:tc>
          <w:tcPr>
            <w:tcW w:w="296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Restrict to trusted origins; remove wildcard</w:t>
            </w:r>
          </w:p>
        </w:tc>
      </w:tr>
      <w:tr>
        <w:trPr/>
        <w:tc>
          <w:tcPr>
            <w:tcW w:w="5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F-6</w:t>
            </w:r>
          </w:p>
        </w:tc>
        <w:tc>
          <w:tcPr>
            <w:tcW w:w="330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External Swagger assets without SRI</w:t>
            </w:r>
          </w:p>
        </w:tc>
        <w:tc>
          <w:tcPr>
            <w:tcW w:w="13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bCs/>
                <w:color w:val="BF8F00"/>
                <w:sz w:val="18"/>
                <w:szCs w:val="18"/>
              </w:rPr>
              <w:t>MEDIUM/LOW</w:t>
            </w:r>
          </w:p>
        </w:tc>
        <w:tc>
          <w:tcPr>
            <w:tcW w:w="12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ZAP</w:t>
            </w:r>
          </w:p>
        </w:tc>
        <w:tc>
          <w:tcPr>
            <w:tcW w:w="296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Add integrity hashes or self-host Swagger UI assets</w:t>
            </w:r>
          </w:p>
        </w:tc>
      </w:tr>
    </w:tbl>
    <w:p>
      <w:pPr>
        <w:pStyle w:val="Normal"/>
        <w:spacing w:before="0" w:after="120"/>
        <w:rPr/>
      </w:pPr>
      <w:r>
        <w:rPr/>
      </w:r>
    </w:p>
    <w:tbl>
      <w:tblPr>
        <w:tblW w:w="9360" w:type="dxa"/>
        <w:jc w:val="start"/>
        <w:tblInd w:w="0" w:type="dxa"/>
        <w:tblLayout w:type="fixed"/>
        <w:tblCellMar>
          <w:top w:w="130" w:type="dxa"/>
          <w:start w:w="200" w:type="dxa"/>
          <w:bottom w:w="130" w:type="dxa"/>
          <w:end w:w="160" w:type="dxa"/>
        </w:tblCellMar>
      </w:tblPr>
      <w:tblGrid>
        <w:gridCol w:w="9360"/>
      </w:tblGrid>
      <w:tr>
        <w:trPr/>
        <w:tc>
          <w:tcPr>
            <w:tcW w:w="9360" w:type="dxa"/>
            <w:tcBorders>
              <w:start w:val="single" w:sz="24" w:space="0" w:color="2E5496"/>
            </w:tcBorders>
            <w:shd w:fill="EAF0FA" w:val="clear"/>
          </w:tcPr>
          <w:p>
            <w:pPr>
              <w:pStyle w:val="Normal"/>
              <w:spacing w:before="0" w:after="40"/>
              <w:rPr/>
            </w:pPr>
            <w:r>
              <w:rPr>
                <w:rFonts w:eastAsia="Calibri" w:cs="Calibri"/>
                <w:b/>
                <w:bCs/>
                <w:color w:val="1F3864"/>
                <w:sz w:val="19"/>
                <w:szCs w:val="19"/>
              </w:rPr>
              <w:t>Net risk statement</w:t>
            </w:r>
          </w:p>
          <w:p>
            <w:pPr>
              <w:pStyle w:val="Normal"/>
              <w:rPr/>
            </w:pPr>
            <w:r>
              <w:rPr>
                <w:rFonts w:eastAsia="Calibri" w:cs="Calibri"/>
                <w:color w:val="262626"/>
                <w:sz w:val="19"/>
                <w:szCs w:val="19"/>
              </w:rPr>
              <w:t>After applying F-1 through F-6, the platform is expected to reach zero High/Critical findings across SAST, DAST, and container scanning, with residual risk limited to accepted informational items. The application's core security architecture (authentication, authorization, injection resistance) required no remediation.</w:t>
            </w:r>
          </w:p>
        </w:tc>
      </w:tr>
    </w:tbl>
    <w:p>
      <w:pPr>
        <w:pStyle w:val="Heading1"/>
        <w:spacing w:before="320" w:after="140"/>
        <w:rPr/>
      </w:pPr>
      <w:r>
        <w:br w:type="page"/>
      </w:r>
      <w:bookmarkStart w:id="33" w:name="__RefHeading___Toc9990_3694443629"/>
      <w:bookmarkEnd w:id="33"/>
      <w:r>
        <w:rPr>
          <w:rFonts w:eastAsia="Calibri" w:cs="Calibri" w:ascii="Calibri" w:hAnsi="Calibri"/>
          <w:b/>
          <w:bCs/>
          <w:color w:val="1F3864"/>
          <w:sz w:val="30"/>
          <w:szCs w:val="30"/>
        </w:rPr>
        <w:t>10. Runtime Security, Monitoring &amp; SIEM</w:t>
      </w:r>
    </w:p>
    <w:p>
      <w:pPr>
        <w:pStyle w:val="Normal"/>
        <w:spacing w:lineRule="auto" w:line="276" w:before="0" w:after="120"/>
        <w:rPr/>
      </w:pPr>
      <w:r>
        <w:rPr>
          <w:rFonts w:eastAsia="Calibri" w:cs="Calibri"/>
          <w:sz w:val="21"/>
          <w:szCs w:val="21"/>
        </w:rPr>
        <w:t>Detection and response are operationalised through a runtime-security and observability plane. Falco watches kernel/syscall behaviour on every node; Prometheus and Grafana provide security and performance dashboards; and a SIEM correlates events into actionable offenses via five custom rules (R-01–R-05). All detections feed a single pane for the Blue Team during the demo.</w:t>
      </w:r>
    </w:p>
    <w:p>
      <w:pPr>
        <w:pStyle w:val="Heading2"/>
        <w:spacing w:before="220" w:after="100"/>
        <w:rPr/>
      </w:pPr>
      <w:bookmarkStart w:id="34" w:name="__RefHeading___Toc9992_3694443629"/>
      <w:bookmarkEnd w:id="34"/>
      <w:r>
        <w:rPr>
          <w:rFonts w:eastAsia="Calibri" w:cs="Calibri" w:ascii="Calibri" w:hAnsi="Calibri"/>
          <w:b/>
          <w:bCs/>
          <w:color w:val="2E5496"/>
          <w:sz w:val="25"/>
          <w:szCs w:val="25"/>
        </w:rPr>
        <w:t>10.1 SIEM Correlation Rules</w:t>
      </w:r>
    </w:p>
    <w:tbl>
      <w:tblPr>
        <w:tblW w:w="9360" w:type="dxa"/>
        <w:jc w:val="start"/>
        <w:tblInd w:w="0" w:type="dxa"/>
        <w:tblLayout w:type="fixed"/>
        <w:tblCellMar>
          <w:top w:w="70" w:type="dxa"/>
          <w:start w:w="110" w:type="dxa"/>
          <w:bottom w:w="70" w:type="dxa"/>
          <w:end w:w="110" w:type="dxa"/>
        </w:tblCellMar>
      </w:tblPr>
      <w:tblGrid>
        <w:gridCol w:w="900"/>
        <w:gridCol w:w="2400"/>
        <w:gridCol w:w="3299"/>
        <w:gridCol w:w="2761"/>
      </w:tblGrid>
      <w:tr>
        <w:trPr>
          <w:tblHeader w:val="true"/>
        </w:trPr>
        <w:tc>
          <w:tcPr>
            <w:tcW w:w="9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Rule</w:t>
            </w:r>
          </w:p>
        </w:tc>
        <w:tc>
          <w:tcPr>
            <w:tcW w:w="24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Name</w:t>
            </w:r>
          </w:p>
        </w:tc>
        <w:tc>
          <w:tcPr>
            <w:tcW w:w="32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Condition</w:t>
            </w:r>
          </w:p>
        </w:tc>
        <w:tc>
          <w:tcPr>
            <w:tcW w:w="276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Action</w:t>
            </w:r>
          </w:p>
        </w:tc>
      </w:tr>
      <w:tr>
        <w:trPr/>
        <w:tc>
          <w:tcPr>
            <w:tcW w:w="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R-01</w:t>
            </w:r>
          </w:p>
        </w:tc>
        <w:tc>
          <w:tcPr>
            <w:tcW w:w="24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Brute-force login</w:t>
            </w:r>
          </w:p>
        </w:tc>
        <w:tc>
          <w:tcPr>
            <w:tcW w:w="32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5 auth failures from one IP in 2 min</w:t>
            </w:r>
          </w:p>
        </w:tc>
        <w:tc>
          <w:tcPr>
            <w:tcW w:w="27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P1 offense; alert SOC; block IP</w:t>
            </w:r>
          </w:p>
        </w:tc>
      </w:tr>
      <w:tr>
        <w:trPr/>
        <w:tc>
          <w:tcPr>
            <w:tcW w:w="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R-02</w:t>
            </w:r>
          </w:p>
        </w:tc>
        <w:tc>
          <w:tcPr>
            <w:tcW w:w="24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Container anomaly</w:t>
            </w:r>
          </w:p>
        </w:tc>
        <w:tc>
          <w:tcPr>
            <w:tcW w:w="32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Falco HIGH/CRITICAL in prod namespace</w:t>
            </w:r>
          </w:p>
        </w:tc>
        <w:tc>
          <w:tcPr>
            <w:tcW w:w="27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P1 offense; trigger response</w:t>
            </w:r>
          </w:p>
        </w:tc>
      </w:tr>
      <w:tr>
        <w:trPr/>
        <w:tc>
          <w:tcPr>
            <w:tcW w:w="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R-03</w:t>
            </w:r>
          </w:p>
        </w:tc>
        <w:tc>
          <w:tcPr>
            <w:tcW w:w="24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ML anomaly correlation</w:t>
            </w:r>
          </w:p>
        </w:tc>
        <w:tc>
          <w:tcPr>
            <w:tcW w:w="32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ML CRITICAL + 3 failed auths in 5 min</w:t>
            </w:r>
          </w:p>
        </w:tc>
        <w:tc>
          <w:tcPr>
            <w:tcW w:w="27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P1 offense; isolate source IP</w:t>
            </w:r>
          </w:p>
        </w:tc>
      </w:tr>
      <w:tr>
        <w:trPr/>
        <w:tc>
          <w:tcPr>
            <w:tcW w:w="9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R-04</w:t>
            </w:r>
          </w:p>
        </w:tc>
        <w:tc>
          <w:tcPr>
            <w:tcW w:w="24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b/>
                <w:bCs/>
              </w:rPr>
            </w:pPr>
            <w:r>
              <w:rPr>
                <w:rFonts w:eastAsia="Calibri" w:cs="Calibri"/>
                <w:b/>
                <w:bCs/>
                <w:color w:val="1A1A1A"/>
                <w:sz w:val="18"/>
                <w:szCs w:val="18"/>
              </w:rPr>
              <w:t>Kafka unauthorised access</w:t>
            </w:r>
          </w:p>
        </w:tc>
        <w:tc>
          <w:tcPr>
            <w:tcW w:w="32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Kafka auth failure &gt; 3 in 1 min</w:t>
            </w:r>
          </w:p>
        </w:tc>
        <w:tc>
          <w:tcPr>
            <w:tcW w:w="27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Offense; alert DevSecOps</w:t>
            </w:r>
          </w:p>
        </w:tc>
      </w:tr>
      <w:tr>
        <w:trPr/>
        <w:tc>
          <w:tcPr>
            <w:tcW w:w="9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R-05</w:t>
            </w:r>
          </w:p>
        </w:tc>
        <w:tc>
          <w:tcPr>
            <w:tcW w:w="24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b/>
                <w:bCs/>
              </w:rPr>
            </w:pPr>
            <w:r>
              <w:rPr>
                <w:rFonts w:eastAsia="Calibri" w:cs="Calibri"/>
                <w:b/>
                <w:bCs/>
                <w:color w:val="1A1A1A"/>
                <w:sz w:val="18"/>
                <w:szCs w:val="18"/>
              </w:rPr>
              <w:t>JWT manipulation</w:t>
            </w:r>
          </w:p>
        </w:tc>
        <w:tc>
          <w:tcPr>
            <w:tcW w:w="32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Invalid-algorithm 401s ≥ 2 from one source</w:t>
            </w:r>
          </w:p>
        </w:tc>
        <w:tc>
          <w:tcPr>
            <w:tcW w:w="27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P2 offense; block source IP</w:t>
            </w:r>
          </w:p>
        </w:tc>
      </w:tr>
    </w:tbl>
    <w:p>
      <w:pPr>
        <w:pStyle w:val="Normal"/>
        <w:spacing w:before="0" w:after="80"/>
        <w:rPr/>
      </w:pPr>
      <w:r>
        <w:rPr/>
      </w:r>
    </w:p>
    <w:tbl>
      <w:tblPr>
        <w:tblW w:w="9360" w:type="dxa"/>
        <w:jc w:val="start"/>
        <w:tblInd w:w="0" w:type="dxa"/>
        <w:tblLayout w:type="fixed"/>
        <w:tblCellMar>
          <w:top w:w="130" w:type="dxa"/>
          <w:start w:w="200" w:type="dxa"/>
          <w:bottom w:w="130" w:type="dxa"/>
          <w:end w:w="160" w:type="dxa"/>
        </w:tblCellMar>
      </w:tblPr>
      <w:tblGrid>
        <w:gridCol w:w="9360"/>
      </w:tblGrid>
      <w:tr>
        <w:trPr/>
        <w:tc>
          <w:tcPr>
            <w:tcW w:w="9360" w:type="dxa"/>
            <w:tcBorders>
              <w:start w:val="single" w:sz="24" w:space="0" w:color="E0A800"/>
            </w:tcBorders>
            <w:shd w:fill="FFF7E6" w:val="clear"/>
          </w:tcPr>
          <w:p>
            <w:pPr>
              <w:pStyle w:val="Normal"/>
              <w:spacing w:before="0" w:after="40"/>
              <w:rPr/>
            </w:pPr>
            <w:r>
              <w:rPr>
                <w:rFonts w:eastAsia="Calibri" w:cs="Calibri"/>
                <w:b/>
                <w:bCs/>
                <w:color w:val="1F3864"/>
                <w:sz w:val="19"/>
                <w:szCs w:val="19"/>
              </w:rPr>
              <w:t>SIEM implementation note</w:t>
            </w:r>
          </w:p>
          <w:p>
            <w:pPr>
              <w:pStyle w:val="Normal"/>
              <w:rPr/>
            </w:pPr>
            <w:r>
              <w:rPr>
                <w:rFonts w:eastAsia="Calibri" w:cs="Calibri"/>
                <w:color w:val="262626"/>
                <w:sz w:val="19"/>
                <w:szCs w:val="19"/>
              </w:rPr>
              <w:t>The correlation rules R-01–R-05 were specified against the IBM QRadar design in the architecture and implemented for the live demo in the team's SIEM (Wazuh), preserving the same conditions and actions. Falco custom rules forward in CEF for correlation.</w:t>
            </w:r>
          </w:p>
        </w:tc>
      </w:tr>
    </w:tbl>
    <w:p>
      <w:pPr>
        <w:pStyle w:val="Heading2"/>
        <w:spacing w:before="220" w:after="100"/>
        <w:rPr/>
      </w:pPr>
      <w:bookmarkStart w:id="35" w:name="__RefHeading___Toc9994_3694443629"/>
      <w:bookmarkEnd w:id="35"/>
      <w:r>
        <w:rPr>
          <w:rFonts w:eastAsia="Calibri" w:cs="Calibri" w:ascii="Calibri" w:hAnsi="Calibri"/>
          <w:b/>
          <w:bCs/>
          <w:color w:val="2E5496"/>
          <w:sz w:val="25"/>
          <w:szCs w:val="25"/>
        </w:rPr>
        <w:t>10.2 Falco Runtime Rules</w:t>
      </w:r>
    </w:p>
    <w:p>
      <w:pPr>
        <w:pStyle w:val="ListParagraph"/>
        <w:numPr>
          <w:ilvl w:val="0"/>
          <w:numId w:val="1"/>
        </w:numPr>
        <w:spacing w:lineRule="auto" w:line="271" w:before="0" w:after="60"/>
        <w:rPr/>
      </w:pPr>
      <w:r>
        <w:rPr>
          <w:rFonts w:eastAsia="Calibri" w:cs="Calibri"/>
          <w:sz w:val="21"/>
          <w:szCs w:val="21"/>
        </w:rPr>
        <w:t>Container shell spawned in a production container (CRITICAL).</w:t>
      </w:r>
    </w:p>
    <w:p>
      <w:pPr>
        <w:pStyle w:val="ListParagraph"/>
        <w:numPr>
          <w:ilvl w:val="0"/>
          <w:numId w:val="1"/>
        </w:numPr>
        <w:spacing w:lineRule="auto" w:line="271" w:before="0" w:after="60"/>
        <w:rPr/>
      </w:pPr>
      <w:r>
        <w:rPr>
          <w:rFonts w:eastAsia="Calibri" w:cs="Calibri"/>
          <w:sz w:val="21"/>
          <w:szCs w:val="21"/>
        </w:rPr>
        <w:t>Unauthorised file write to /etc (filesystem tampering).</w:t>
      </w:r>
    </w:p>
    <w:p>
      <w:pPr>
        <w:pStyle w:val="ListParagraph"/>
        <w:numPr>
          <w:ilvl w:val="0"/>
          <w:numId w:val="1"/>
        </w:numPr>
        <w:spacing w:lineRule="auto" w:line="271" w:before="0" w:after="60"/>
        <w:rPr/>
      </w:pPr>
      <w:r>
        <w:rPr>
          <w:rFonts w:eastAsia="Calibri" w:cs="Calibri"/>
          <w:sz w:val="21"/>
          <w:szCs w:val="21"/>
        </w:rPr>
        <w:t>Privilege-escalation attempt (setuid to UID 0).</w:t>
      </w:r>
    </w:p>
    <w:p>
      <w:pPr>
        <w:pStyle w:val="ListParagraph"/>
        <w:numPr>
          <w:ilvl w:val="0"/>
          <w:numId w:val="1"/>
        </w:numPr>
        <w:spacing w:lineRule="auto" w:line="271" w:before="0" w:after="60"/>
        <w:rPr/>
      </w:pPr>
      <w:r>
        <w:rPr>
          <w:rFonts w:eastAsia="Calibri" w:cs="Calibri"/>
          <w:sz w:val="21"/>
          <w:szCs w:val="21"/>
        </w:rPr>
        <w:t>Sensitive-file access (/etc/shadow, /etc/passwd, private keys).</w:t>
      </w:r>
    </w:p>
    <w:p>
      <w:pPr>
        <w:pStyle w:val="ListParagraph"/>
        <w:numPr>
          <w:ilvl w:val="0"/>
          <w:numId w:val="1"/>
        </w:numPr>
        <w:spacing w:lineRule="auto" w:line="271" w:before="0" w:after="60"/>
        <w:rPr>
          <w:rFonts w:ascii="Calibri" w:hAnsi="Calibri" w:eastAsia="Calibri" w:cs="Calibri"/>
          <w:sz w:val="21"/>
          <w:szCs w:val="21"/>
        </w:rPr>
      </w:pPr>
      <w:r>
        <w:rPr>
          <w:rFonts w:eastAsia="Calibri" w:cs="Calibri"/>
          <w:sz w:val="21"/>
          <w:szCs w:val="21"/>
        </w:rPr>
        <w:t>Crypto-mining indicators (known binaries / network patterns).</w:t>
      </w:r>
    </w:p>
    <w:p>
      <w:pPr>
        <w:pStyle w:val="ListParagraph"/>
        <w:numPr>
          <w:ilvl w:val="0"/>
          <w:numId w:val="0"/>
        </w:numPr>
        <w:spacing w:lineRule="auto" w:line="271" w:before="0" w:after="60"/>
        <w:ind w:hanging="0" w:start="460"/>
        <w:rPr>
          <w:rFonts w:ascii="Calibri" w:hAnsi="Calibri" w:eastAsia="Calibri" w:cs="Calibri"/>
          <w:sz w:val="21"/>
          <w:szCs w:val="21"/>
        </w:rPr>
      </w:pPr>
      <w:r>
        <w:rPr>
          <w:rFonts w:eastAsia="Calibri" w:cs="Calibri"/>
          <w:sz w:val="21"/>
          <w:szCs w:val="21"/>
        </w:rPr>
        <w:drawing>
          <wp:inline distT="0" distB="0" distL="0" distR="0">
            <wp:extent cx="6400800" cy="2616200"/>
            <wp:effectExtent l="0" t="0" r="0" b="0"/>
            <wp:docPr id="1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9"/>
                    <pic:cNvPicPr>
                      <a:picLocks noChangeAspect="1" noChangeArrowheads="1"/>
                    </pic:cNvPicPr>
                  </pic:nvPicPr>
                  <pic:blipFill>
                    <a:blip r:embed="rId18"/>
                    <a:stretch>
                      <a:fillRect/>
                    </a:stretch>
                  </pic:blipFill>
                  <pic:spPr bwMode="auto">
                    <a:xfrm>
                      <a:off x="0" y="0"/>
                      <a:ext cx="6400800" cy="2616200"/>
                    </a:xfrm>
                    <a:prstGeom prst="rect">
                      <a:avLst/>
                    </a:prstGeom>
                    <a:noFill/>
                  </pic:spPr>
                </pic:pic>
              </a:graphicData>
            </a:graphic>
          </wp:inline>
        </w:drawing>
      </w:r>
    </w:p>
    <w:p>
      <w:pPr>
        <w:pStyle w:val="ListParagraph"/>
        <w:numPr>
          <w:ilvl w:val="0"/>
          <w:numId w:val="0"/>
        </w:numPr>
        <w:spacing w:lineRule="auto" w:line="271" w:before="0" w:after="60"/>
        <w:ind w:hanging="0" w:start="460"/>
        <w:rPr>
          <w:rFonts w:ascii="Calibri" w:hAnsi="Calibri" w:eastAsia="Calibri" w:cs="Calibri"/>
          <w:sz w:val="21"/>
          <w:szCs w:val="21"/>
        </w:rPr>
      </w:pPr>
      <w:r>
        <w:rPr>
          <w:rFonts w:eastAsia="Calibri" w:cs="Calibri"/>
          <w:sz w:val="21"/>
          <w:szCs w:val="21"/>
        </w:rPr>
        <w:drawing>
          <wp:inline distT="0" distB="0" distL="0" distR="0">
            <wp:extent cx="6400800" cy="2755265"/>
            <wp:effectExtent l="0" t="0" r="0" b="0"/>
            <wp:docPr id="1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7"/>
                    <pic:cNvPicPr>
                      <a:picLocks noChangeAspect="1" noChangeArrowheads="1"/>
                    </pic:cNvPicPr>
                  </pic:nvPicPr>
                  <pic:blipFill>
                    <a:blip r:embed="rId19"/>
                    <a:stretch>
                      <a:fillRect/>
                    </a:stretch>
                  </pic:blipFill>
                  <pic:spPr bwMode="auto">
                    <a:xfrm>
                      <a:off x="0" y="0"/>
                      <a:ext cx="6400800" cy="2755265"/>
                    </a:xfrm>
                    <a:prstGeom prst="rect">
                      <a:avLst/>
                    </a:prstGeom>
                    <a:noFill/>
                  </pic:spPr>
                </pic:pic>
              </a:graphicData>
            </a:graphic>
          </wp:inline>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12. Monitoring evidence — Grafana 'Security Overview' dashboard and SIEM offenses list</w:t>
      </w:r>
    </w:p>
    <w:p>
      <w:pPr>
        <w:pStyle w:val="Normal"/>
        <w:spacing w:before="60" w:after="200"/>
        <w:jc w:val="start"/>
        <w:rPr>
          <w:rFonts w:ascii="Calibri" w:hAnsi="Calibri" w:eastAsia="Calibri" w:cs="Calibri"/>
          <w:b/>
          <w:bCs/>
          <w:color w:val="1F3864"/>
          <w:sz w:val="30"/>
          <w:szCs w:val="30"/>
        </w:rPr>
      </w:pPr>
      <w:r>
        <w:rPr>
          <w:rFonts w:eastAsia="Calibri" w:cs="Calibri"/>
          <w:b/>
          <w:bCs/>
          <w:color w:val="1F3864"/>
          <w:sz w:val="30"/>
          <w:szCs w:val="30"/>
        </w:rPr>
        <w:t>11. Red Team / Blue Team Defense Summary</w:t>
      </w:r>
    </w:p>
    <w:p>
      <w:pPr>
        <w:pStyle w:val="Normal"/>
        <w:spacing w:lineRule="auto" w:line="276" w:before="0" w:after="120"/>
        <w:rPr/>
      </w:pPr>
      <w:r>
        <w:rPr>
          <w:rFonts w:eastAsia="Calibri" w:cs="Calibri"/>
          <w:sz w:val="21"/>
          <w:szCs w:val="21"/>
        </w:rPr>
        <w:t>The live defense exercise validates the full detect-and-respond chain end to end. Four attack scenarios were executed against locally running services (Kali Linux attacker), each mapped to MITRE ATT&amp;CK with an expected detection. The goal is not merely to attack, but to prove that each attack is detected and answered.</w:t>
      </w:r>
    </w:p>
    <w:p>
      <w:pPr>
        <w:pStyle w:val="Heading2"/>
        <w:spacing w:before="220" w:after="100"/>
        <w:rPr/>
      </w:pPr>
      <w:bookmarkStart w:id="36" w:name="__RefHeading___Toc9998_3694443629"/>
      <w:bookmarkEnd w:id="36"/>
      <w:r>
        <w:rPr>
          <w:rFonts w:eastAsia="Calibri" w:cs="Calibri" w:ascii="Calibri" w:hAnsi="Calibri"/>
          <w:b/>
          <w:bCs/>
          <w:color w:val="2E5496"/>
          <w:sz w:val="25"/>
          <w:szCs w:val="25"/>
        </w:rPr>
        <w:t>11.1 Attack Scenarios</w:t>
      </w:r>
    </w:p>
    <w:tbl>
      <w:tblPr>
        <w:tblW w:w="9360" w:type="dxa"/>
        <w:jc w:val="start"/>
        <w:tblInd w:w="0" w:type="dxa"/>
        <w:tblLayout w:type="fixed"/>
        <w:tblCellMar>
          <w:top w:w="70" w:type="dxa"/>
          <w:start w:w="110" w:type="dxa"/>
          <w:bottom w:w="70" w:type="dxa"/>
          <w:end w:w="110" w:type="dxa"/>
        </w:tblCellMar>
      </w:tblPr>
      <w:tblGrid>
        <w:gridCol w:w="2100"/>
        <w:gridCol w:w="1499"/>
        <w:gridCol w:w="3000"/>
        <w:gridCol w:w="2761"/>
      </w:tblGrid>
      <w:tr>
        <w:trPr>
          <w:tblHeader w:val="true"/>
        </w:trPr>
        <w:tc>
          <w:tcPr>
            <w:tcW w:w="21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Scenario</w:t>
            </w:r>
          </w:p>
        </w:tc>
        <w:tc>
          <w:tcPr>
            <w:tcW w:w="1499"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MITRE</w:t>
            </w:r>
          </w:p>
        </w:tc>
        <w:tc>
          <w:tcPr>
            <w:tcW w:w="3000"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Action</w:t>
            </w:r>
          </w:p>
        </w:tc>
        <w:tc>
          <w:tcPr>
            <w:tcW w:w="2761" w:type="dxa"/>
            <w:tcBorders>
              <w:top w:val="single" w:sz="2" w:space="0" w:color="AEB9CC"/>
              <w:start w:val="single" w:sz="2" w:space="0" w:color="AEB9CC"/>
              <w:bottom w:val="single" w:sz="2" w:space="0" w:color="AEB9CC"/>
              <w:end w:val="single" w:sz="2" w:space="0" w:color="AEB9CC"/>
            </w:tcBorders>
            <w:shd w:fill="2E5496" w:val="clear"/>
            <w:vAlign w:val="center"/>
          </w:tcPr>
          <w:p>
            <w:pPr>
              <w:pStyle w:val="Normal"/>
              <w:rPr/>
            </w:pPr>
            <w:r>
              <w:rPr>
                <w:rFonts w:eastAsia="Calibri" w:cs="Calibri"/>
                <w:b/>
                <w:bCs/>
                <w:color w:val="FFFFFF"/>
                <w:sz w:val="19"/>
                <w:szCs w:val="19"/>
              </w:rPr>
              <w:t>Expected Detection</w:t>
            </w:r>
          </w:p>
        </w:tc>
      </w:tr>
      <w:tr>
        <w:trPr/>
        <w:tc>
          <w:tcPr>
            <w:tcW w:w="2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JWT token forgery</w:t>
            </w:r>
          </w:p>
        </w:tc>
        <w:tc>
          <w:tcPr>
            <w:tcW w:w="14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T1078 / T1134</w:t>
            </w:r>
          </w:p>
        </w:tc>
        <w:tc>
          <w:tcPr>
            <w:tcW w:w="3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Capture JWT; alg:none; escalate to admin</w:t>
            </w:r>
          </w:p>
        </w:tc>
        <w:tc>
          <w:tcPr>
            <w:tcW w:w="27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Auth rejects alg:none; SIEM R-05 fires</w:t>
            </w:r>
          </w:p>
        </w:tc>
      </w:tr>
      <w:tr>
        <w:trPr/>
        <w:tc>
          <w:tcPr>
            <w:tcW w:w="2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Container escape</w:t>
            </w:r>
          </w:p>
        </w:tc>
        <w:tc>
          <w:tcPr>
            <w:tcW w:w="14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T1611</w:t>
            </w:r>
          </w:p>
        </w:tc>
        <w:tc>
          <w:tcPr>
            <w:tcW w:w="3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Mount host FS; chroot; nsenter</w:t>
            </w:r>
          </w:p>
        </w:tc>
        <w:tc>
          <w:tcPr>
            <w:tcW w:w="27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Policy blocks privileged pod; Falco CRITICAL</w:t>
            </w:r>
          </w:p>
        </w:tc>
      </w:tr>
      <w:tr>
        <w:trPr/>
        <w:tc>
          <w:tcPr>
            <w:tcW w:w="21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SQL injection</w:t>
            </w:r>
          </w:p>
        </w:tc>
        <w:tc>
          <w:tcPr>
            <w:tcW w:w="1499"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T1190</w:t>
            </w:r>
          </w:p>
        </w:tc>
        <w:tc>
          <w:tcPr>
            <w:tcW w:w="3000"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Inject on transaction/login parameters</w:t>
            </w:r>
          </w:p>
        </w:tc>
        <w:tc>
          <w:tcPr>
            <w:tcW w:w="2761" w:type="dxa"/>
            <w:tcBorders>
              <w:top w:val="single" w:sz="2" w:space="0" w:color="AEB9CC"/>
              <w:start w:val="single" w:sz="2" w:space="0" w:color="AEB9CC"/>
              <w:bottom w:val="single" w:sz="2" w:space="0" w:color="AEB9CC"/>
              <w:end w:val="single" w:sz="2" w:space="0" w:color="AEB9CC"/>
            </w:tcBorders>
            <w:shd w:fill="EAF0FA" w:val="clear"/>
            <w:tcMar>
              <w:top w:w="55" w:type="dxa"/>
              <w:bottom w:w="55" w:type="dxa"/>
            </w:tcMar>
            <w:vAlign w:val="center"/>
          </w:tcPr>
          <w:p>
            <w:pPr>
              <w:pStyle w:val="Normal"/>
              <w:rPr/>
            </w:pPr>
            <w:r>
              <w:rPr>
                <w:rFonts w:eastAsia="Calibri" w:cs="Calibri"/>
                <w:b w:val="false"/>
                <w:bCs w:val="false"/>
                <w:color w:val="1A1A1A"/>
                <w:sz w:val="18"/>
                <w:szCs w:val="18"/>
              </w:rPr>
              <w:t>Input validation rejects; SAST had flagged</w:t>
            </w:r>
          </w:p>
        </w:tc>
      </w:tr>
      <w:tr>
        <w:trPr/>
        <w:tc>
          <w:tcPr>
            <w:tcW w:w="21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Kafka ACL bypass</w:t>
            </w:r>
          </w:p>
        </w:tc>
        <w:tc>
          <w:tcPr>
            <w:tcW w:w="1499"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T1565</w:t>
            </w:r>
          </w:p>
        </w:tc>
        <w:tc>
          <w:tcPr>
            <w:tcW w:w="3000"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Produce to restricted topic; replay events</w:t>
            </w:r>
          </w:p>
        </w:tc>
        <w:tc>
          <w:tcPr>
            <w:tcW w:w="2761" w:type="dxa"/>
            <w:tcBorders>
              <w:top w:val="single" w:sz="2" w:space="0" w:color="AEB9CC"/>
              <w:start w:val="single" w:sz="2" w:space="0" w:color="AEB9CC"/>
              <w:bottom w:val="single" w:sz="2" w:space="0" w:color="AEB9CC"/>
              <w:end w:val="single" w:sz="2" w:space="0" w:color="AEB9CC"/>
            </w:tcBorders>
            <w:shd w:fill="FFFFFF" w:val="clear"/>
            <w:tcMar>
              <w:top w:w="55" w:type="dxa"/>
              <w:bottom w:w="55" w:type="dxa"/>
            </w:tcMar>
            <w:vAlign w:val="center"/>
          </w:tcPr>
          <w:p>
            <w:pPr>
              <w:pStyle w:val="Normal"/>
              <w:rPr/>
            </w:pPr>
            <w:r>
              <w:rPr>
                <w:rFonts w:eastAsia="Calibri" w:cs="Calibri"/>
                <w:b w:val="false"/>
                <w:bCs w:val="false"/>
                <w:color w:val="1A1A1A"/>
                <w:sz w:val="18"/>
                <w:szCs w:val="18"/>
              </w:rPr>
              <w:t>SASL rejects; HMAC fails; SIEM R-04 fires</w:t>
            </w:r>
          </w:p>
        </w:tc>
      </w:tr>
    </w:tbl>
    <w:p>
      <w:pPr>
        <w:pStyle w:val="Heading2"/>
        <w:spacing w:before="220" w:after="100"/>
        <w:rPr>
          <w:rFonts w:ascii="Calibri" w:hAnsi="Calibri" w:eastAsia="Calibri" w:cs="Calibri"/>
          <w:b/>
          <w:bCs/>
          <w:color w:val="2E5496"/>
          <w:sz w:val="25"/>
          <w:szCs w:val="25"/>
        </w:rPr>
      </w:pPr>
      <w:bookmarkStart w:id="37" w:name="__RefHeading___Toc10000_3694443629"/>
      <w:bookmarkEnd w:id="37"/>
      <w:r>
        <w:rPr>
          <w:rFonts w:eastAsia="Calibri" w:cs="Calibri" w:ascii="Calibri" w:hAnsi="Calibri"/>
          <w:b/>
          <w:bCs/>
          <w:color w:val="2E5496"/>
          <w:sz w:val="25"/>
          <w:szCs w:val="25"/>
        </w:rPr>
        <w:t>11.2 Blue Team Runbook (NIST SP 800-61)</w:t>
      </w:r>
    </w:p>
    <w:p>
      <w:pPr>
        <w:pStyle w:val="Heading2"/>
        <w:spacing w:before="220" w:after="100"/>
        <w:rPr>
          <w:rFonts w:ascii="Calibri" w:hAnsi="Calibri" w:eastAsia="Calibri" w:cs="Calibri"/>
          <w:b/>
          <w:bCs/>
          <w:color w:val="2E5496"/>
          <w:sz w:val="25"/>
          <w:szCs w:val="25"/>
        </w:rPr>
      </w:pPr>
      <w:r>
        <w:rPr>
          <w:rFonts w:eastAsia="Calibri" w:cs="Calibri" w:ascii="Calibri" w:hAnsi="Calibri"/>
          <w:b/>
          <w:bCs/>
          <w:color w:val="2E5496"/>
          <w:sz w:val="25"/>
          <w:szCs w:val="25"/>
        </w:rPr>
        <w:drawing>
          <wp:anchor distT="0" distB="0" distL="0" distR="0" simplePos="0" relativeHeight="19" behindDoc="0" locked="0" layoutInCell="0" allowOverlap="1">
            <wp:simplePos x="0" y="0"/>
            <wp:positionH relativeFrom="column">
              <wp:posOffset>0</wp:posOffset>
            </wp:positionH>
            <wp:positionV relativeFrom="paragraph">
              <wp:posOffset>635</wp:posOffset>
            </wp:positionV>
            <wp:extent cx="5943600" cy="2103120"/>
            <wp:effectExtent l="0" t="0" r="0" b="0"/>
            <wp:wrapSquare wrapText="largest"/>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0"/>
                    <a:stretch>
                      <a:fillRect/>
                    </a:stretch>
                  </pic:blipFill>
                  <pic:spPr bwMode="auto">
                    <a:xfrm>
                      <a:off x="0" y="0"/>
                      <a:ext cx="5943600" cy="2103120"/>
                    </a:xfrm>
                    <a:prstGeom prst="rect">
                      <a:avLst/>
                    </a:prstGeom>
                    <a:noFill/>
                  </pic:spPr>
                </pic:pic>
              </a:graphicData>
            </a:graphic>
          </wp:anchor>
        </w:drawing>
      </w:r>
    </w:p>
    <w:p>
      <w:pPr>
        <w:pStyle w:val="Heading2"/>
        <w:spacing w:before="220" w:after="100"/>
        <w:rPr>
          <w:rFonts w:ascii="Calibri" w:hAnsi="Calibri" w:eastAsia="Calibri" w:cs="Calibri"/>
          <w:b/>
          <w:bCs/>
          <w:color w:val="2E5496"/>
          <w:sz w:val="25"/>
          <w:szCs w:val="25"/>
        </w:rPr>
      </w:pPr>
      <w:r>
        <w:rPr>
          <w:rFonts w:eastAsia="Calibri" w:cs="Calibri" w:ascii="Calibri" w:hAnsi="Calibri"/>
          <w:b/>
          <w:bCs/>
          <w:color w:val="2E5496"/>
          <w:sz w:val="25"/>
          <w:szCs w:val="25"/>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1911985"/>
            <wp:effectExtent l="0" t="0" r="0" b="0"/>
            <wp:wrapSquare wrapText="largest"/>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1"/>
                    <a:stretch>
                      <a:fillRect/>
                    </a:stretch>
                  </pic:blipFill>
                  <pic:spPr bwMode="auto">
                    <a:xfrm>
                      <a:off x="0" y="0"/>
                      <a:ext cx="5943600" cy="1911985"/>
                    </a:xfrm>
                    <a:prstGeom prst="rect">
                      <a:avLst/>
                    </a:prstGeom>
                    <a:noFill/>
                  </pic:spPr>
                </pic:pic>
              </a:graphicData>
            </a:graphic>
          </wp:anchor>
        </w:drawing>
      </w:r>
    </w:p>
    <w:p>
      <w:pPr>
        <w:pStyle w:val="Heading2"/>
        <w:spacing w:before="220" w:after="100"/>
        <w:rPr>
          <w:rFonts w:ascii="Calibri" w:hAnsi="Calibri" w:eastAsia="Calibri" w:cs="Calibri"/>
          <w:b/>
          <w:bCs/>
          <w:color w:val="2E5496"/>
          <w:sz w:val="25"/>
          <w:szCs w:val="25"/>
        </w:rPr>
      </w:pPr>
      <w:r>
        <w:rPr>
          <w:rFonts w:eastAsia="Calibri" w:cs="Calibri" w:ascii="Calibri" w:hAnsi="Calibri"/>
          <w:b/>
          <w:bCs/>
          <w:color w:val="2E5496"/>
          <w:sz w:val="25"/>
          <w:szCs w:val="25"/>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1686560"/>
            <wp:effectExtent l="0" t="0" r="0" b="0"/>
            <wp:wrapSquare wrapText="largest"/>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2"/>
                    <a:stretch>
                      <a:fillRect/>
                    </a:stretch>
                  </pic:blipFill>
                  <pic:spPr bwMode="auto">
                    <a:xfrm>
                      <a:off x="0" y="0"/>
                      <a:ext cx="5943600" cy="1686560"/>
                    </a:xfrm>
                    <a:prstGeom prst="rect">
                      <a:avLst/>
                    </a:prstGeom>
                    <a:noFill/>
                  </pic:spPr>
                </pic:pic>
              </a:graphicData>
            </a:graphic>
          </wp:anchor>
        </w:drawing>
      </w:r>
    </w:p>
    <w:p>
      <w:pPr>
        <w:pStyle w:val="Heading2"/>
        <w:spacing w:before="220" w:after="100"/>
        <w:rPr>
          <w:rFonts w:ascii="Calibri" w:hAnsi="Calibri" w:eastAsia="Calibri" w:cs="Calibri"/>
          <w:b/>
          <w:bCs/>
          <w:color w:val="2E5496"/>
          <w:sz w:val="25"/>
          <w:szCs w:val="25"/>
        </w:rPr>
      </w:pPr>
      <w:r>
        <w:rPr>
          <w:rFonts w:eastAsia="Calibri" w:cs="Calibri" w:ascii="Calibri" w:hAnsi="Calibri"/>
          <w:b/>
          <w:bCs/>
          <w:color w:val="2E5496"/>
          <w:sz w:val="25"/>
          <w:szCs w:val="25"/>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1983105"/>
            <wp:effectExtent l="0" t="0" r="0" b="0"/>
            <wp:wrapSquare wrapText="largest"/>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23"/>
                    <a:stretch>
                      <a:fillRect/>
                    </a:stretch>
                  </pic:blipFill>
                  <pic:spPr bwMode="auto">
                    <a:xfrm>
                      <a:off x="0" y="0"/>
                      <a:ext cx="5943600" cy="1983105"/>
                    </a:xfrm>
                    <a:prstGeom prst="rect">
                      <a:avLst/>
                    </a:prstGeom>
                    <a:noFill/>
                  </pic:spPr>
                </pic:pic>
              </a:graphicData>
            </a:graphic>
          </wp:anchor>
        </w:drawing>
      </w:r>
    </w:p>
    <w:p>
      <w:pPr>
        <w:pStyle w:val="Heading2"/>
        <w:spacing w:before="220" w:after="100"/>
        <w:rPr>
          <w:rFonts w:ascii="Calibri" w:hAnsi="Calibri" w:eastAsia="Calibri" w:cs="Calibri"/>
          <w:b/>
          <w:bCs/>
          <w:color w:val="2E5496"/>
          <w:sz w:val="25"/>
          <w:szCs w:val="25"/>
        </w:rPr>
      </w:pPr>
      <w:r>
        <w:rPr>
          <w:rFonts w:eastAsia="Calibri" w:cs="Calibri" w:ascii="Calibri" w:hAnsi="Calibri"/>
          <w:b/>
          <w:bCs/>
          <w:color w:val="2E5496"/>
          <w:sz w:val="25"/>
          <w:szCs w:val="25"/>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43600" cy="2181225"/>
            <wp:effectExtent l="0" t="0" r="0" b="0"/>
            <wp:wrapSquare wrapText="largest"/>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24"/>
                    <a:stretch>
                      <a:fillRect/>
                    </a:stretch>
                  </pic:blipFill>
                  <pic:spPr bwMode="auto">
                    <a:xfrm>
                      <a:off x="0" y="0"/>
                      <a:ext cx="5943600" cy="2181225"/>
                    </a:xfrm>
                    <a:prstGeom prst="rect">
                      <a:avLst/>
                    </a:prstGeom>
                    <a:noFill/>
                  </pic:spPr>
                </pic:pic>
              </a:graphicData>
            </a:graphic>
          </wp:anchor>
        </w:drawing>
      </w:r>
    </w:p>
    <w:p>
      <w:pPr>
        <w:pStyle w:val="Normal"/>
        <w:spacing w:before="60" w:after="200"/>
        <w:jc w:val="center"/>
        <w:rPr>
          <w:rFonts w:ascii="Calibri" w:hAnsi="Calibri" w:eastAsia="Calibri" w:cs="Calibri"/>
          <w:i/>
          <w:iCs/>
          <w:color w:val="595959"/>
          <w:sz w:val="17"/>
          <w:szCs w:val="17"/>
        </w:rPr>
      </w:pPr>
      <w:r>
        <w:rPr>
          <w:rFonts w:eastAsia="Calibri" w:cs="Calibri"/>
          <w:i/>
          <w:iCs/>
          <w:color w:val="595959"/>
          <w:sz w:val="17"/>
          <w:szCs w:val="17"/>
        </w:rPr>
        <w:t>Figure 13. Live defense evidence — attack firing (e.g. jwt_tool / sqlmap) beside the SIEM offense and Blue-Team response</w:t>
      </w:r>
    </w:p>
    <w:p>
      <w:pPr>
        <w:pStyle w:val="Normal"/>
        <w:spacing w:before="60" w:after="200"/>
        <w:jc w:val="start"/>
        <w:rPr>
          <w:rFonts w:ascii="Calibri" w:hAnsi="Calibri" w:eastAsia="Calibri" w:cs="Calibri"/>
          <w:b/>
          <w:bCs/>
          <w:color w:val="1F3864"/>
          <w:sz w:val="30"/>
          <w:szCs w:val="30"/>
        </w:rPr>
      </w:pPr>
      <w:r>
        <w:rPr>
          <w:rFonts w:eastAsia="Calibri" w:cs="Calibri"/>
          <w:b/>
          <w:bCs/>
          <w:color w:val="1F3864"/>
          <w:sz w:val="30"/>
          <w:szCs w:val="30"/>
        </w:rPr>
        <w:t>12. Residual Risk &amp; Recommendations</w:t>
      </w:r>
    </w:p>
    <w:p>
      <w:pPr>
        <w:pStyle w:val="Normal"/>
        <w:spacing w:lineRule="auto" w:line="276" w:before="0" w:after="120"/>
        <w:rPr/>
      </w:pPr>
      <w:r>
        <w:rPr>
          <w:rFonts w:eastAsia="Calibri" w:cs="Calibri"/>
          <w:sz w:val="21"/>
          <w:szCs w:val="21"/>
        </w:rPr>
        <w:t>The platform demonstrates a strong, defensible security posture. The recommendations below are ordered for impact and effort and would move every assurance domain to a clean state.</w:t>
      </w:r>
    </w:p>
    <w:p>
      <w:pPr>
        <w:pStyle w:val="Heading2"/>
        <w:spacing w:before="220" w:after="100"/>
        <w:rPr/>
      </w:pPr>
      <w:bookmarkStart w:id="38" w:name="__RefHeading___Toc10004_3694443629"/>
      <w:bookmarkEnd w:id="38"/>
      <w:r>
        <w:rPr>
          <w:rFonts w:eastAsia="Calibri" w:cs="Calibri" w:ascii="Calibri" w:hAnsi="Calibri"/>
          <w:b/>
          <w:bCs/>
          <w:color w:val="2E5496"/>
          <w:sz w:val="25"/>
          <w:szCs w:val="25"/>
        </w:rPr>
        <w:t>12.1 Immediate (before/at demo)</w:t>
      </w:r>
    </w:p>
    <w:p>
      <w:pPr>
        <w:pStyle w:val="ListParagraph"/>
        <w:numPr>
          <w:ilvl w:val="0"/>
          <w:numId w:val="1"/>
        </w:numPr>
        <w:spacing w:lineRule="auto" w:line="271" w:before="0" w:after="60"/>
        <w:rPr/>
      </w:pPr>
      <w:r>
        <w:rPr>
          <w:rFonts w:eastAsia="Calibri" w:cs="Calibri"/>
          <w:sz w:val="21"/>
          <w:szCs w:val="21"/>
        </w:rPr>
        <w:t>Remove private.pem from images; inject the signing key at runtime via Vault/secret and rotate it (closes F-1).</w:t>
      </w:r>
    </w:p>
    <w:p>
      <w:pPr>
        <w:pStyle w:val="ListParagraph"/>
        <w:numPr>
          <w:ilvl w:val="0"/>
          <w:numId w:val="1"/>
        </w:numPr>
        <w:spacing w:lineRule="auto" w:line="271" w:before="0" w:after="60"/>
        <w:rPr/>
      </w:pPr>
      <w:r>
        <w:rPr>
          <w:rFonts w:eastAsia="Calibri" w:cs="Calibri"/>
          <w:sz w:val="21"/>
          <w:szCs w:val="21"/>
        </w:rPr>
        <w:t>Enforce login rate limiting end to end — return 429 with Retry-After and verify with the PT-05 test (closes F-2).</w:t>
      </w:r>
    </w:p>
    <w:p>
      <w:pPr>
        <w:pStyle w:val="ListParagraph"/>
        <w:numPr>
          <w:ilvl w:val="0"/>
          <w:numId w:val="1"/>
        </w:numPr>
        <w:spacing w:lineRule="auto" w:line="271" w:before="0" w:after="60"/>
        <w:rPr/>
      </w:pPr>
      <w:r>
        <w:rPr>
          <w:rFonts w:eastAsia="Calibri" w:cs="Calibri"/>
          <w:sz w:val="21"/>
          <w:szCs w:val="21"/>
        </w:rPr>
        <w:t>Add CSP, X-Frame-Options, HSTS, and X-Content-Type-Options headers at the gateway; restrict CORS (closes F-4/F-5).</w:t>
      </w:r>
    </w:p>
    <w:p>
      <w:pPr>
        <w:pStyle w:val="Heading2"/>
        <w:spacing w:before="220" w:after="100"/>
        <w:rPr/>
      </w:pPr>
      <w:bookmarkStart w:id="39" w:name="__RefHeading___Toc10006_3694443629"/>
      <w:bookmarkEnd w:id="39"/>
      <w:r>
        <w:rPr>
          <w:rFonts w:eastAsia="Calibri" w:cs="Calibri" w:ascii="Calibri" w:hAnsi="Calibri"/>
          <w:b/>
          <w:bCs/>
          <w:color w:val="2E5496"/>
          <w:sz w:val="25"/>
          <w:szCs w:val="25"/>
        </w:rPr>
        <w:t>12.2 Short term</w:t>
      </w:r>
    </w:p>
    <w:p>
      <w:pPr>
        <w:pStyle w:val="ListParagraph"/>
        <w:numPr>
          <w:ilvl w:val="0"/>
          <w:numId w:val="1"/>
        </w:numPr>
        <w:spacing w:lineRule="auto" w:line="271" w:before="0" w:after="60"/>
        <w:rPr/>
      </w:pPr>
      <w:r>
        <w:rPr>
          <w:rFonts w:eastAsia="Calibri" w:cs="Calibri"/>
          <w:sz w:val="21"/>
          <w:szCs w:val="21"/>
        </w:rPr>
        <w:t>Rebuild images on a patched base / pin fixed package versions; re-scan to zero HIGH/CRITICAL (closes F-3).</w:t>
      </w:r>
    </w:p>
    <w:p>
      <w:pPr>
        <w:pStyle w:val="ListParagraph"/>
        <w:numPr>
          <w:ilvl w:val="0"/>
          <w:numId w:val="1"/>
        </w:numPr>
        <w:spacing w:lineRule="auto" w:line="271" w:before="0" w:after="60"/>
        <w:rPr/>
      </w:pPr>
      <w:r>
        <w:rPr>
          <w:rFonts w:eastAsia="Calibri" w:cs="Calibri"/>
          <w:sz w:val="21"/>
          <w:szCs w:val="21"/>
        </w:rPr>
        <w:t>Self-host Swagger UI assets or pin them with Subresource Integrity (closes F-6).</w:t>
      </w:r>
    </w:p>
    <w:p>
      <w:pPr>
        <w:pStyle w:val="ListParagraph"/>
        <w:numPr>
          <w:ilvl w:val="0"/>
          <w:numId w:val="1"/>
        </w:numPr>
        <w:spacing w:lineRule="auto" w:line="271" w:before="0" w:after="60"/>
        <w:rPr/>
      </w:pPr>
      <w:r>
        <w:rPr>
          <w:rFonts w:eastAsia="Calibri" w:cs="Calibri"/>
          <w:sz w:val="21"/>
          <w:szCs w:val="21"/>
        </w:rPr>
        <w:t>Promote Kafka TLS/ACLs, Redis TLS, and Vault dynamic secrets from stub to fully deployed in the cluster.</w:t>
      </w:r>
    </w:p>
    <w:p>
      <w:pPr>
        <w:pStyle w:val="Heading2"/>
        <w:spacing w:before="220" w:after="100"/>
        <w:rPr/>
      </w:pPr>
      <w:bookmarkStart w:id="40" w:name="__RefHeading___Toc10008_3694443629"/>
      <w:bookmarkEnd w:id="40"/>
      <w:r>
        <w:rPr>
          <w:rFonts w:eastAsia="Calibri" w:cs="Calibri" w:ascii="Calibri" w:hAnsi="Calibri"/>
          <w:b/>
          <w:bCs/>
          <w:color w:val="2E5496"/>
          <w:sz w:val="25"/>
          <w:szCs w:val="25"/>
        </w:rPr>
        <w:t>12.3 Strategic</w:t>
      </w:r>
    </w:p>
    <w:p>
      <w:pPr>
        <w:pStyle w:val="ListParagraph"/>
        <w:numPr>
          <w:ilvl w:val="0"/>
          <w:numId w:val="1"/>
        </w:numPr>
        <w:spacing w:lineRule="auto" w:line="271" w:before="0" w:after="60"/>
        <w:rPr/>
      </w:pPr>
      <w:r>
        <w:rPr>
          <w:rFonts w:eastAsia="Calibri" w:cs="Calibri"/>
          <w:sz w:val="21"/>
          <w:szCs w:val="21"/>
        </w:rPr>
        <w:t>Operationalise the ML anomaly model against live Prometheus metrics with automated SIEM enrichment.</w:t>
      </w:r>
    </w:p>
    <w:p>
      <w:pPr>
        <w:pStyle w:val="ListParagraph"/>
        <w:numPr>
          <w:ilvl w:val="0"/>
          <w:numId w:val="1"/>
        </w:numPr>
        <w:spacing w:lineRule="auto" w:line="271" w:before="0" w:after="60"/>
        <w:rPr/>
      </w:pPr>
      <w:r>
        <w:rPr>
          <w:rFonts w:eastAsia="Calibri" w:cs="Calibri"/>
          <w:sz w:val="21"/>
          <w:szCs w:val="21"/>
        </w:rPr>
        <w:t>Adopt continuous compliance — schedule kube-bench/Trivy CIS scans and publish results as CI artifacts.</w:t>
      </w:r>
    </w:p>
    <w:p>
      <w:pPr>
        <w:pStyle w:val="ListParagraph"/>
        <w:numPr>
          <w:ilvl w:val="0"/>
          <w:numId w:val="1"/>
        </w:numPr>
        <w:spacing w:lineRule="auto" w:line="271" w:before="0" w:after="60"/>
        <w:rPr>
          <w:rFonts w:ascii="Calibri" w:hAnsi="Calibri" w:eastAsia="Calibri" w:cs="Calibri"/>
          <w:sz w:val="21"/>
          <w:szCs w:val="21"/>
        </w:rPr>
      </w:pPr>
      <w:r>
        <w:rPr>
          <w:rFonts w:eastAsia="Calibri" w:cs="Calibri"/>
          <w:sz w:val="21"/>
          <w:szCs w:val="21"/>
        </w:rPr>
        <w:t>Mature the Recover function with tested rollback drills and documented recovery-time objectives.</w:t>
      </w:r>
    </w:p>
    <w:p>
      <w:pPr>
        <w:pStyle w:val="Heading1"/>
        <w:keepNext w:val="true"/>
        <w:widowControl/>
        <w:numPr>
          <w:ilvl w:val="0"/>
          <w:numId w:val="0"/>
        </w:numPr>
        <w:bidi w:val="0"/>
        <w:spacing w:before="320" w:after="140"/>
        <w:ind w:hanging="0" w:start="0" w:end="0"/>
        <w:jc w:val="start"/>
        <w:rPr/>
      </w:pPr>
      <w:r>
        <w:rPr/>
        <w:t>13. Conclusion</w:t>
      </w:r>
    </w:p>
    <w:p>
      <w:pPr>
        <w:pStyle w:val="Normal"/>
        <w:spacing w:lineRule="auto" w:line="276" w:before="0" w:after="120"/>
        <w:rPr/>
      </w:pPr>
      <w:r>
        <w:rPr>
          <w:rFonts w:eastAsia="Calibri" w:cs="Calibri"/>
          <w:sz w:val="21"/>
          <w:szCs w:val="21"/>
        </w:rPr>
        <w:t>SecureVault Bank applies security-by-design across the full SSDLC and stands up to scrutiny against eight industry security frameworks, anchored on the NIST Cybersecurity Framework. The application layer is demonstrably secure: static analysis is clean, dynamic testing found no High-risk vulnerabilities, and manual penetration testing confirmed that authentication, authorization, and injection defences function as designed. Detection and response are proven through a layered stack — Falco runtime rules, SIEM correlation (R-01–R-05), and a machine-learning anomaly model that detected every simulated attack — and are exercised live in a Red Team versus Blue Team defense.</w:t>
      </w:r>
    </w:p>
    <w:p>
      <w:pPr>
        <w:pStyle w:val="Normal"/>
        <w:spacing w:lineRule="auto" w:line="276" w:before="0" w:after="120"/>
        <w:rPr/>
      </w:pPr>
      <w:r>
        <w:rPr>
          <w:rFonts w:eastAsia="Calibri" w:cs="Calibri"/>
          <w:sz w:val="21"/>
          <w:szCs w:val="21"/>
        </w:rPr>
        <w:t>The residual risk is concentrated in deployment hardening — base-image patching, an embedded key artifact, missing HTTP security headers, and a rate-limiting enforcement gap — each well understood and accompanied by a concrete remediation. With those items addressed, the platform reaches a zero High/Critical posture across all assurance domains while retaining its strong architectural foundation. The project meets the objectives of CYC386 and provides a credible blueprint for a secure, cloud-native, Zero Trust banking platform.</w:t>
      </w:r>
    </w:p>
    <w:sectPr>
      <w:headerReference w:type="even" r:id="rId25"/>
      <w:headerReference w:type="default" r:id="rId26"/>
      <w:headerReference w:type="first" r:id="rId27"/>
      <w:footerReference w:type="even" r:id="rId28"/>
      <w:footerReference w:type="default" r:id="rId29"/>
      <w:footerReference w:type="first" r:id="rId3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6EA"/>
      </w:pBdr>
      <w:tabs>
        <w:tab w:val="clear" w:pos="720"/>
        <w:tab w:val="center" w:pos="4680" w:leader="none"/>
        <w:tab w:val="right" w:pos="9360" w:leader="none"/>
      </w:tabs>
      <w:rPr/>
    </w:pPr>
    <w:r>
      <w:rPr>
        <w:rFonts w:eastAsia="Calibri" w:cs="Calibri"/>
        <w:color w:val="8497B0"/>
        <w:sz w:val="16"/>
        <w:szCs w:val="16"/>
      </w:rPr>
      <w:t>SecureVault Bank</w:t>
      <w:tab/>
      <w:t xml:space="preserve">Page </w:t>
    </w:r>
    <w:r>
      <w:rPr>
        <w:rFonts w:eastAsia="Calibri" w:cs="Calibri"/>
        <w:i/>
        <w:iCs/>
        <w:color w:val="595959"/>
        <w:sz w:val="19"/>
        <w:szCs w:val="19"/>
      </w:rPr>
      <w:fldChar w:fldCharType="begin"/>
    </w:r>
    <w:r>
      <w:rPr>
        <w:rFonts w:eastAsia="Calibri" w:cs="Calibri"/>
        <w:i/>
        <w:iCs/>
        <w:color w:val="595959"/>
        <w:sz w:val="19"/>
        <w:szCs w:val="19"/>
      </w:rPr>
      <w:instrText xml:space="preserve"> PAGE </w:instrText>
    </w:r>
    <w:r>
      <w:rPr>
        <w:rFonts w:eastAsia="Calibri" w:cs="Calibri"/>
        <w:i/>
        <w:iCs/>
        <w:color w:val="595959"/>
        <w:sz w:val="19"/>
        <w:szCs w:val="19"/>
      </w:rPr>
      <w:fldChar w:fldCharType="separate"/>
    </w:r>
    <w:r>
      <w:rPr>
        <w:rFonts w:eastAsia="Calibri" w:cs="Calibri"/>
        <w:i/>
        <w:iCs/>
        <w:color w:val="595959"/>
        <w:sz w:val="19"/>
        <w:szCs w:val="19"/>
      </w:rPr>
      <w:t>29</w:t>
    </w:r>
    <w:r>
      <w:rPr>
        <w:rFonts w:eastAsia="Calibri" w:cs="Calibri"/>
        <w:i/>
        <w:iCs/>
        <w:color w:val="595959"/>
        <w:sz w:val="19"/>
        <w:szCs w:val="19"/>
      </w:rPr>
      <w:fldChar w:fldCharType="end"/>
    </w:r>
    <w:r>
      <w:rPr>
        <w:rFonts w:eastAsia="Calibri" w:cs="Calibri"/>
        <w:color w:val="8497B0"/>
        <w:sz w:val="16"/>
        <w:szCs w:val="16"/>
      </w:rPr>
      <w:t xml:space="preserve"> of </w:t>
    </w:r>
    <w:r>
      <w:rPr>
        <w:rFonts w:eastAsia="Calibri" w:cs="Calibri"/>
        <w:i/>
        <w:iCs/>
        <w:color w:val="595959"/>
        <w:sz w:val="19"/>
        <w:szCs w:val="19"/>
      </w:rPr>
      <w:fldChar w:fldCharType="begin"/>
    </w:r>
    <w:r>
      <w:rPr>
        <w:rFonts w:eastAsia="Calibri" w:cs="Calibri"/>
        <w:i/>
        <w:iCs/>
        <w:color w:val="595959"/>
        <w:sz w:val="19"/>
        <w:szCs w:val="19"/>
      </w:rPr>
      <w:instrText xml:space="preserve"> NUMPAGES </w:instrText>
    </w:r>
    <w:r>
      <w:rPr>
        <w:rFonts w:eastAsia="Calibri" w:cs="Calibri"/>
        <w:i/>
        <w:iCs/>
        <w:color w:val="595959"/>
        <w:sz w:val="19"/>
        <w:szCs w:val="19"/>
      </w:rPr>
      <w:fldChar w:fldCharType="separate"/>
    </w:r>
    <w:r>
      <w:rPr>
        <w:rFonts w:eastAsia="Calibri" w:cs="Calibri"/>
        <w:i/>
        <w:iCs/>
        <w:color w:val="595959"/>
        <w:sz w:val="19"/>
        <w:szCs w:val="19"/>
      </w:rPr>
      <w:t>29</w:t>
    </w:r>
    <w:r>
      <w:rPr>
        <w:rFonts w:eastAsia="Calibri" w:cs="Calibri"/>
        <w:i/>
        <w:iCs/>
        <w:color w:val="595959"/>
        <w:sz w:val="19"/>
        <w:szCs w:val="19"/>
      </w:rPr>
      <w:fldChar w:fldCharType="end"/>
    </w:r>
    <w:r>
      <w:rPr>
        <w:rFonts w:eastAsia="Calibri" w:cs="Calibri"/>
        <w:color w:val="8497B0"/>
        <w:sz w:val="16"/>
        <w:szCs w:val="16"/>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D6EA"/>
      </w:pBdr>
      <w:tabs>
        <w:tab w:val="clear" w:pos="720"/>
        <w:tab w:val="center" w:pos="4680" w:leader="none"/>
        <w:tab w:val="right" w:pos="9360" w:leader="none"/>
      </w:tabs>
      <w:rPr/>
    </w:pPr>
    <w:r>
      <w:rPr>
        <w:rFonts w:eastAsia="Calibri" w:cs="Calibri"/>
        <w:color w:val="8497B0"/>
        <w:sz w:val="16"/>
        <w:szCs w:val="16"/>
      </w:rPr>
      <w:t>SecureVault Bank</w:t>
      <w:tab/>
      <w:t xml:space="preserve">Page </w:t>
    </w:r>
    <w:r>
      <w:rPr>
        <w:rFonts w:eastAsia="Calibri" w:cs="Calibri"/>
        <w:i/>
        <w:iCs/>
        <w:color w:val="595959"/>
        <w:sz w:val="19"/>
        <w:szCs w:val="19"/>
      </w:rPr>
      <w:fldChar w:fldCharType="begin"/>
    </w:r>
    <w:r>
      <w:rPr>
        <w:rFonts w:eastAsia="Calibri" w:cs="Calibri"/>
        <w:i/>
        <w:iCs/>
        <w:color w:val="595959"/>
        <w:sz w:val="19"/>
        <w:szCs w:val="19"/>
      </w:rPr>
      <w:instrText xml:space="preserve"> PAGE </w:instrText>
    </w:r>
    <w:r>
      <w:rPr>
        <w:rFonts w:eastAsia="Calibri" w:cs="Calibri"/>
        <w:i/>
        <w:iCs/>
        <w:color w:val="595959"/>
        <w:sz w:val="19"/>
        <w:szCs w:val="19"/>
      </w:rPr>
      <w:fldChar w:fldCharType="separate"/>
    </w:r>
    <w:r>
      <w:rPr>
        <w:rFonts w:eastAsia="Calibri" w:cs="Calibri"/>
        <w:i/>
        <w:iCs/>
        <w:color w:val="595959"/>
        <w:sz w:val="19"/>
        <w:szCs w:val="19"/>
      </w:rPr>
      <w:t>29</w:t>
    </w:r>
    <w:r>
      <w:rPr>
        <w:rFonts w:eastAsia="Calibri" w:cs="Calibri"/>
        <w:i/>
        <w:iCs/>
        <w:color w:val="595959"/>
        <w:sz w:val="19"/>
        <w:szCs w:val="19"/>
      </w:rPr>
      <w:fldChar w:fldCharType="end"/>
    </w:r>
    <w:r>
      <w:rPr>
        <w:rFonts w:eastAsia="Calibri" w:cs="Calibri"/>
        <w:color w:val="8497B0"/>
        <w:sz w:val="16"/>
        <w:szCs w:val="16"/>
      </w:rPr>
      <w:t xml:space="preserve"> of </w:t>
    </w:r>
    <w:r>
      <w:rPr>
        <w:rFonts w:eastAsia="Calibri" w:cs="Calibri"/>
        <w:i/>
        <w:iCs/>
        <w:color w:val="595959"/>
        <w:sz w:val="19"/>
        <w:szCs w:val="19"/>
      </w:rPr>
      <w:fldChar w:fldCharType="begin"/>
    </w:r>
    <w:r>
      <w:rPr>
        <w:rFonts w:eastAsia="Calibri" w:cs="Calibri"/>
        <w:i/>
        <w:iCs/>
        <w:color w:val="595959"/>
        <w:sz w:val="19"/>
        <w:szCs w:val="19"/>
      </w:rPr>
      <w:instrText xml:space="preserve"> NUMPAGES </w:instrText>
    </w:r>
    <w:r>
      <w:rPr>
        <w:rFonts w:eastAsia="Calibri" w:cs="Calibri"/>
        <w:i/>
        <w:iCs/>
        <w:color w:val="595959"/>
        <w:sz w:val="19"/>
        <w:szCs w:val="19"/>
      </w:rPr>
      <w:fldChar w:fldCharType="separate"/>
    </w:r>
    <w:r>
      <w:rPr>
        <w:rFonts w:eastAsia="Calibri" w:cs="Calibri"/>
        <w:i/>
        <w:iCs/>
        <w:color w:val="595959"/>
        <w:sz w:val="19"/>
        <w:szCs w:val="19"/>
      </w:rPr>
      <w:t>29</w:t>
    </w:r>
    <w:r>
      <w:rPr>
        <w:rFonts w:eastAsia="Calibri" w:cs="Calibri"/>
        <w:i/>
        <w:iCs/>
        <w:color w:val="595959"/>
        <w:sz w:val="19"/>
        <w:szCs w:val="19"/>
      </w:rPr>
      <w:fldChar w:fldCharType="end"/>
    </w:r>
    <w:r>
      <w:rPr>
        <w:rFonts w:eastAsia="Calibri" w:cs="Calibri"/>
        <w:color w:val="8497B0"/>
        <w:sz w:val="16"/>
        <w:szCs w:val="16"/>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6EA"/>
      </w:pBdr>
      <w:tabs>
        <w:tab w:val="clear" w:pos="720"/>
        <w:tab w:val="right" w:pos="9360" w:leader="none"/>
      </w:tabs>
      <w:rPr/>
    </w:pPr>
    <w:r>
      <w:rPr>
        <w:rFonts w:eastAsia="Calibri" w:cs="Calibri"/>
        <w:color w:val="8497B0"/>
        <w:sz w:val="16"/>
        <w:szCs w:val="16"/>
      </w:rPr>
      <w:t>SecureVault Bank — Executive Security Report</w:t>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6EA"/>
      </w:pBdr>
      <w:tabs>
        <w:tab w:val="clear" w:pos="720"/>
        <w:tab w:val="right" w:pos="9360" w:leader="none"/>
      </w:tabs>
      <w:rPr/>
    </w:pPr>
    <w:r>
      <w:rPr>
        <w:rFonts w:eastAsia="Calibri" w:cs="Calibri"/>
        <w:color w:val="8497B0"/>
        <w:sz w:val="16"/>
        <w:szCs w:val="16"/>
      </w:rPr>
      <w:t>SecureVault Bank — Executive Security Report</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40"/>
      </w:pPr>
      <w:rPr>
        <w:rFonts w:ascii="Symbol" w:hAnsi="Symbol" w:cs="Symbol" w:hint="default"/>
        <w:color w:val="2E549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20" w:after="140"/>
      <w:outlineLvl w:val="0"/>
    </w:pPr>
    <w:rPr>
      <w:rFonts w:ascii="Calibri" w:hAnsi="Calibri" w:eastAsia="Calibri" w:cs="Calibri"/>
      <w:b/>
      <w:bCs/>
      <w:color w:val="1F3864"/>
      <w:sz w:val="30"/>
      <w:szCs w:val="30"/>
    </w:rPr>
  </w:style>
  <w:style w:type="paragraph" w:styleId="Heading2">
    <w:name w:val="heading 2"/>
    <w:basedOn w:val="Heading"/>
    <w:qFormat/>
    <w:pPr>
      <w:spacing w:before="220" w:after="100"/>
      <w:outlineLvl w:val="1"/>
    </w:pPr>
    <w:rPr>
      <w:rFonts w:ascii="Calibri" w:hAnsi="Calibri" w:eastAsia="Calibri" w:cs="Calibri"/>
      <w:b/>
      <w:bCs/>
      <w:color w:val="2E5496"/>
      <w:sz w:val="25"/>
      <w:szCs w:val="25"/>
    </w:rPr>
  </w:style>
  <w:style w:type="paragraph" w:styleId="Heading3">
    <w:name w:val="heading 3"/>
    <w:basedOn w:val="Heading"/>
    <w:qFormat/>
    <w:pPr>
      <w:spacing w:before="16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EshaKhan-ek/securevault-platform"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LibreOffice/26.2.4.2$Linux_X86_64 LibreOffice_project/0229ac93fcf0d7cbc6376066c6f35021cef002dc</Application>
  <AppVersion>15.0000</AppVersion>
  <Pages>29</Pages>
  <Words>4670</Words>
  <Characters>29213</Characters>
  <CharactersWithSpaces>33134</CharactersWithSpaces>
  <Paragraphs>792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2026-06-19T17:22:03Z</dcterms:created>
  <dc:creator>Zainab Shakil</dc:creator>
  <dc:description/>
  <dc:language>en-US</dc:language>
  <cp:lastModifiedBy/>
  <dcterms:modified xsi:type="dcterms:W3CDTF">2026-06-19T23:51:02Z</dcterms:modified>
  <cp:revision>2</cp:revision>
  <dc:subject/>
  <dc:title>SecureVault Bank — Executive Report (NIST CSF + Multi-Framework)</dc:title>
</cp:coreProperties>
</file>