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>
          <w:rFonts w:ascii="Arial" w:hAnsi="Arial" w:eastAsia="Arial" w:cs="Arial"/>
          <w:b/>
          <w:bCs/>
          <w:color w:val="555555"/>
          <w:sz w:val="26"/>
          <w:szCs w:val="26"/>
        </w:rPr>
      </w:pPr>
      <w:r>
        <w:rPr>
          <w:rFonts w:eastAsia="Arial" w:cs="Arial" w:ascii="Arial" w:hAnsi="Arial"/>
          <w:b/>
          <w:bCs/>
          <w:color w:val="555555"/>
          <w:sz w:val="26"/>
          <w:szCs w:val="26"/>
        </w:rPr>
      </w:r>
    </w:p>
    <w:p>
      <w:pPr>
        <w:pStyle w:val="Normal"/>
        <w:spacing w:before="0" w:after="60"/>
        <w:jc w:val="center"/>
        <w:rPr>
          <w:rFonts w:ascii="Arial" w:hAnsi="Arial" w:eastAsia="Arial" w:cs="Arial"/>
          <w:b/>
          <w:bCs/>
          <w:color w:val="555555"/>
          <w:sz w:val="26"/>
          <w:szCs w:val="26"/>
        </w:rPr>
      </w:pPr>
      <w:r>
        <w:rPr>
          <w:rFonts w:eastAsia="Arial" w:cs="Arial" w:ascii="Arial" w:hAnsi="Arial"/>
          <w:b/>
          <w:bCs/>
          <w:color w:val="555555"/>
          <w:sz w:val="26"/>
          <w:szCs w:val="26"/>
        </w:rPr>
      </w:r>
    </w:p>
    <w:p>
      <w:pPr>
        <w:pStyle w:val="Normal"/>
        <w:spacing w:before="0" w:after="60"/>
        <w:jc w:val="center"/>
        <w:rPr>
          <w:rFonts w:ascii="Arial" w:hAnsi="Arial" w:eastAsia="Arial" w:cs="Arial"/>
          <w:b/>
          <w:bCs/>
          <w:color w:val="555555"/>
          <w:sz w:val="26"/>
          <w:szCs w:val="26"/>
        </w:rPr>
      </w:pPr>
      <w:r>
        <w:rPr>
          <w:rFonts w:eastAsia="Arial" w:cs="Arial" w:ascii="Arial" w:hAnsi="Arial"/>
          <w:b/>
          <w:bCs/>
          <w:color w:val="555555"/>
          <w:sz w:val="26"/>
          <w:szCs w:val="26"/>
        </w:rPr>
      </w:r>
    </w:p>
    <w:p>
      <w:pPr>
        <w:pStyle w:val="Normal"/>
        <w:spacing w:before="0" w:after="60"/>
        <w:jc w:val="center"/>
        <w:rPr>
          <w:rFonts w:ascii="Arial" w:hAnsi="Arial" w:eastAsia="Arial" w:cs="Arial"/>
          <w:b/>
          <w:bCs/>
          <w:color w:val="555555"/>
          <w:sz w:val="26"/>
          <w:szCs w:val="26"/>
        </w:rPr>
      </w:pPr>
      <w:r>
        <w:rPr>
          <w:rFonts w:eastAsia="Arial" w:cs="Arial" w:ascii="Arial" w:hAnsi="Arial"/>
          <w:b/>
          <w:bCs/>
          <w:color w:val="555555"/>
          <w:sz w:val="26"/>
          <w:szCs w:val="26"/>
        </w:rPr>
      </w:r>
    </w:p>
    <w:p>
      <w:pPr>
        <w:pStyle w:val="Normal"/>
        <w:spacing w:before="0" w:after="60"/>
        <w:jc w:val="center"/>
        <w:rPr>
          <w:rFonts w:ascii="Arial" w:hAnsi="Arial" w:eastAsia="Arial" w:cs="Arial"/>
          <w:b/>
          <w:bCs/>
          <w:color w:val="555555"/>
          <w:sz w:val="26"/>
          <w:szCs w:val="26"/>
        </w:rPr>
      </w:pPr>
      <w:r>
        <w:rPr>
          <w:rFonts w:eastAsia="Arial" w:cs="Arial" w:ascii="Arial" w:hAnsi="Arial"/>
          <w:b/>
          <w:bCs/>
          <w:color w:val="555555"/>
          <w:sz w:val="26"/>
          <w:szCs w:val="26"/>
        </w:rPr>
        <w:t>COMSATS UNIVERSITY ISLAMABAD</w:t>
      </w:r>
    </w:p>
    <w:p>
      <w:pPr>
        <w:pStyle w:val="Normal"/>
        <w:spacing w:before="0" w:after="180"/>
        <w:jc w:val="center"/>
        <w:rPr/>
      </w:pPr>
      <w:r>
        <w:rPr>
          <w:rFonts w:eastAsia="Arial" w:cs="Arial" w:ascii="Arial" w:hAnsi="Arial"/>
          <w:color w:val="555555"/>
          <w:sz w:val="22"/>
          <w:szCs w:val="22"/>
        </w:rPr>
        <w:t>Department of Computer Science &amp; Engineering</w:t>
      </w:r>
    </w:p>
    <w:p>
      <w:pPr>
        <w:pStyle w:val="Normal"/>
        <w:shd w:val="clear" w:fill="1A5C38"/>
        <w:spacing w:before="140" w:after="140"/>
        <w:ind w:left="300" w:right="300"/>
        <w:jc w:val="center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CYC386 — SECURE SOFTWARE DESIGN &amp; DEVELOPMENT</w:t>
      </w:r>
    </w:p>
    <w:p>
      <w:pPr>
        <w:pStyle w:val="Normal"/>
        <w:spacing w:before="140" w:after="60"/>
        <w:jc w:val="center"/>
        <w:rPr/>
      </w:pPr>
      <w:r>
        <w:rPr>
          <w:rFonts w:eastAsia="Arial" w:cs="Arial" w:ascii="Arial" w:hAnsi="Arial"/>
          <w:b/>
          <w:bCs/>
          <w:color w:val="1A5C38"/>
          <w:sz w:val="38"/>
          <w:szCs w:val="38"/>
        </w:rPr>
        <w:t>MITRE ATTACK MAPPING</w:t>
      </w:r>
      <w:r>
        <w:rPr>
          <w:rFonts w:eastAsia="Arial" w:cs="Arial" w:ascii="Arial" w:hAnsi="Arial"/>
          <w:b/>
          <w:bCs/>
          <w:color w:val="1A5C38"/>
          <w:sz w:val="38"/>
          <w:szCs w:val="38"/>
        </w:rPr>
        <w:t xml:space="preserve"> Document </w:t>
      </w:r>
    </w:p>
    <w:p>
      <w:pPr>
        <w:pStyle w:val="Normal"/>
        <w:spacing w:before="0" w:after="300"/>
        <w:jc w:val="center"/>
        <w:rPr/>
      </w:pPr>
      <w:r>
        <w:rPr>
          <w:rFonts w:eastAsia="Arial" w:cs="Arial" w:ascii="Arial" w:hAnsi="Arial"/>
          <w:b/>
          <w:bCs/>
          <w:color w:val="2E7D52"/>
          <w:sz w:val="26"/>
          <w:szCs w:val="26"/>
        </w:rPr>
        <w:t>SecureVault Bank — Secure Banking Platform</w:t>
      </w:r>
    </w:p>
    <w:p>
      <w:pPr>
        <w:pStyle w:val="Normal"/>
        <w:pBdr>
          <w:top w:val="single" w:sz="4" w:space="0" w:color="4CAF7D"/>
        </w:pBdr>
        <w:spacing w:before="160" w:after="60"/>
        <w:jc w:val="center"/>
        <w:rPr/>
      </w:pPr>
      <w:r>
        <w:rPr/>
      </w:r>
    </w:p>
    <w:p>
      <w:pPr>
        <w:pStyle w:val="Normal"/>
        <w:spacing w:before="40" w:after="40"/>
        <w:jc w:val="center"/>
        <w:rPr/>
      </w:pPr>
      <w:r>
        <w:rPr>
          <w:rFonts w:eastAsia="Arial" w:cs="Arial" w:ascii="Arial" w:hAnsi="Arial"/>
          <w:b/>
          <w:bCs/>
          <w:color w:val="1A5C38"/>
          <w:sz w:val="22"/>
          <w:szCs w:val="22"/>
        </w:rPr>
        <w:t xml:space="preserve">Prepared by:  </w:t>
      </w:r>
      <w:r>
        <w:rPr>
          <w:rFonts w:eastAsia="Arial" w:cs="Arial" w:ascii="Arial" w:hAnsi="Arial"/>
          <w:color w:val="2C2C2C"/>
          <w:sz w:val="22"/>
          <w:szCs w:val="22"/>
        </w:rPr>
        <w:t>Zainab (Security Analyst — Member 2)</w:t>
      </w:r>
    </w:p>
    <w:p>
      <w:pPr>
        <w:pStyle w:val="Normal"/>
        <w:spacing w:before="40" w:after="40"/>
        <w:jc w:val="center"/>
        <w:rPr/>
      </w:pPr>
      <w:r>
        <w:rPr>
          <w:rFonts w:eastAsia="Arial" w:cs="Arial" w:ascii="Arial" w:hAnsi="Arial"/>
          <w:b/>
          <w:bCs/>
          <w:color w:val="1A5C38"/>
          <w:sz w:val="22"/>
          <w:szCs w:val="22"/>
        </w:rPr>
        <w:t xml:space="preserve">Instructor:  </w:t>
      </w:r>
      <w:r>
        <w:rPr>
          <w:rFonts w:eastAsia="Arial" w:cs="Arial" w:ascii="Arial" w:hAnsi="Arial"/>
          <w:color w:val="2C2C2C"/>
          <w:sz w:val="22"/>
          <w:szCs w:val="22"/>
        </w:rPr>
        <w:t>Engr. Muhammad Ahmad Nawaz</w:t>
      </w:r>
    </w:p>
    <w:p>
      <w:pPr>
        <w:pStyle w:val="Normal"/>
        <w:spacing w:before="40" w:after="40"/>
        <w:jc w:val="center"/>
        <w:rPr/>
      </w:pPr>
      <w:r>
        <w:rPr>
          <w:rFonts w:eastAsia="Arial" w:cs="Arial" w:ascii="Arial" w:hAnsi="Arial"/>
          <w:b/>
          <w:bCs/>
          <w:color w:val="1A5C38"/>
          <w:sz w:val="22"/>
          <w:szCs w:val="22"/>
        </w:rPr>
        <w:t xml:space="preserve">Course:  </w:t>
      </w:r>
      <w:r>
        <w:rPr>
          <w:rFonts w:eastAsia="Arial" w:cs="Arial" w:ascii="Arial" w:hAnsi="Arial"/>
          <w:color w:val="2C2C2C"/>
          <w:sz w:val="22"/>
          <w:szCs w:val="22"/>
        </w:rPr>
        <w:t>CYC386 — Secure Software Design &amp; Development</w:t>
      </w:r>
    </w:p>
    <w:p>
      <w:pPr>
        <w:pStyle w:val="Normal"/>
        <w:spacing w:before="40" w:after="40"/>
        <w:jc w:val="center"/>
        <w:rPr/>
      </w:pPr>
      <w:r>
        <w:rPr>
          <w:rFonts w:eastAsia="Arial" w:cs="Arial" w:ascii="Arial" w:hAnsi="Arial"/>
          <w:b/>
          <w:bCs/>
          <w:color w:val="1A5C38"/>
          <w:sz w:val="22"/>
          <w:szCs w:val="22"/>
        </w:rPr>
        <w:t xml:space="preserve">Semester:  </w:t>
      </w:r>
      <w:r>
        <w:rPr>
          <w:rFonts w:eastAsia="Arial" w:cs="Arial" w:ascii="Arial" w:hAnsi="Arial"/>
          <w:color w:val="2C2C2C"/>
          <w:sz w:val="22"/>
          <w:szCs w:val="22"/>
        </w:rPr>
        <w:t>Spring 2026</w:t>
      </w:r>
    </w:p>
    <w:p>
      <w:pPr>
        <w:pStyle w:val="Normal"/>
        <w:spacing w:before="40" w:after="40"/>
        <w:jc w:val="center"/>
        <w:rPr/>
      </w:pPr>
      <w:r>
        <w:rPr>
          <w:rFonts w:ascii="Arial" w:hAnsi="Arial"/>
          <w:color w:val="1A5C38"/>
          <w:sz w:val="22"/>
          <w:szCs w:val="22"/>
        </w:rPr>
        <w:t xml:space="preserve">Demo Date:  </w:t>
      </w:r>
      <w:r>
        <w:rPr>
          <w:rFonts w:ascii="Arial" w:hAnsi="Arial"/>
          <w:color w:val="2C2C2C"/>
          <w:sz w:val="22"/>
          <w:szCs w:val="22"/>
        </w:rPr>
        <w:t>June 12, 2026</w:t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Heading1"/>
        <w:pBdr>
          <w:bottom w:val="single" w:sz="6" w:space="1" w:color="4CAF7D"/>
        </w:pBdr>
        <w:shd w:val="clear" w:fill="1A5C38"/>
        <w:bidi w:val="0"/>
        <w:spacing w:before="0" w:after="120"/>
        <w:ind w:hanging="0" w:left="0"/>
        <w:jc w:val="left"/>
        <w:rPr>
          <w:rFonts w:ascii="Arial" w:hAnsi="Arial" w:eastAsia="Arial" w:cs="Arial"/>
          <w:b/>
          <w:bCs/>
          <w:color w:val="FFFFFF"/>
          <w:sz w:val="32"/>
          <w:szCs w:val="32"/>
        </w:rPr>
      </w:pPr>
      <w:r>
        <w:rPr>
          <w:rFonts w:eastAsia="Arial" w:cs="Arial"/>
          <w:b/>
          <w:bCs/>
          <w:color w:val="FFFFFF"/>
          <w:sz w:val="32"/>
          <w:szCs w:val="32"/>
        </w:rPr>
        <w:t xml:space="preserve"> </w:t>
      </w:r>
      <w:r>
        <w:rPr>
          <w:rFonts w:eastAsia="Arial" w:cs="Arial"/>
          <w:b/>
          <w:bCs/>
          <w:color w:val="FFFFFF"/>
          <w:sz w:val="32"/>
          <w:szCs w:val="32"/>
        </w:rPr>
        <w:t>MITRE ATT&amp;CK MAPPING</w:t>
      </w:r>
    </w:p>
    <w:p>
      <w:pPr>
        <w:pStyle w:val="Heading2"/>
        <w:pBdr>
          <w:bottom w:val="single" w:sz="2" w:space="1" w:color="4CAF7D"/>
        </w:pBdr>
        <w:bidi w:val="0"/>
        <w:spacing w:before="220" w:after="100"/>
        <w:jc w:val="left"/>
        <w:rPr/>
      </w:pPr>
      <w:r>
        <w:rPr>
          <w:rFonts w:eastAsia="Arial" w:cs="Arial"/>
          <w:b/>
          <w:bCs/>
          <w:color w:val="1A5C38"/>
          <w:sz w:val="26"/>
          <w:szCs w:val="26"/>
        </w:rPr>
        <w:t>3.1 Full MITRE ATT&amp;CK Mapping Table</w:t>
      </w:r>
    </w:p>
    <w:tbl>
      <w:tblPr>
        <w:tblW w:w="10080" w:type="dxa"/>
        <w:jc w:val="left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00"/>
        <w:gridCol w:w="1198"/>
        <w:gridCol w:w="2001"/>
        <w:gridCol w:w="2861"/>
        <w:gridCol w:w="2620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Tactic</w:t>
            </w:r>
          </w:p>
        </w:tc>
        <w:tc>
          <w:tcPr>
            <w:tcW w:w="119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Technique ID</w:t>
            </w:r>
          </w:p>
        </w:tc>
        <w:tc>
          <w:tcPr>
            <w:tcW w:w="20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Technique Name</w:t>
            </w:r>
          </w:p>
        </w:tc>
        <w:tc>
          <w:tcPr>
            <w:tcW w:w="286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SecureVault Threat Scenario</w:t>
            </w:r>
          </w:p>
        </w:tc>
        <w:tc>
          <w:tcPr>
            <w:tcW w:w="262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>
        <w:trPr/>
        <w:tc>
          <w:tcPr>
            <w:tcW w:w="14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Initial Access</w:t>
            </w:r>
          </w:p>
        </w:tc>
        <w:tc>
          <w:tcPr>
            <w:tcW w:w="11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T1190</w:t>
            </w:r>
          </w:p>
        </w:tc>
        <w:tc>
          <w:tcPr>
            <w:tcW w:w="20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Exploit Public-Facing Application</w:t>
            </w:r>
          </w:p>
        </w:tc>
        <w:tc>
          <w:tcPr>
            <w:tcW w:w="286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SQLi on POST /transactions/send or /auth/login</w:t>
            </w:r>
          </w:p>
        </w:tc>
        <w:tc>
          <w:tcPr>
            <w:tcW w:w="262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Parameterised queries; WAF; input validation</w:t>
            </w:r>
          </w:p>
        </w:tc>
      </w:tr>
      <w:tr>
        <w:trPr/>
        <w:tc>
          <w:tcPr>
            <w:tcW w:w="14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Initial Access</w:t>
            </w:r>
          </w:p>
        </w:tc>
        <w:tc>
          <w:tcPr>
            <w:tcW w:w="11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T1078</w:t>
            </w:r>
          </w:p>
        </w:tc>
        <w:tc>
          <w:tcPr>
            <w:tcW w:w="20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Valid Accounts</w:t>
            </w:r>
          </w:p>
        </w:tc>
        <w:tc>
          <w:tcPr>
            <w:tcW w:w="286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Stolen customer credentials used to access account</w:t>
            </w:r>
          </w:p>
        </w:tc>
        <w:tc>
          <w:tcPr>
            <w:tcW w:w="262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MFA; rate limiting; account lockout policy</w:t>
            </w:r>
          </w:p>
        </w:tc>
      </w:tr>
      <w:tr>
        <w:trPr/>
        <w:tc>
          <w:tcPr>
            <w:tcW w:w="14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Credential Access</w:t>
            </w:r>
          </w:p>
        </w:tc>
        <w:tc>
          <w:tcPr>
            <w:tcW w:w="11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T1110</w:t>
            </w:r>
          </w:p>
        </w:tc>
        <w:tc>
          <w:tcPr>
            <w:tcW w:w="20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Brute Force</w:t>
            </w:r>
          </w:p>
        </w:tc>
        <w:tc>
          <w:tcPr>
            <w:tcW w:w="286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Automated password guessing on POST /auth/login</w:t>
            </w:r>
          </w:p>
        </w:tc>
        <w:tc>
          <w:tcPr>
            <w:tcW w:w="262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Rate limit 5/15min; bcrypt cost 12; account lockout</w:t>
            </w:r>
          </w:p>
        </w:tc>
      </w:tr>
      <w:tr>
        <w:trPr/>
        <w:tc>
          <w:tcPr>
            <w:tcW w:w="14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Credential Access</w:t>
            </w:r>
          </w:p>
        </w:tc>
        <w:tc>
          <w:tcPr>
            <w:tcW w:w="11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T1110.001</w:t>
            </w:r>
          </w:p>
        </w:tc>
        <w:tc>
          <w:tcPr>
            <w:tcW w:w="20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Password Guessing</w:t>
            </w:r>
          </w:p>
        </w:tc>
        <w:tc>
          <w:tcPr>
            <w:tcW w:w="286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Dictionary attack using common banking passwords</w:t>
            </w:r>
          </w:p>
        </w:tc>
        <w:tc>
          <w:tcPr>
            <w:tcW w:w="262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bcrypt slow hashing; password strength enforcement</w:t>
            </w:r>
          </w:p>
        </w:tc>
      </w:tr>
      <w:tr>
        <w:trPr/>
        <w:tc>
          <w:tcPr>
            <w:tcW w:w="14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Credential Access</w:t>
            </w:r>
          </w:p>
        </w:tc>
        <w:tc>
          <w:tcPr>
            <w:tcW w:w="11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T1110.003</w:t>
            </w:r>
          </w:p>
        </w:tc>
        <w:tc>
          <w:tcPr>
            <w:tcW w:w="20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Password Spraying</w:t>
            </w:r>
          </w:p>
        </w:tc>
        <w:tc>
          <w:tcPr>
            <w:tcW w:w="286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Try 1 common password against all user accounts</w:t>
            </w:r>
          </w:p>
        </w:tc>
        <w:tc>
          <w:tcPr>
            <w:tcW w:w="262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Rate limit per IP not per account; anomaly detection</w:t>
            </w:r>
          </w:p>
        </w:tc>
      </w:tr>
      <w:tr>
        <w:trPr/>
        <w:tc>
          <w:tcPr>
            <w:tcW w:w="14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Credential Access</w:t>
            </w:r>
          </w:p>
        </w:tc>
        <w:tc>
          <w:tcPr>
            <w:tcW w:w="11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T1528</w:t>
            </w:r>
          </w:p>
        </w:tc>
        <w:tc>
          <w:tcPr>
            <w:tcW w:w="20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Steal Application Access Token</w:t>
            </w:r>
          </w:p>
        </w:tc>
        <w:tc>
          <w:tcPr>
            <w:tcW w:w="286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JWT token theft from browser storage or network</w:t>
            </w:r>
          </w:p>
        </w:tc>
        <w:tc>
          <w:tcPr>
            <w:tcW w:w="262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HTTPS only; short TTL 15min; HttpOnly cookies</w:t>
            </w:r>
          </w:p>
        </w:tc>
      </w:tr>
      <w:tr>
        <w:trPr/>
        <w:tc>
          <w:tcPr>
            <w:tcW w:w="14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Privilege Escalation</w:t>
            </w:r>
          </w:p>
        </w:tc>
        <w:tc>
          <w:tcPr>
            <w:tcW w:w="11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T1068</w:t>
            </w:r>
          </w:p>
        </w:tc>
        <w:tc>
          <w:tcPr>
            <w:tcW w:w="20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Exploitation for Priv Escalation</w:t>
            </w:r>
          </w:p>
        </w:tc>
        <w:tc>
          <w:tcPr>
            <w:tcW w:w="286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JWT payload modification: role customer→admin</w:t>
            </w:r>
          </w:p>
        </w:tc>
        <w:tc>
          <w:tcPr>
            <w:tcW w:w="262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RS256 signature validation; server-side role assignment</w:t>
            </w:r>
          </w:p>
        </w:tc>
      </w:tr>
      <w:tr>
        <w:trPr/>
        <w:tc>
          <w:tcPr>
            <w:tcW w:w="14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Privilege Escalation</w:t>
            </w:r>
          </w:p>
        </w:tc>
        <w:tc>
          <w:tcPr>
            <w:tcW w:w="11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T1134</w:t>
            </w:r>
          </w:p>
        </w:tc>
        <w:tc>
          <w:tcPr>
            <w:tcW w:w="20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Access Token Manipulation</w:t>
            </w:r>
          </w:p>
        </w:tc>
        <w:tc>
          <w:tcPr>
            <w:tcW w:w="286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JWT alg:none attack to forge admin token</w:t>
            </w:r>
          </w:p>
        </w:tc>
        <w:tc>
          <w:tcPr>
            <w:tcW w:w="262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Explicitly reject alg:none; validate algorithm server-side</w:t>
            </w:r>
          </w:p>
        </w:tc>
      </w:tr>
      <w:tr>
        <w:trPr/>
        <w:tc>
          <w:tcPr>
            <w:tcW w:w="14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Defense Evasion</w:t>
            </w:r>
          </w:p>
        </w:tc>
        <w:tc>
          <w:tcPr>
            <w:tcW w:w="11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T1562</w:t>
            </w:r>
          </w:p>
        </w:tc>
        <w:tc>
          <w:tcPr>
            <w:tcW w:w="20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Impair Defenses</w:t>
            </w:r>
          </w:p>
        </w:tc>
        <w:tc>
          <w:tcPr>
            <w:tcW w:w="286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Attacker attempts to delete audit logs</w:t>
            </w:r>
          </w:p>
        </w:tc>
        <w:tc>
          <w:tcPr>
            <w:tcW w:w="262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Immutable logs in QRadar; no app-level delete permission</w:t>
            </w:r>
          </w:p>
        </w:tc>
      </w:tr>
      <w:tr>
        <w:trPr/>
        <w:tc>
          <w:tcPr>
            <w:tcW w:w="14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Discovery</w:t>
            </w:r>
          </w:p>
        </w:tc>
        <w:tc>
          <w:tcPr>
            <w:tcW w:w="11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T1087</w:t>
            </w:r>
          </w:p>
        </w:tc>
        <w:tc>
          <w:tcPr>
            <w:tcW w:w="20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Account Discovery</w:t>
            </w:r>
          </w:p>
        </w:tc>
        <w:tc>
          <w:tcPr>
            <w:tcW w:w="286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Enumerate /users/{id} with sequential IDs</w:t>
            </w:r>
          </w:p>
        </w:tc>
        <w:tc>
          <w:tcPr>
            <w:tcW w:w="262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RBAC: admin only; rate limiting on endpoint</w:t>
            </w:r>
          </w:p>
        </w:tc>
      </w:tr>
      <w:tr>
        <w:trPr/>
        <w:tc>
          <w:tcPr>
            <w:tcW w:w="14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Discovery</w:t>
            </w:r>
          </w:p>
        </w:tc>
        <w:tc>
          <w:tcPr>
            <w:tcW w:w="11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T1083</w:t>
            </w:r>
          </w:p>
        </w:tc>
        <w:tc>
          <w:tcPr>
            <w:tcW w:w="20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File and Directory Discovery</w:t>
            </w:r>
          </w:p>
        </w:tc>
        <w:tc>
          <w:tcPr>
            <w:tcW w:w="286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Probe API for undocumented admin endpoints</w:t>
            </w:r>
          </w:p>
        </w:tc>
        <w:tc>
          <w:tcPr>
            <w:tcW w:w="262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API gateway hides internal routes; 404 for unknown paths</w:t>
            </w:r>
          </w:p>
        </w:tc>
      </w:tr>
      <w:tr>
        <w:trPr/>
        <w:tc>
          <w:tcPr>
            <w:tcW w:w="14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Collection</w:t>
            </w:r>
          </w:p>
        </w:tc>
        <w:tc>
          <w:tcPr>
            <w:tcW w:w="11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T1005</w:t>
            </w:r>
          </w:p>
        </w:tc>
        <w:tc>
          <w:tcPr>
            <w:tcW w:w="20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Data from Local System</w:t>
            </w:r>
          </w:p>
        </w:tc>
        <w:tc>
          <w:tcPr>
            <w:tcW w:w="286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Mass export of /transactions/all without pagination</w:t>
            </w:r>
          </w:p>
        </w:tc>
        <w:tc>
          <w:tcPr>
            <w:tcW w:w="262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Mandatory pagination; admin action logging; QRadar alert</w:t>
            </w:r>
          </w:p>
        </w:tc>
      </w:tr>
      <w:tr>
        <w:trPr/>
        <w:tc>
          <w:tcPr>
            <w:tcW w:w="14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Impact</w:t>
            </w:r>
          </w:p>
        </w:tc>
        <w:tc>
          <w:tcPr>
            <w:tcW w:w="11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T1565</w:t>
            </w:r>
          </w:p>
        </w:tc>
        <w:tc>
          <w:tcPr>
            <w:tcW w:w="20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Data Manipulation</w:t>
            </w:r>
          </w:p>
        </w:tc>
        <w:tc>
          <w:tcPr>
            <w:tcW w:w="286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Modify transaction amount in Kafka event stream</w:t>
            </w:r>
          </w:p>
        </w:tc>
        <w:tc>
          <w:tcPr>
            <w:tcW w:w="262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HMAC-SHA256 event signing; Schema Registry validation</w:t>
            </w:r>
          </w:p>
        </w:tc>
      </w:tr>
      <w:tr>
        <w:trPr/>
        <w:tc>
          <w:tcPr>
            <w:tcW w:w="14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Impact</w:t>
            </w:r>
          </w:p>
        </w:tc>
        <w:tc>
          <w:tcPr>
            <w:tcW w:w="11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T1657</w:t>
            </w:r>
          </w:p>
        </w:tc>
        <w:tc>
          <w:tcPr>
            <w:tcW w:w="20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Financial Theft</w:t>
            </w:r>
          </w:p>
        </w:tc>
        <w:tc>
          <w:tcPr>
            <w:tcW w:w="286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Send money to attacker-controlled account</w:t>
            </w:r>
          </w:p>
        </w:tc>
        <w:tc>
          <w:tcPr>
            <w:tcW w:w="262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Transaction limits; anomaly detection on unusual amounts</w:t>
            </w:r>
          </w:p>
        </w:tc>
      </w:tr>
      <w:tr>
        <w:trPr/>
        <w:tc>
          <w:tcPr>
            <w:tcW w:w="14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Impact</w:t>
            </w:r>
          </w:p>
        </w:tc>
        <w:tc>
          <w:tcPr>
            <w:tcW w:w="11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T1498</w:t>
            </w:r>
          </w:p>
        </w:tc>
        <w:tc>
          <w:tcPr>
            <w:tcW w:w="20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Network Denial of Service</w:t>
            </w:r>
          </w:p>
        </w:tc>
        <w:tc>
          <w:tcPr>
            <w:tcW w:w="286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Flood /auth/login to cause service outage</w:t>
            </w:r>
          </w:p>
        </w:tc>
        <w:tc>
          <w:tcPr>
            <w:tcW w:w="262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Rate limiting; K8s HPA autoscaling; circuit breakers</w:t>
            </w:r>
          </w:p>
        </w:tc>
      </w:tr>
    </w:tbl>
    <w:p>
      <w:pPr>
        <w:pStyle w:val="Heading2"/>
        <w:pBdr>
          <w:bottom w:val="single" w:sz="2" w:space="1" w:color="4CAF7D"/>
        </w:pBdr>
        <w:bidi w:val="0"/>
        <w:spacing w:before="220" w:after="100"/>
        <w:jc w:val="left"/>
        <w:rPr/>
      </w:pPr>
      <w:r>
        <w:rPr>
          <w:rFonts w:eastAsia="Arial" w:cs="Arial"/>
          <w:b/>
          <w:bCs/>
          <w:color w:val="1A5C38"/>
          <w:sz w:val="26"/>
          <w:szCs w:val="26"/>
        </w:rPr>
        <w:t>3.2 MITRE ATT&amp;CK Heatmap — SecureVault Coverage</w:t>
      </w:r>
    </w:p>
    <w:tbl>
      <w:tblPr>
        <w:tblW w:w="10080" w:type="dxa"/>
        <w:jc w:val="left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99"/>
        <w:gridCol w:w="2221"/>
        <w:gridCol w:w="4500"/>
        <w:gridCol w:w="1360"/>
      </w:tblGrid>
      <w:tr>
        <w:trPr>
          <w:tblHeader w:val="true"/>
        </w:trPr>
        <w:tc>
          <w:tcPr>
            <w:tcW w:w="199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Tactic</w:t>
            </w:r>
          </w:p>
        </w:tc>
        <w:tc>
          <w:tcPr>
            <w:tcW w:w="222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Techniques Mapped</w:t>
            </w:r>
          </w:p>
        </w:tc>
        <w:tc>
          <w:tcPr>
            <w:tcW w:w="45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Detection Method</w:t>
            </w:r>
          </w:p>
        </w:tc>
        <w:tc>
          <w:tcPr>
            <w:tcW w:w="13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Coverage</w:t>
            </w:r>
          </w:p>
        </w:tc>
      </w:tr>
      <w:tr>
        <w:trPr/>
        <w:tc>
          <w:tcPr>
            <w:tcW w:w="199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Initial Access</w:t>
            </w:r>
          </w:p>
        </w:tc>
        <w:tc>
          <w:tcPr>
            <w:tcW w:w="222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T1190, T1078</w:t>
            </w:r>
          </w:p>
        </w:tc>
        <w:tc>
          <w:tcPr>
            <w:tcW w:w="45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ZAP scanning; QRadar R-01 brute force rule</w:t>
            </w:r>
          </w:p>
        </w:tc>
        <w:tc>
          <w:tcPr>
            <w:tcW w:w="136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99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Credential Access</w:t>
            </w:r>
          </w:p>
        </w:tc>
        <w:tc>
          <w:tcPr>
            <w:tcW w:w="222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T1110, T1110.001, T1110.003, T1528</w:t>
            </w:r>
          </w:p>
        </w:tc>
        <w:tc>
          <w:tcPr>
            <w:tcW w:w="45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Redis rate limit counter; Falco; QRadar R-01</w:t>
            </w:r>
          </w:p>
        </w:tc>
        <w:tc>
          <w:tcPr>
            <w:tcW w:w="136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99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Privilege Escalation</w:t>
            </w:r>
          </w:p>
        </w:tc>
        <w:tc>
          <w:tcPr>
            <w:tcW w:w="222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T1068, T1134</w:t>
            </w:r>
          </w:p>
        </w:tc>
        <w:tc>
          <w:tcPr>
            <w:tcW w:w="45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JWT RS256 validation; RBAC enforcement; QRadar R-05</w:t>
            </w:r>
          </w:p>
        </w:tc>
        <w:tc>
          <w:tcPr>
            <w:tcW w:w="136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99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Defense Evasion</w:t>
            </w:r>
          </w:p>
        </w:tc>
        <w:tc>
          <w:tcPr>
            <w:tcW w:w="222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T1562</w:t>
            </w:r>
          </w:p>
        </w:tc>
        <w:tc>
          <w:tcPr>
            <w:tcW w:w="45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Immutable QRadar logs; Falco log deletion rule</w:t>
            </w:r>
          </w:p>
        </w:tc>
        <w:tc>
          <w:tcPr>
            <w:tcW w:w="136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99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Discovery</w:t>
            </w:r>
          </w:p>
        </w:tc>
        <w:tc>
          <w:tcPr>
            <w:tcW w:w="222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T1087, T1083</w:t>
            </w:r>
          </w:p>
        </w:tc>
        <w:tc>
          <w:tcPr>
            <w:tcW w:w="45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API gateway logging; rate limiting; QRadar anomaly</w:t>
            </w:r>
          </w:p>
        </w:tc>
        <w:tc>
          <w:tcPr>
            <w:tcW w:w="136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99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Collection</w:t>
            </w:r>
          </w:p>
        </w:tc>
        <w:tc>
          <w:tcPr>
            <w:tcW w:w="222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T1005</w:t>
            </w:r>
          </w:p>
        </w:tc>
        <w:tc>
          <w:tcPr>
            <w:tcW w:w="45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Pagination enforcement; admin access logging</w:t>
            </w:r>
          </w:p>
        </w:tc>
        <w:tc>
          <w:tcPr>
            <w:tcW w:w="136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99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Impact</w:t>
            </w:r>
          </w:p>
        </w:tc>
        <w:tc>
          <w:tcPr>
            <w:tcW w:w="222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T1565, T1657, T1498</w:t>
            </w:r>
          </w:p>
        </w:tc>
        <w:tc>
          <w:tcPr>
            <w:tcW w:w="450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HMAC signing; anomaly detection ML model; K8s HPA</w:t>
            </w:r>
          </w:p>
        </w:tc>
        <w:tc>
          <w:tcPr>
            <w:tcW w:w="1360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HIGH</w:t>
            </w:r>
          </w:p>
        </w:tc>
      </w:tr>
    </w:tbl>
    <w:p>
      <w:pPr>
        <w:pStyle w:val="Normal"/>
        <w:bidi w:val="0"/>
        <w:spacing w:before="50" w:after="50"/>
        <w:jc w:val="left"/>
        <w:rPr/>
      </w:pPr>
      <w:r>
        <w:rPr/>
      </w:r>
    </w:p>
    <w:p>
      <w:pPr>
        <w:pStyle w:val="Normal"/>
        <w:bidi w:val="0"/>
        <w:spacing w:before="50" w:after="50"/>
        <w:jc w:val="left"/>
        <w:rPr/>
      </w:pPr>
      <w:r>
        <w:rPr/>
      </w:r>
    </w:p>
    <w:p>
      <w:pPr>
        <w:pStyle w:val="Normal"/>
        <w:bidi w:val="0"/>
        <w:spacing w:before="0" w:after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300" w:after="120"/>
      <w:outlineLvl w:val="0"/>
    </w:pPr>
    <w:rPr>
      <w:rFonts w:ascii="Arial" w:hAnsi="Arial" w:eastAsia="Arial" w:cs="Arial"/>
      <w:b/>
      <w:bCs/>
      <w:color w:val="FFFFFF"/>
      <w:sz w:val="32"/>
      <w:szCs w:val="32"/>
    </w:rPr>
  </w:style>
  <w:style w:type="paragraph" w:styleId="Heading2">
    <w:name w:val="heading 2"/>
    <w:basedOn w:val="Heading"/>
    <w:qFormat/>
    <w:pPr>
      <w:spacing w:before="220" w:after="100"/>
      <w:outlineLvl w:val="1"/>
    </w:pPr>
    <w:rPr>
      <w:rFonts w:ascii="Arial" w:hAnsi="Arial" w:eastAsia="Arial" w:cs="Arial"/>
      <w:b/>
      <w:bCs/>
      <w:color w:val="1A5C38"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LibreOffice/26.2.4.2$Linux_X86_64 LibreOffice_project/0229ac93fcf0d7cbc6376066c6f35021cef002dc</Application>
  <AppVersion>15.0000</AppVersion>
  <Pages>3</Pages>
  <Words>441</Words>
  <Characters>2858</Characters>
  <CharactersWithSpaces>3186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2026-06-10T17:20:45Z</dcterms:created>
  <dc:creator/>
  <dc:description/>
  <dc:language>en-US</dc:language>
  <cp:lastModifiedBy/>
  <dcterms:modified xsi:type="dcterms:W3CDTF">2026-06-10T17:32:29Z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