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jc w:val="center"/>
        <w:rPr>
          <w:rFonts w:ascii="Arial" w:hAnsi="Arial" w:eastAsia="Arial" w:cs="Arial"/>
          <w:b/>
          <w:bCs/>
          <w:color w:val="555555"/>
          <w:sz w:val="26"/>
          <w:szCs w:val="26"/>
        </w:rPr>
      </w:pPr>
      <w:r>
        <w:rPr>
          <w:rFonts w:eastAsia="Arial" w:cs="Arial" w:ascii="Arial" w:hAnsi="Arial"/>
          <w:b/>
          <w:bCs/>
          <w:color w:val="555555"/>
          <w:sz w:val="26"/>
          <w:szCs w:val="26"/>
        </w:rPr>
      </w:r>
    </w:p>
    <w:p>
      <w:pPr>
        <w:pStyle w:val="Normal"/>
        <w:spacing w:before="0" w:after="60"/>
        <w:jc w:val="center"/>
        <w:rPr>
          <w:rFonts w:ascii="Arial" w:hAnsi="Arial" w:eastAsia="Arial" w:cs="Arial"/>
          <w:b/>
          <w:bCs/>
          <w:color w:val="555555"/>
          <w:sz w:val="26"/>
          <w:szCs w:val="26"/>
        </w:rPr>
      </w:pPr>
      <w:r>
        <w:rPr>
          <w:rFonts w:eastAsia="Arial" w:cs="Arial" w:ascii="Arial" w:hAnsi="Arial"/>
          <w:b/>
          <w:bCs/>
          <w:color w:val="555555"/>
          <w:sz w:val="26"/>
          <w:szCs w:val="26"/>
        </w:rPr>
      </w:r>
    </w:p>
    <w:p>
      <w:pPr>
        <w:pStyle w:val="Normal"/>
        <w:spacing w:before="0" w:after="60"/>
        <w:jc w:val="center"/>
        <w:rPr>
          <w:rFonts w:ascii="Arial" w:hAnsi="Arial" w:eastAsia="Arial" w:cs="Arial"/>
          <w:b/>
          <w:bCs/>
          <w:color w:val="555555"/>
          <w:sz w:val="26"/>
          <w:szCs w:val="26"/>
        </w:rPr>
      </w:pPr>
      <w:r>
        <w:rPr>
          <w:rFonts w:eastAsia="Arial" w:cs="Arial" w:ascii="Arial" w:hAnsi="Arial"/>
          <w:b/>
          <w:bCs/>
          <w:color w:val="555555"/>
          <w:sz w:val="26"/>
          <w:szCs w:val="26"/>
        </w:rPr>
      </w:r>
    </w:p>
    <w:p>
      <w:pPr>
        <w:pStyle w:val="Normal"/>
        <w:spacing w:before="0" w:after="60"/>
        <w:jc w:val="center"/>
        <w:rPr>
          <w:rFonts w:ascii="Arial" w:hAnsi="Arial" w:eastAsia="Arial" w:cs="Arial"/>
          <w:b/>
          <w:bCs/>
          <w:color w:val="555555"/>
          <w:sz w:val="26"/>
          <w:szCs w:val="26"/>
        </w:rPr>
      </w:pPr>
      <w:r>
        <w:rPr>
          <w:rFonts w:eastAsia="Arial" w:cs="Arial" w:ascii="Arial" w:hAnsi="Arial"/>
          <w:b/>
          <w:bCs/>
          <w:color w:val="555555"/>
          <w:sz w:val="26"/>
          <w:szCs w:val="26"/>
        </w:rPr>
        <w:t>COMSATS UNIVERSITY ISLAMABAD</w:t>
      </w:r>
    </w:p>
    <w:p>
      <w:pPr>
        <w:pStyle w:val="Normal"/>
        <w:spacing w:before="0" w:after="180"/>
        <w:jc w:val="center"/>
        <w:rPr/>
      </w:pPr>
      <w:r>
        <w:rPr>
          <w:rFonts w:eastAsia="Arial" w:cs="Arial" w:ascii="Arial" w:hAnsi="Arial"/>
          <w:color w:val="555555"/>
          <w:sz w:val="22"/>
          <w:szCs w:val="22"/>
        </w:rPr>
        <w:t>Department of Computer Science &amp; Engineering</w:t>
      </w:r>
    </w:p>
    <w:p>
      <w:pPr>
        <w:pStyle w:val="Normal"/>
        <w:shd w:val="clear" w:fill="1A5C38"/>
        <w:spacing w:before="140" w:after="140"/>
        <w:ind w:left="300" w:right="300"/>
        <w:jc w:val="center"/>
        <w:rPr/>
      </w:pPr>
      <w:r>
        <w:rPr>
          <w:rFonts w:eastAsia="Arial" w:cs="Arial" w:ascii="Arial" w:hAnsi="Arial"/>
          <w:b/>
          <w:bCs/>
          <w:color w:val="FFFFFF"/>
          <w:sz w:val="32"/>
          <w:szCs w:val="32"/>
        </w:rPr>
        <w:t>CYC386 — SECURE SOFTWARE DESIGN &amp; DEVELOPMENT</w:t>
      </w:r>
    </w:p>
    <w:p>
      <w:pPr>
        <w:pStyle w:val="Normal"/>
        <w:spacing w:before="140" w:after="60"/>
        <w:jc w:val="center"/>
        <w:rPr/>
      </w:pPr>
      <w:r>
        <w:rPr>
          <w:rFonts w:eastAsia="Arial" w:cs="Arial" w:ascii="Arial" w:hAnsi="Arial"/>
          <w:b/>
          <w:bCs/>
          <w:color w:val="1A5C38"/>
          <w:sz w:val="38"/>
          <w:szCs w:val="38"/>
        </w:rPr>
        <w:t>Multi Framework Compliance</w:t>
      </w:r>
      <w:r>
        <w:rPr>
          <w:rFonts w:eastAsia="Arial" w:cs="Arial" w:ascii="Arial" w:hAnsi="Arial"/>
          <w:b/>
          <w:bCs/>
          <w:color w:val="1A5C38"/>
          <w:sz w:val="38"/>
          <w:szCs w:val="38"/>
        </w:rPr>
        <w:t xml:space="preserve"> Document </w:t>
      </w:r>
    </w:p>
    <w:p>
      <w:pPr>
        <w:pStyle w:val="Normal"/>
        <w:spacing w:before="0" w:after="300"/>
        <w:jc w:val="center"/>
        <w:rPr/>
      </w:pPr>
      <w:r>
        <w:rPr>
          <w:rFonts w:eastAsia="Arial" w:cs="Arial" w:ascii="Arial" w:hAnsi="Arial"/>
          <w:b/>
          <w:bCs/>
          <w:color w:val="2E7D52"/>
          <w:sz w:val="26"/>
          <w:szCs w:val="26"/>
        </w:rPr>
        <w:t>SecureVault Bank — Secure Banking Platform</w:t>
      </w:r>
    </w:p>
    <w:p>
      <w:pPr>
        <w:pStyle w:val="Normal"/>
        <w:pBdr>
          <w:top w:val="single" w:sz="4" w:space="0" w:color="4CAF7D"/>
        </w:pBdr>
        <w:spacing w:before="160" w:after="60"/>
        <w:jc w:val="center"/>
        <w:rPr/>
      </w:pPr>
      <w:r>
        <w:rPr/>
      </w:r>
    </w:p>
    <w:p>
      <w:pPr>
        <w:pStyle w:val="Normal"/>
        <w:spacing w:before="40" w:after="40"/>
        <w:jc w:val="center"/>
        <w:rPr/>
      </w:pPr>
      <w:r>
        <w:rPr>
          <w:rFonts w:eastAsia="Arial" w:cs="Arial" w:ascii="Arial" w:hAnsi="Arial"/>
          <w:b/>
          <w:bCs/>
          <w:color w:val="1A5C38"/>
          <w:sz w:val="22"/>
          <w:szCs w:val="22"/>
        </w:rPr>
        <w:t xml:space="preserve">Prepared by:  </w:t>
      </w:r>
      <w:r>
        <w:rPr>
          <w:rFonts w:eastAsia="Arial" w:cs="Arial" w:ascii="Arial" w:hAnsi="Arial"/>
          <w:color w:val="2C2C2C"/>
          <w:sz w:val="22"/>
          <w:szCs w:val="22"/>
        </w:rPr>
        <w:t>Zainab (Security Analyst — Member 2)</w:t>
      </w:r>
    </w:p>
    <w:p>
      <w:pPr>
        <w:pStyle w:val="Normal"/>
        <w:spacing w:before="40" w:after="40"/>
        <w:jc w:val="center"/>
        <w:rPr/>
      </w:pPr>
      <w:r>
        <w:rPr>
          <w:rFonts w:eastAsia="Arial" w:cs="Arial" w:ascii="Arial" w:hAnsi="Arial"/>
          <w:b/>
          <w:bCs/>
          <w:color w:val="1A5C38"/>
          <w:sz w:val="22"/>
          <w:szCs w:val="22"/>
        </w:rPr>
        <w:t xml:space="preserve">Instructor:  </w:t>
      </w:r>
      <w:r>
        <w:rPr>
          <w:rFonts w:eastAsia="Arial" w:cs="Arial" w:ascii="Arial" w:hAnsi="Arial"/>
          <w:color w:val="2C2C2C"/>
          <w:sz w:val="22"/>
          <w:szCs w:val="22"/>
        </w:rPr>
        <w:t>Engr. Muhammad Ahmad Nawaz</w:t>
      </w:r>
    </w:p>
    <w:p>
      <w:pPr>
        <w:pStyle w:val="Normal"/>
        <w:spacing w:before="40" w:after="40"/>
        <w:jc w:val="center"/>
        <w:rPr/>
      </w:pPr>
      <w:r>
        <w:rPr>
          <w:rFonts w:eastAsia="Arial" w:cs="Arial" w:ascii="Arial" w:hAnsi="Arial"/>
          <w:b/>
          <w:bCs/>
          <w:color w:val="1A5C38"/>
          <w:sz w:val="22"/>
          <w:szCs w:val="22"/>
        </w:rPr>
        <w:t xml:space="preserve">Course:  </w:t>
      </w:r>
      <w:r>
        <w:rPr>
          <w:rFonts w:eastAsia="Arial" w:cs="Arial" w:ascii="Arial" w:hAnsi="Arial"/>
          <w:color w:val="2C2C2C"/>
          <w:sz w:val="22"/>
          <w:szCs w:val="22"/>
        </w:rPr>
        <w:t>CYC386 — Secure Software Design &amp; Development</w:t>
      </w:r>
    </w:p>
    <w:p>
      <w:pPr>
        <w:pStyle w:val="Normal"/>
        <w:spacing w:before="40" w:after="40"/>
        <w:jc w:val="center"/>
        <w:rPr/>
      </w:pPr>
      <w:r>
        <w:rPr>
          <w:rFonts w:eastAsia="Arial" w:cs="Arial" w:ascii="Arial" w:hAnsi="Arial"/>
          <w:b/>
          <w:bCs/>
          <w:color w:val="1A5C38"/>
          <w:sz w:val="22"/>
          <w:szCs w:val="22"/>
        </w:rPr>
        <w:t xml:space="preserve">Semester:  </w:t>
      </w:r>
      <w:r>
        <w:rPr>
          <w:rFonts w:eastAsia="Arial" w:cs="Arial" w:ascii="Arial" w:hAnsi="Arial"/>
          <w:color w:val="2C2C2C"/>
          <w:sz w:val="22"/>
          <w:szCs w:val="22"/>
        </w:rPr>
        <w:t>Spring 2026</w:t>
      </w:r>
    </w:p>
    <w:p>
      <w:pPr>
        <w:pStyle w:val="Normal"/>
        <w:spacing w:before="40" w:after="40"/>
        <w:jc w:val="center"/>
        <w:rPr/>
      </w:pPr>
      <w:r>
        <w:rPr>
          <w:rFonts w:ascii="Arial" w:hAnsi="Arial"/>
          <w:color w:val="1A5C38"/>
          <w:sz w:val="22"/>
          <w:szCs w:val="22"/>
        </w:rPr>
        <w:t xml:space="preserve">Demo Date:  </w:t>
      </w:r>
      <w:r>
        <w:rPr>
          <w:rFonts w:ascii="Arial" w:hAnsi="Arial"/>
          <w:color w:val="2C2C2C"/>
          <w:sz w:val="22"/>
          <w:szCs w:val="22"/>
        </w:rPr>
        <w:t>June 12, 2026</w:t>
      </w:r>
    </w:p>
    <w:p>
      <w:pPr>
        <w:pStyle w:val="Normal"/>
        <w:spacing w:before="40" w:after="40"/>
        <w:jc w:val="center"/>
        <w:rPr>
          <w:rFonts w:ascii="Arial" w:hAnsi="Arial"/>
          <w:color w:val="2C2C2C"/>
          <w:sz w:val="22"/>
          <w:szCs w:val="22"/>
        </w:rPr>
      </w:pPr>
      <w:r>
        <w:rPr>
          <w:rFonts w:ascii="Arial" w:hAnsi="Arial"/>
          <w:color w:val="2C2C2C"/>
          <w:sz w:val="22"/>
          <w:szCs w:val="22"/>
        </w:rPr>
      </w:r>
    </w:p>
    <w:p>
      <w:pPr>
        <w:pStyle w:val="Normal"/>
        <w:spacing w:before="40" w:after="40"/>
        <w:jc w:val="center"/>
        <w:rPr>
          <w:rFonts w:ascii="Arial" w:hAnsi="Arial"/>
          <w:color w:val="2C2C2C"/>
          <w:sz w:val="22"/>
          <w:szCs w:val="22"/>
        </w:rPr>
      </w:pPr>
      <w:r>
        <w:rPr>
          <w:rFonts w:ascii="Arial" w:hAnsi="Arial"/>
          <w:color w:val="2C2C2C"/>
          <w:sz w:val="22"/>
          <w:szCs w:val="22"/>
        </w:rPr>
      </w:r>
    </w:p>
    <w:p>
      <w:pPr>
        <w:pStyle w:val="Normal"/>
        <w:spacing w:before="40" w:after="40"/>
        <w:jc w:val="center"/>
        <w:rPr>
          <w:rFonts w:ascii="Arial" w:hAnsi="Arial"/>
          <w:color w:val="2C2C2C"/>
          <w:sz w:val="22"/>
          <w:szCs w:val="22"/>
        </w:rPr>
      </w:pPr>
      <w:r>
        <w:rPr>
          <w:rFonts w:ascii="Arial" w:hAnsi="Arial"/>
          <w:color w:val="2C2C2C"/>
          <w:sz w:val="22"/>
          <w:szCs w:val="22"/>
        </w:rPr>
      </w:r>
    </w:p>
    <w:p>
      <w:pPr>
        <w:pStyle w:val="Normal"/>
        <w:spacing w:before="40" w:after="40"/>
        <w:jc w:val="center"/>
        <w:rPr>
          <w:rFonts w:ascii="Arial" w:hAnsi="Arial"/>
          <w:color w:val="2C2C2C"/>
          <w:sz w:val="22"/>
          <w:szCs w:val="22"/>
        </w:rPr>
      </w:pPr>
      <w:r>
        <w:rPr>
          <w:rFonts w:ascii="Arial" w:hAnsi="Arial"/>
          <w:color w:val="2C2C2C"/>
          <w:sz w:val="22"/>
          <w:szCs w:val="22"/>
        </w:rPr>
      </w:r>
    </w:p>
    <w:p>
      <w:pPr>
        <w:pStyle w:val="Normal"/>
        <w:spacing w:before="40" w:after="40"/>
        <w:jc w:val="center"/>
        <w:rPr>
          <w:rFonts w:ascii="Arial" w:hAnsi="Arial"/>
          <w:color w:val="2C2C2C"/>
          <w:sz w:val="22"/>
          <w:szCs w:val="22"/>
        </w:rPr>
      </w:pPr>
      <w:r>
        <w:rPr>
          <w:rFonts w:ascii="Arial" w:hAnsi="Arial"/>
          <w:color w:val="2C2C2C"/>
          <w:sz w:val="22"/>
          <w:szCs w:val="22"/>
        </w:rPr>
      </w:r>
    </w:p>
    <w:p>
      <w:pPr>
        <w:pStyle w:val="Normal"/>
        <w:spacing w:before="40" w:after="40"/>
        <w:jc w:val="center"/>
        <w:rPr>
          <w:rFonts w:ascii="Arial" w:hAnsi="Arial"/>
          <w:color w:val="2C2C2C"/>
          <w:sz w:val="22"/>
          <w:szCs w:val="22"/>
        </w:rPr>
      </w:pPr>
      <w:r>
        <w:rPr>
          <w:rFonts w:ascii="Arial" w:hAnsi="Arial"/>
          <w:color w:val="2C2C2C"/>
          <w:sz w:val="22"/>
          <w:szCs w:val="22"/>
        </w:rPr>
      </w:r>
    </w:p>
    <w:p>
      <w:pPr>
        <w:pStyle w:val="Normal"/>
        <w:spacing w:before="40" w:after="40"/>
        <w:jc w:val="center"/>
        <w:rPr>
          <w:rFonts w:ascii="Arial" w:hAnsi="Arial"/>
          <w:color w:val="2C2C2C"/>
          <w:sz w:val="22"/>
          <w:szCs w:val="22"/>
        </w:rPr>
      </w:pPr>
      <w:r>
        <w:rPr>
          <w:rFonts w:ascii="Arial" w:hAnsi="Arial"/>
          <w:color w:val="2C2C2C"/>
          <w:sz w:val="22"/>
          <w:szCs w:val="22"/>
        </w:rPr>
      </w:r>
    </w:p>
    <w:p>
      <w:pPr>
        <w:pStyle w:val="Normal"/>
        <w:spacing w:before="40" w:after="40"/>
        <w:jc w:val="center"/>
        <w:rPr>
          <w:rFonts w:ascii="Arial" w:hAnsi="Arial"/>
          <w:color w:val="2C2C2C"/>
          <w:sz w:val="22"/>
          <w:szCs w:val="22"/>
        </w:rPr>
      </w:pPr>
      <w:r>
        <w:rPr>
          <w:rFonts w:ascii="Arial" w:hAnsi="Arial"/>
          <w:color w:val="2C2C2C"/>
          <w:sz w:val="22"/>
          <w:szCs w:val="22"/>
        </w:rPr>
      </w:r>
    </w:p>
    <w:p>
      <w:pPr>
        <w:pStyle w:val="Normal"/>
        <w:spacing w:before="40" w:after="40"/>
        <w:jc w:val="center"/>
        <w:rPr>
          <w:rFonts w:ascii="Arial" w:hAnsi="Arial"/>
          <w:color w:val="2C2C2C"/>
          <w:sz w:val="22"/>
          <w:szCs w:val="22"/>
        </w:rPr>
      </w:pPr>
      <w:r>
        <w:rPr>
          <w:rFonts w:ascii="Arial" w:hAnsi="Arial"/>
          <w:color w:val="2C2C2C"/>
          <w:sz w:val="22"/>
          <w:szCs w:val="22"/>
        </w:rPr>
      </w:r>
    </w:p>
    <w:p>
      <w:pPr>
        <w:pStyle w:val="Normal"/>
        <w:spacing w:before="40" w:after="40"/>
        <w:jc w:val="center"/>
        <w:rPr>
          <w:rFonts w:ascii="Arial" w:hAnsi="Arial"/>
          <w:color w:val="2C2C2C"/>
          <w:sz w:val="22"/>
          <w:szCs w:val="22"/>
        </w:rPr>
      </w:pPr>
      <w:r>
        <w:rPr>
          <w:rFonts w:ascii="Arial" w:hAnsi="Arial"/>
          <w:color w:val="2C2C2C"/>
          <w:sz w:val="22"/>
          <w:szCs w:val="22"/>
        </w:rPr>
      </w:r>
    </w:p>
    <w:p>
      <w:pPr>
        <w:pStyle w:val="Normal"/>
        <w:spacing w:before="40" w:after="40"/>
        <w:jc w:val="center"/>
        <w:rPr>
          <w:rFonts w:ascii="Arial" w:hAnsi="Arial"/>
          <w:color w:val="2C2C2C"/>
          <w:sz w:val="22"/>
          <w:szCs w:val="22"/>
        </w:rPr>
      </w:pPr>
      <w:r>
        <w:rPr>
          <w:rFonts w:ascii="Arial" w:hAnsi="Arial"/>
          <w:color w:val="2C2C2C"/>
          <w:sz w:val="22"/>
          <w:szCs w:val="22"/>
        </w:rPr>
      </w:r>
    </w:p>
    <w:p>
      <w:pPr>
        <w:pStyle w:val="Normal"/>
        <w:spacing w:before="40" w:after="40"/>
        <w:jc w:val="center"/>
        <w:rPr>
          <w:rFonts w:ascii="Arial" w:hAnsi="Arial"/>
          <w:color w:val="2C2C2C"/>
          <w:sz w:val="22"/>
          <w:szCs w:val="22"/>
        </w:rPr>
      </w:pPr>
      <w:r>
        <w:rPr>
          <w:rFonts w:ascii="Arial" w:hAnsi="Arial"/>
          <w:color w:val="2C2C2C"/>
          <w:sz w:val="22"/>
          <w:szCs w:val="22"/>
        </w:rPr>
      </w:r>
    </w:p>
    <w:p>
      <w:pPr>
        <w:pStyle w:val="Normal"/>
        <w:spacing w:before="40" w:after="40"/>
        <w:jc w:val="center"/>
        <w:rPr>
          <w:rFonts w:ascii="Arial" w:hAnsi="Arial"/>
          <w:color w:val="2C2C2C"/>
          <w:sz w:val="22"/>
          <w:szCs w:val="22"/>
        </w:rPr>
      </w:pPr>
      <w:r>
        <w:rPr>
          <w:rFonts w:ascii="Arial" w:hAnsi="Arial"/>
          <w:color w:val="2C2C2C"/>
          <w:sz w:val="22"/>
          <w:szCs w:val="22"/>
        </w:rPr>
      </w:r>
    </w:p>
    <w:p>
      <w:pPr>
        <w:pStyle w:val="Normal"/>
        <w:spacing w:before="40" w:after="40"/>
        <w:jc w:val="center"/>
        <w:rPr>
          <w:rFonts w:ascii="Arial" w:hAnsi="Arial"/>
          <w:color w:val="2C2C2C"/>
          <w:sz w:val="22"/>
          <w:szCs w:val="22"/>
        </w:rPr>
      </w:pPr>
      <w:r>
        <w:rPr>
          <w:rFonts w:ascii="Arial" w:hAnsi="Arial"/>
          <w:color w:val="2C2C2C"/>
          <w:sz w:val="22"/>
          <w:szCs w:val="22"/>
        </w:rPr>
      </w:r>
    </w:p>
    <w:p>
      <w:pPr>
        <w:pStyle w:val="Normal"/>
        <w:spacing w:before="40" w:after="40"/>
        <w:jc w:val="center"/>
        <w:rPr>
          <w:rFonts w:ascii="Arial" w:hAnsi="Arial"/>
          <w:color w:val="2C2C2C"/>
          <w:sz w:val="22"/>
          <w:szCs w:val="22"/>
        </w:rPr>
      </w:pPr>
      <w:r>
        <w:rPr>
          <w:rFonts w:ascii="Arial" w:hAnsi="Arial"/>
          <w:color w:val="2C2C2C"/>
          <w:sz w:val="22"/>
          <w:szCs w:val="22"/>
        </w:rPr>
      </w:r>
    </w:p>
    <w:p>
      <w:pPr>
        <w:pStyle w:val="Normal"/>
        <w:spacing w:before="40" w:after="40"/>
        <w:jc w:val="center"/>
        <w:rPr>
          <w:rFonts w:ascii="Arial" w:hAnsi="Arial"/>
          <w:color w:val="2C2C2C"/>
          <w:sz w:val="22"/>
          <w:szCs w:val="22"/>
        </w:rPr>
      </w:pPr>
      <w:r>
        <w:rPr>
          <w:rFonts w:ascii="Arial" w:hAnsi="Arial"/>
          <w:color w:val="2C2C2C"/>
          <w:sz w:val="22"/>
          <w:szCs w:val="22"/>
        </w:rPr>
      </w:r>
    </w:p>
    <w:p>
      <w:pPr>
        <w:pStyle w:val="Normal"/>
        <w:spacing w:before="40" w:after="40"/>
        <w:jc w:val="center"/>
        <w:rPr>
          <w:rFonts w:ascii="Arial" w:hAnsi="Arial"/>
          <w:color w:val="2C2C2C"/>
          <w:sz w:val="22"/>
          <w:szCs w:val="22"/>
        </w:rPr>
      </w:pPr>
      <w:r>
        <w:rPr>
          <w:rFonts w:ascii="Arial" w:hAnsi="Arial"/>
          <w:color w:val="2C2C2C"/>
          <w:sz w:val="22"/>
          <w:szCs w:val="22"/>
        </w:rPr>
      </w:r>
    </w:p>
    <w:p>
      <w:pPr>
        <w:pStyle w:val="Normal"/>
        <w:spacing w:before="40" w:after="40"/>
        <w:jc w:val="center"/>
        <w:rPr>
          <w:rFonts w:ascii="Arial" w:hAnsi="Arial"/>
          <w:color w:val="2C2C2C"/>
          <w:sz w:val="22"/>
          <w:szCs w:val="22"/>
        </w:rPr>
      </w:pPr>
      <w:r>
        <w:rPr>
          <w:rFonts w:ascii="Arial" w:hAnsi="Arial"/>
          <w:color w:val="2C2C2C"/>
          <w:sz w:val="22"/>
          <w:szCs w:val="22"/>
        </w:rPr>
      </w:r>
    </w:p>
    <w:p>
      <w:pPr>
        <w:pStyle w:val="Normal"/>
        <w:spacing w:before="40" w:after="40"/>
        <w:jc w:val="center"/>
        <w:rPr>
          <w:rFonts w:ascii="Arial" w:hAnsi="Arial"/>
          <w:color w:val="2C2C2C"/>
          <w:sz w:val="22"/>
          <w:szCs w:val="22"/>
        </w:rPr>
      </w:pPr>
      <w:r>
        <w:rPr>
          <w:rFonts w:ascii="Arial" w:hAnsi="Arial"/>
          <w:color w:val="2C2C2C"/>
          <w:sz w:val="22"/>
          <w:szCs w:val="22"/>
        </w:rPr>
      </w:r>
    </w:p>
    <w:p>
      <w:pPr>
        <w:pStyle w:val="Normal"/>
        <w:spacing w:before="40" w:after="40"/>
        <w:jc w:val="center"/>
        <w:rPr>
          <w:rFonts w:ascii="Arial" w:hAnsi="Arial"/>
          <w:color w:val="2C2C2C"/>
          <w:sz w:val="22"/>
          <w:szCs w:val="22"/>
        </w:rPr>
      </w:pPr>
      <w:r>
        <w:rPr>
          <w:rFonts w:ascii="Arial" w:hAnsi="Arial"/>
          <w:color w:val="2C2C2C"/>
          <w:sz w:val="22"/>
          <w:szCs w:val="22"/>
        </w:rPr>
      </w:r>
    </w:p>
    <w:p>
      <w:pPr>
        <w:pStyle w:val="Normal"/>
        <w:spacing w:before="40" w:after="40"/>
        <w:jc w:val="center"/>
        <w:rPr>
          <w:rFonts w:ascii="Arial" w:hAnsi="Arial"/>
          <w:color w:val="2C2C2C"/>
          <w:sz w:val="22"/>
          <w:szCs w:val="22"/>
        </w:rPr>
      </w:pPr>
      <w:r>
        <w:rPr>
          <w:rFonts w:ascii="Arial" w:hAnsi="Arial"/>
          <w:color w:val="2C2C2C"/>
          <w:sz w:val="22"/>
          <w:szCs w:val="22"/>
        </w:rPr>
      </w:r>
    </w:p>
    <w:p>
      <w:pPr>
        <w:pStyle w:val="Normal"/>
        <w:spacing w:before="40" w:after="40"/>
        <w:jc w:val="center"/>
        <w:rPr>
          <w:rFonts w:ascii="Arial" w:hAnsi="Arial"/>
          <w:color w:val="2C2C2C"/>
          <w:sz w:val="22"/>
          <w:szCs w:val="22"/>
        </w:rPr>
      </w:pPr>
      <w:r>
        <w:rPr>
          <w:rFonts w:ascii="Arial" w:hAnsi="Arial"/>
          <w:color w:val="2C2C2C"/>
          <w:sz w:val="22"/>
          <w:szCs w:val="22"/>
        </w:rPr>
      </w:r>
    </w:p>
    <w:p>
      <w:pPr>
        <w:pStyle w:val="Normal"/>
        <w:spacing w:before="40" w:after="40"/>
        <w:jc w:val="center"/>
        <w:rPr>
          <w:rFonts w:ascii="Arial" w:hAnsi="Arial"/>
          <w:color w:val="2C2C2C"/>
          <w:sz w:val="22"/>
          <w:szCs w:val="22"/>
        </w:rPr>
      </w:pPr>
      <w:r>
        <w:rPr>
          <w:rFonts w:ascii="Arial" w:hAnsi="Arial"/>
          <w:color w:val="2C2C2C"/>
          <w:sz w:val="22"/>
          <w:szCs w:val="22"/>
        </w:rPr>
      </w:r>
    </w:p>
    <w:p>
      <w:pPr>
        <w:pStyle w:val="Normal"/>
        <w:spacing w:before="40" w:after="40"/>
        <w:jc w:val="center"/>
        <w:rPr>
          <w:rFonts w:ascii="Arial" w:hAnsi="Arial"/>
          <w:color w:val="2C2C2C"/>
          <w:sz w:val="22"/>
          <w:szCs w:val="22"/>
        </w:rPr>
      </w:pPr>
      <w:r>
        <w:rPr>
          <w:rFonts w:ascii="Arial" w:hAnsi="Arial"/>
          <w:color w:val="2C2C2C"/>
          <w:sz w:val="22"/>
          <w:szCs w:val="22"/>
        </w:rPr>
      </w:r>
    </w:p>
    <w:p>
      <w:pPr>
        <w:pStyle w:val="Normal"/>
        <w:spacing w:before="40" w:after="40"/>
        <w:jc w:val="center"/>
        <w:rPr>
          <w:rFonts w:ascii="Arial" w:hAnsi="Arial"/>
          <w:color w:val="2C2C2C"/>
          <w:sz w:val="22"/>
          <w:szCs w:val="22"/>
        </w:rPr>
      </w:pPr>
      <w:r>
        <w:rPr>
          <w:rFonts w:ascii="Arial" w:hAnsi="Arial"/>
          <w:color w:val="2C2C2C"/>
          <w:sz w:val="22"/>
          <w:szCs w:val="22"/>
        </w:rPr>
      </w:r>
    </w:p>
    <w:p>
      <w:pPr>
        <w:pStyle w:val="Normal"/>
        <w:spacing w:before="40" w:after="40"/>
        <w:jc w:val="center"/>
        <w:rPr>
          <w:rFonts w:ascii="Arial" w:hAnsi="Arial"/>
          <w:color w:val="2C2C2C"/>
          <w:sz w:val="22"/>
          <w:szCs w:val="22"/>
        </w:rPr>
      </w:pPr>
      <w:r>
        <w:rPr>
          <w:rFonts w:ascii="Arial" w:hAnsi="Arial"/>
          <w:color w:val="2C2C2C"/>
          <w:sz w:val="22"/>
          <w:szCs w:val="22"/>
        </w:rPr>
      </w:r>
    </w:p>
    <w:p>
      <w:pPr>
        <w:pStyle w:val="Heading1"/>
        <w:pBdr>
          <w:bottom w:val="single" w:sz="6" w:space="1" w:color="4CAF7D"/>
        </w:pBdr>
        <w:shd w:val="clear" w:fill="1A5C38"/>
        <w:bidi w:val="0"/>
        <w:spacing w:before="0" w:after="120"/>
        <w:ind w:hanging="0" w:left="0"/>
        <w:rPr>
          <w:rFonts w:ascii="Arial" w:hAnsi="Arial" w:eastAsia="Arial" w:cs="Arial"/>
          <w:b/>
          <w:bCs/>
          <w:color w:val="FFFFFF"/>
          <w:sz w:val="32"/>
          <w:szCs w:val="32"/>
        </w:rPr>
      </w:pPr>
      <w:r>
        <w:rPr>
          <w:rFonts w:eastAsia="Arial" w:cs="Arial"/>
          <w:b/>
          <w:bCs/>
          <w:color w:val="FFFFFF"/>
          <w:sz w:val="32"/>
          <w:szCs w:val="32"/>
        </w:rPr>
        <w:t>MULTI-FRAMEWORK COMPLIANCE MAPPING</w:t>
      </w:r>
    </w:p>
    <w:p>
      <w:pPr>
        <w:pStyle w:val="Heading2"/>
        <w:pBdr>
          <w:bottom w:val="single" w:sz="2" w:space="1" w:color="4CAF7D"/>
        </w:pBdr>
        <w:bidi w:val="0"/>
        <w:spacing w:before="220" w:after="100"/>
        <w:jc w:val="left"/>
        <w:rPr/>
      </w:pPr>
      <w:r>
        <w:rPr>
          <w:rFonts w:eastAsia="Arial" w:cs="Arial"/>
          <w:b/>
          <w:bCs/>
          <w:color w:val="1A5C38"/>
          <w:sz w:val="26"/>
          <w:szCs w:val="26"/>
        </w:rPr>
        <w:t>4.1 Master Framework Compliance Table</w:t>
      </w:r>
    </w:p>
    <w:tbl>
      <w:tblPr>
        <w:tblW w:w="10020" w:type="dxa"/>
        <w:jc w:val="left"/>
        <w:tblInd w:w="121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200"/>
        <w:gridCol w:w="1098"/>
        <w:gridCol w:w="1581"/>
        <w:gridCol w:w="1000"/>
        <w:gridCol w:w="1080"/>
        <w:gridCol w:w="3061"/>
      </w:tblGrid>
      <w:tr>
        <w:trPr>
          <w:tblHeader w:val="true"/>
        </w:trPr>
        <w:tc>
          <w:tcPr>
            <w:tcW w:w="22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C38" w:val="clear"/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Control Objective</w:t>
            </w:r>
          </w:p>
        </w:tc>
        <w:tc>
          <w:tcPr>
            <w:tcW w:w="1098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C38" w:val="clear"/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NIST CSF</w:t>
            </w:r>
          </w:p>
        </w:tc>
        <w:tc>
          <w:tcPr>
            <w:tcW w:w="158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C38" w:val="clear"/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OWASP ASVS v5</w:t>
            </w:r>
          </w:p>
        </w:tc>
        <w:tc>
          <w:tcPr>
            <w:tcW w:w="10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C38" w:val="clear"/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ISO 27034</w:t>
            </w:r>
          </w:p>
        </w:tc>
        <w:tc>
          <w:tcPr>
            <w:tcW w:w="108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C38" w:val="clear"/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CSA CCM</w:t>
            </w:r>
          </w:p>
        </w:tc>
        <w:tc>
          <w:tcPr>
            <w:tcW w:w="306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C38" w:val="clear"/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Implementation in SecureVault</w:t>
            </w:r>
          </w:p>
        </w:tc>
      </w:tr>
      <w:tr>
        <w:trPr/>
        <w:tc>
          <w:tcPr>
            <w:tcW w:w="220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Identity &amp; Access Control</w:t>
            </w:r>
          </w:p>
        </w:tc>
        <w:tc>
          <w:tcPr>
            <w:tcW w:w="1098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PR.AC-1</w:t>
            </w:r>
          </w:p>
        </w:tc>
        <w:tc>
          <w:tcPr>
            <w:tcW w:w="158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V2 – Authentication</w:t>
            </w:r>
          </w:p>
        </w:tc>
        <w:tc>
          <w:tcPr>
            <w:tcW w:w="100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A.9.4</w:t>
            </w:r>
          </w:p>
        </w:tc>
        <w:tc>
          <w:tcPr>
            <w:tcW w:w="108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IAM-01</w:t>
            </w:r>
          </w:p>
        </w:tc>
        <w:tc>
          <w:tcPr>
            <w:tcW w:w="306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Keycloak OIDC + JWT RS256 + RBAC customer/admin</w:t>
            </w:r>
          </w:p>
        </w:tc>
      </w:tr>
      <w:tr>
        <w:trPr/>
        <w:tc>
          <w:tcPr>
            <w:tcW w:w="220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Credential Protection</w:t>
            </w:r>
          </w:p>
        </w:tc>
        <w:tc>
          <w:tcPr>
            <w:tcW w:w="1098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PR.AC-3</w:t>
            </w:r>
          </w:p>
        </w:tc>
        <w:tc>
          <w:tcPr>
            <w:tcW w:w="158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V2.1 – Passwords</w:t>
            </w:r>
          </w:p>
        </w:tc>
        <w:tc>
          <w:tcPr>
            <w:tcW w:w="100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A.9.4.3</w:t>
            </w:r>
          </w:p>
        </w:tc>
        <w:tc>
          <w:tcPr>
            <w:tcW w:w="108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IAM-02</w:t>
            </w:r>
          </w:p>
        </w:tc>
        <w:tc>
          <w:tcPr>
            <w:tcW w:w="306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bcrypt cost 12; Vault-stored JWT keys; no hardcoded secrets</w:t>
            </w:r>
          </w:p>
        </w:tc>
      </w:tr>
      <w:tr>
        <w:trPr/>
        <w:tc>
          <w:tcPr>
            <w:tcW w:w="220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Session Management</w:t>
            </w:r>
          </w:p>
        </w:tc>
        <w:tc>
          <w:tcPr>
            <w:tcW w:w="1098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PR.AC-4</w:t>
            </w:r>
          </w:p>
        </w:tc>
        <w:tc>
          <w:tcPr>
            <w:tcW w:w="158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V3 – Session Mgmt</w:t>
            </w:r>
          </w:p>
        </w:tc>
        <w:tc>
          <w:tcPr>
            <w:tcW w:w="100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A.9.4.2</w:t>
            </w:r>
          </w:p>
        </w:tc>
        <w:tc>
          <w:tcPr>
            <w:tcW w:w="108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IAM-03</w:t>
            </w:r>
          </w:p>
        </w:tc>
        <w:tc>
          <w:tcPr>
            <w:tcW w:w="306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Redis TLS sessions; 15-min JWT TTL; logout invalidation</w:t>
            </w:r>
          </w:p>
        </w:tc>
      </w:tr>
      <w:tr>
        <w:trPr/>
        <w:tc>
          <w:tcPr>
            <w:tcW w:w="220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Data Encryption at Rest</w:t>
            </w:r>
          </w:p>
        </w:tc>
        <w:tc>
          <w:tcPr>
            <w:tcW w:w="1098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PR.DS-1</w:t>
            </w:r>
          </w:p>
        </w:tc>
        <w:tc>
          <w:tcPr>
            <w:tcW w:w="158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V6 – Cryptography</w:t>
            </w:r>
          </w:p>
        </w:tc>
        <w:tc>
          <w:tcPr>
            <w:tcW w:w="100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A.10.1.1</w:t>
            </w:r>
          </w:p>
        </w:tc>
        <w:tc>
          <w:tcPr>
            <w:tcW w:w="108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EKM-01</w:t>
            </w:r>
          </w:p>
        </w:tc>
        <w:tc>
          <w:tcPr>
            <w:tcW w:w="306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AES-256 for DB; Vault key management; key rotation</w:t>
            </w:r>
          </w:p>
        </w:tc>
      </w:tr>
      <w:tr>
        <w:trPr/>
        <w:tc>
          <w:tcPr>
            <w:tcW w:w="220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Data Encryption in Transit</w:t>
            </w:r>
          </w:p>
        </w:tc>
        <w:tc>
          <w:tcPr>
            <w:tcW w:w="1098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PR.DS-2</w:t>
            </w:r>
          </w:p>
        </w:tc>
        <w:tc>
          <w:tcPr>
            <w:tcW w:w="158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V9 – Communications</w:t>
            </w:r>
          </w:p>
        </w:tc>
        <w:tc>
          <w:tcPr>
            <w:tcW w:w="100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A.10.1.1</w:t>
            </w:r>
          </w:p>
        </w:tc>
        <w:tc>
          <w:tcPr>
            <w:tcW w:w="108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IVS-09</w:t>
            </w:r>
          </w:p>
        </w:tc>
        <w:tc>
          <w:tcPr>
            <w:tcW w:w="306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TLS 1.3 enforced; mTLS between all microservices</w:t>
            </w:r>
          </w:p>
        </w:tc>
      </w:tr>
      <w:tr>
        <w:trPr/>
        <w:tc>
          <w:tcPr>
            <w:tcW w:w="220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Input Validation</w:t>
            </w:r>
          </w:p>
        </w:tc>
        <w:tc>
          <w:tcPr>
            <w:tcW w:w="1098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PR.IP-1</w:t>
            </w:r>
          </w:p>
        </w:tc>
        <w:tc>
          <w:tcPr>
            <w:tcW w:w="158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V5 – Input Validation</w:t>
            </w:r>
          </w:p>
        </w:tc>
        <w:tc>
          <w:tcPr>
            <w:tcW w:w="100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A.14.2.5</w:t>
            </w:r>
          </w:p>
        </w:tc>
        <w:tc>
          <w:tcPr>
            <w:tcW w:w="108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AIS-01</w:t>
            </w:r>
          </w:p>
        </w:tc>
        <w:tc>
          <w:tcPr>
            <w:tcW w:w="306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Forbidden chars; parameterised queries; max length enforcement</w:t>
            </w:r>
          </w:p>
        </w:tc>
      </w:tr>
      <w:tr>
        <w:trPr/>
        <w:tc>
          <w:tcPr>
            <w:tcW w:w="220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Least Privilege</w:t>
            </w:r>
          </w:p>
        </w:tc>
        <w:tc>
          <w:tcPr>
            <w:tcW w:w="1098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PR.AC-4</w:t>
            </w:r>
          </w:p>
        </w:tc>
        <w:tc>
          <w:tcPr>
            <w:tcW w:w="158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V4 – Access Control</w:t>
            </w:r>
          </w:p>
        </w:tc>
        <w:tc>
          <w:tcPr>
            <w:tcW w:w="100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A.9.2.3</w:t>
            </w:r>
          </w:p>
        </w:tc>
        <w:tc>
          <w:tcPr>
            <w:tcW w:w="108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IAM-05</w:t>
            </w:r>
          </w:p>
        </w:tc>
        <w:tc>
          <w:tcPr>
            <w:tcW w:w="306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Customer role restricted; admin endpoints RBAC-gated</w:t>
            </w:r>
          </w:p>
        </w:tc>
      </w:tr>
      <w:tr>
        <w:trPr/>
        <w:tc>
          <w:tcPr>
            <w:tcW w:w="220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Audit Logging</w:t>
            </w:r>
          </w:p>
        </w:tc>
        <w:tc>
          <w:tcPr>
            <w:tcW w:w="1098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DE.CM-1</w:t>
            </w:r>
          </w:p>
        </w:tc>
        <w:tc>
          <w:tcPr>
            <w:tcW w:w="158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V7 – Error Handling</w:t>
            </w:r>
          </w:p>
        </w:tc>
        <w:tc>
          <w:tcPr>
            <w:tcW w:w="100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A.12.4.1</w:t>
            </w:r>
          </w:p>
        </w:tc>
        <w:tc>
          <w:tcPr>
            <w:tcW w:w="108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LOG-01</w:t>
            </w:r>
          </w:p>
        </w:tc>
        <w:tc>
          <w:tcPr>
            <w:tcW w:w="306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All auth + transaction events logged; CEF to QRadar</w:t>
            </w:r>
          </w:p>
        </w:tc>
      </w:tr>
      <w:tr>
        <w:trPr/>
        <w:tc>
          <w:tcPr>
            <w:tcW w:w="220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Threat Detection</w:t>
            </w:r>
          </w:p>
        </w:tc>
        <w:tc>
          <w:tcPr>
            <w:tcW w:w="1098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DE.CM-7</w:t>
            </w:r>
          </w:p>
        </w:tc>
        <w:tc>
          <w:tcPr>
            <w:tcW w:w="158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V1 – Architecture</w:t>
            </w:r>
          </w:p>
        </w:tc>
        <w:tc>
          <w:tcPr>
            <w:tcW w:w="100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A.12.6.1</w:t>
            </w:r>
          </w:p>
        </w:tc>
        <w:tc>
          <w:tcPr>
            <w:tcW w:w="108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TVM-01</w:t>
            </w:r>
          </w:p>
        </w:tc>
        <w:tc>
          <w:tcPr>
            <w:tcW w:w="306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Falco runtime; AI/ML anomaly detection; QRadar correlation</w:t>
            </w:r>
          </w:p>
        </w:tc>
      </w:tr>
      <w:tr>
        <w:trPr/>
        <w:tc>
          <w:tcPr>
            <w:tcW w:w="220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Incident Response</w:t>
            </w:r>
          </w:p>
        </w:tc>
        <w:tc>
          <w:tcPr>
            <w:tcW w:w="1098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RS.RP-1</w:t>
            </w:r>
          </w:p>
        </w:tc>
        <w:tc>
          <w:tcPr>
            <w:tcW w:w="158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V7 – Logging</w:t>
            </w:r>
          </w:p>
        </w:tc>
        <w:tc>
          <w:tcPr>
            <w:tcW w:w="100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A.16.1.5</w:t>
            </w:r>
          </w:p>
        </w:tc>
        <w:tc>
          <w:tcPr>
            <w:tcW w:w="108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SEF-04</w:t>
            </w:r>
          </w:p>
        </w:tc>
        <w:tc>
          <w:tcPr>
            <w:tcW w:w="306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Blue team runbook; Zarmeena's QRadar rules; pod isolation</w:t>
            </w:r>
          </w:p>
        </w:tc>
      </w:tr>
      <w:tr>
        <w:trPr/>
        <w:tc>
          <w:tcPr>
            <w:tcW w:w="220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Vulnerability Management</w:t>
            </w:r>
          </w:p>
        </w:tc>
        <w:tc>
          <w:tcPr>
            <w:tcW w:w="1098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ID.RA-1</w:t>
            </w:r>
          </w:p>
        </w:tc>
        <w:tc>
          <w:tcPr>
            <w:tcW w:w="158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V14 – Config</w:t>
            </w:r>
          </w:p>
        </w:tc>
        <w:tc>
          <w:tcPr>
            <w:tcW w:w="100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A.12.6.1</w:t>
            </w:r>
          </w:p>
        </w:tc>
        <w:tc>
          <w:tcPr>
            <w:tcW w:w="108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TVM-02</w:t>
            </w:r>
          </w:p>
        </w:tc>
        <w:tc>
          <w:tcPr>
            <w:tcW w:w="306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Trivy image scan; SonarQube; CodeQL; ZAP DAST in CI/CD</w:t>
            </w:r>
          </w:p>
        </w:tc>
      </w:tr>
      <w:tr>
        <w:trPr/>
        <w:tc>
          <w:tcPr>
            <w:tcW w:w="220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Secure Development</w:t>
            </w:r>
          </w:p>
        </w:tc>
        <w:tc>
          <w:tcPr>
            <w:tcW w:w="1098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PR.IP-2</w:t>
            </w:r>
          </w:p>
        </w:tc>
        <w:tc>
          <w:tcPr>
            <w:tcW w:w="158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V14 – Config Security</w:t>
            </w:r>
          </w:p>
        </w:tc>
        <w:tc>
          <w:tcPr>
            <w:tcW w:w="100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A.14.2.1</w:t>
            </w:r>
          </w:p>
        </w:tc>
        <w:tc>
          <w:tcPr>
            <w:tcW w:w="108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DSI-01</w:t>
            </w:r>
          </w:p>
        </w:tc>
        <w:tc>
          <w:tcPr>
            <w:tcW w:w="306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GitHub Actions pipeline; SAST gates; security code review</w:t>
            </w:r>
          </w:p>
        </w:tc>
      </w:tr>
      <w:tr>
        <w:trPr/>
        <w:tc>
          <w:tcPr>
            <w:tcW w:w="220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Network Security</w:t>
            </w:r>
          </w:p>
        </w:tc>
        <w:tc>
          <w:tcPr>
            <w:tcW w:w="1098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PR.AC-5</w:t>
            </w:r>
          </w:p>
        </w:tc>
        <w:tc>
          <w:tcPr>
            <w:tcW w:w="158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V9 – Communications</w:t>
            </w:r>
          </w:p>
        </w:tc>
        <w:tc>
          <w:tcPr>
            <w:tcW w:w="100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A.13.1.1</w:t>
            </w:r>
          </w:p>
        </w:tc>
        <w:tc>
          <w:tcPr>
            <w:tcW w:w="108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IVS-06</w:t>
            </w:r>
          </w:p>
        </w:tc>
        <w:tc>
          <w:tcPr>
            <w:tcW w:w="306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K8s Network Policies; API Gateway; port restriction</w:t>
            </w:r>
          </w:p>
        </w:tc>
      </w:tr>
      <w:tr>
        <w:trPr/>
        <w:tc>
          <w:tcPr>
            <w:tcW w:w="220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Secrets Management</w:t>
            </w:r>
          </w:p>
        </w:tc>
        <w:tc>
          <w:tcPr>
            <w:tcW w:w="1098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PR.DS-1</w:t>
            </w:r>
          </w:p>
        </w:tc>
        <w:tc>
          <w:tcPr>
            <w:tcW w:w="158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V14.3 – Secrets</w:t>
            </w:r>
          </w:p>
        </w:tc>
        <w:tc>
          <w:tcPr>
            <w:tcW w:w="100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A.9.4.3</w:t>
            </w:r>
          </w:p>
        </w:tc>
        <w:tc>
          <w:tcPr>
            <w:tcW w:w="108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EKM-03</w:t>
            </w:r>
          </w:p>
        </w:tc>
        <w:tc>
          <w:tcPr>
            <w:tcW w:w="306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HashiCorp Vault dynamic secrets; no env var secrets</w:t>
            </w:r>
          </w:p>
        </w:tc>
      </w:tr>
      <w:tr>
        <w:trPr/>
        <w:tc>
          <w:tcPr>
            <w:tcW w:w="220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Recovery &amp; Continuity</w:t>
            </w:r>
          </w:p>
        </w:tc>
        <w:tc>
          <w:tcPr>
            <w:tcW w:w="1098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RC.RP-1</w:t>
            </w:r>
          </w:p>
        </w:tc>
        <w:tc>
          <w:tcPr>
            <w:tcW w:w="158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N/A</w:t>
            </w:r>
          </w:p>
        </w:tc>
        <w:tc>
          <w:tcPr>
            <w:tcW w:w="100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A.17.1.2</w:t>
            </w:r>
          </w:p>
        </w:tc>
        <w:tc>
          <w:tcPr>
            <w:tcW w:w="108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BCR-01</w:t>
            </w:r>
          </w:p>
        </w:tc>
        <w:tc>
          <w:tcPr>
            <w:tcW w:w="306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K8s pod restart; Helm rollback to clean image; Vault key restore</w:t>
            </w:r>
          </w:p>
        </w:tc>
      </w:tr>
    </w:tbl>
    <w:p>
      <w:pPr>
        <w:pStyle w:val="Normal"/>
        <w:bidi w:val="0"/>
        <w:spacing w:before="50" w:after="50"/>
        <w:jc w:val="left"/>
        <w:rPr/>
      </w:pPr>
      <w:r>
        <w:rPr/>
      </w:r>
    </w:p>
    <w:p>
      <w:pPr>
        <w:pStyle w:val="Normal"/>
        <w:bidi w:val="0"/>
        <w:spacing w:before="50" w:after="50"/>
        <w:jc w:val="left"/>
        <w:rPr/>
      </w:pPr>
      <w:r>
        <w:rPr/>
      </w:r>
    </w:p>
    <w:p>
      <w:pPr>
        <w:pStyle w:val="Heading2"/>
        <w:pBdr>
          <w:bottom w:val="single" w:sz="2" w:space="1" w:color="4CAF7D"/>
        </w:pBdr>
        <w:bidi w:val="0"/>
        <w:spacing w:before="220" w:after="100"/>
        <w:jc w:val="left"/>
        <w:rPr/>
      </w:pPr>
      <w:r>
        <w:rPr>
          <w:rFonts w:eastAsia="Arial" w:cs="Arial"/>
          <w:b/>
          <w:bCs/>
          <w:color w:val="1A5C38"/>
          <w:sz w:val="26"/>
          <w:szCs w:val="26"/>
        </w:rPr>
        <w:t>4.2 NIST CSF Detailed Mapping</w:t>
      </w:r>
    </w:p>
    <w:p>
      <w:pPr>
        <w:pStyle w:val="Heading3"/>
        <w:bidi w:val="0"/>
        <w:spacing w:before="160" w:after="70"/>
        <w:jc w:val="left"/>
        <w:rPr/>
      </w:pPr>
      <w:r>
        <w:rPr>
          <w:rFonts w:eastAsia="Arial" w:cs="Arial"/>
          <w:b/>
          <w:bCs/>
          <w:color w:val="2E7D52"/>
          <w:sz w:val="23"/>
          <w:szCs w:val="23"/>
        </w:rPr>
        <w:t>IDENTIFY Function</w:t>
      </w:r>
    </w:p>
    <w:tbl>
      <w:tblPr>
        <w:tblW w:w="10020" w:type="dxa"/>
        <w:jc w:val="left"/>
        <w:tblInd w:w="121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200"/>
        <w:gridCol w:w="4400"/>
        <w:gridCol w:w="4420"/>
      </w:tblGrid>
      <w:tr>
        <w:trPr>
          <w:tblHeader w:val="true"/>
        </w:trPr>
        <w:tc>
          <w:tcPr>
            <w:tcW w:w="12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C38" w:val="clear"/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NIST CSF Control</w:t>
            </w:r>
          </w:p>
        </w:tc>
        <w:tc>
          <w:tcPr>
            <w:tcW w:w="4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C38" w:val="clear"/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Control Description</w:t>
            </w:r>
          </w:p>
        </w:tc>
        <w:tc>
          <w:tcPr>
            <w:tcW w:w="442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C38" w:val="clear"/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SecureVault Implementation</w:t>
            </w:r>
          </w:p>
        </w:tc>
      </w:tr>
      <w:tr>
        <w:trPr/>
        <w:tc>
          <w:tcPr>
            <w:tcW w:w="120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ID.AM-1</w:t>
            </w:r>
          </w:p>
        </w:tc>
        <w:tc>
          <w:tcPr>
            <w:tcW w:w="440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Inventory of physical devices and systems</w:t>
            </w:r>
          </w:p>
        </w:tc>
        <w:tc>
          <w:tcPr>
            <w:tcW w:w="442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3 microservices catalogued; Kubernetes pod inventory</w:t>
            </w:r>
          </w:p>
        </w:tc>
      </w:tr>
      <w:tr>
        <w:trPr/>
        <w:tc>
          <w:tcPr>
            <w:tcW w:w="120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ID.AM-2</w:t>
            </w:r>
          </w:p>
        </w:tc>
        <w:tc>
          <w:tcPr>
            <w:tcW w:w="440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Inventory of software platforms and applications</w:t>
            </w:r>
          </w:p>
        </w:tc>
        <w:tc>
          <w:tcPr>
            <w:tcW w:w="442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Docker image registry; Helm chart versioning</w:t>
            </w:r>
          </w:p>
        </w:tc>
      </w:tr>
      <w:tr>
        <w:trPr/>
        <w:tc>
          <w:tcPr>
            <w:tcW w:w="120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ID.RA-1</w:t>
            </w:r>
          </w:p>
        </w:tc>
        <w:tc>
          <w:tcPr>
            <w:tcW w:w="440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Asset vulnerabilities identified and documented</w:t>
            </w:r>
          </w:p>
        </w:tc>
        <w:tc>
          <w:tcPr>
            <w:tcW w:w="442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Trivy scan reports; SonarQube findings; this SRD document</w:t>
            </w:r>
          </w:p>
        </w:tc>
      </w:tr>
      <w:tr>
        <w:trPr/>
        <w:tc>
          <w:tcPr>
            <w:tcW w:w="120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ID.RA-3</w:t>
            </w:r>
          </w:p>
        </w:tc>
        <w:tc>
          <w:tcPr>
            <w:tcW w:w="440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Threats identified and documented</w:t>
            </w:r>
          </w:p>
        </w:tc>
        <w:tc>
          <w:tcPr>
            <w:tcW w:w="442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STRIDE threat model (Document 2); MITRE ATT&amp;CK mapping (Document 3)</w:t>
            </w:r>
          </w:p>
        </w:tc>
      </w:tr>
    </w:tbl>
    <w:p>
      <w:pPr>
        <w:pStyle w:val="Heading3"/>
        <w:bidi w:val="0"/>
        <w:spacing w:before="160" w:after="70"/>
        <w:jc w:val="left"/>
        <w:rPr/>
      </w:pPr>
      <w:r>
        <w:rPr>
          <w:rFonts w:eastAsia="Arial" w:cs="Arial"/>
          <w:b/>
          <w:bCs/>
          <w:color w:val="2E7D52"/>
          <w:sz w:val="23"/>
          <w:szCs w:val="23"/>
        </w:rPr>
        <w:t>PROTECT Function</w:t>
      </w:r>
    </w:p>
    <w:tbl>
      <w:tblPr>
        <w:tblW w:w="10020" w:type="dxa"/>
        <w:jc w:val="left"/>
        <w:tblInd w:w="121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200"/>
        <w:gridCol w:w="4400"/>
        <w:gridCol w:w="4420"/>
      </w:tblGrid>
      <w:tr>
        <w:trPr>
          <w:tblHeader w:val="true"/>
        </w:trPr>
        <w:tc>
          <w:tcPr>
            <w:tcW w:w="12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C38" w:val="clear"/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NIST CSF Control</w:t>
            </w:r>
          </w:p>
        </w:tc>
        <w:tc>
          <w:tcPr>
            <w:tcW w:w="4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C38" w:val="clear"/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Control Description</w:t>
            </w:r>
          </w:p>
        </w:tc>
        <w:tc>
          <w:tcPr>
            <w:tcW w:w="442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C38" w:val="clear"/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SecureVault Implementation</w:t>
            </w:r>
          </w:p>
        </w:tc>
      </w:tr>
      <w:tr>
        <w:trPr/>
        <w:tc>
          <w:tcPr>
            <w:tcW w:w="120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PR.AC-1</w:t>
            </w:r>
          </w:p>
        </w:tc>
        <w:tc>
          <w:tcPr>
            <w:tcW w:w="440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Identities and credentials managed</w:t>
            </w:r>
          </w:p>
        </w:tc>
        <w:tc>
          <w:tcPr>
            <w:tcW w:w="442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Keycloak OIDC; JWT RS256; bcrypt passwords; Vault secrets</w:t>
            </w:r>
          </w:p>
        </w:tc>
      </w:tr>
      <w:tr>
        <w:trPr/>
        <w:tc>
          <w:tcPr>
            <w:tcW w:w="120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PR.AC-3</w:t>
            </w:r>
          </w:p>
        </w:tc>
        <w:tc>
          <w:tcPr>
            <w:tcW w:w="440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Remote access managed</w:t>
            </w:r>
          </w:p>
        </w:tc>
        <w:tc>
          <w:tcPr>
            <w:tcW w:w="442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TLS 1.3 enforced; API Gateway; JWT required on all endpoints</w:t>
            </w:r>
          </w:p>
        </w:tc>
      </w:tr>
      <w:tr>
        <w:trPr/>
        <w:tc>
          <w:tcPr>
            <w:tcW w:w="120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PR.DS-1</w:t>
            </w:r>
          </w:p>
        </w:tc>
        <w:tc>
          <w:tcPr>
            <w:tcW w:w="440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Data-at-rest protected</w:t>
            </w:r>
          </w:p>
        </w:tc>
        <w:tc>
          <w:tcPr>
            <w:tcW w:w="442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AES-256 database encryption; Vault key management</w:t>
            </w:r>
          </w:p>
        </w:tc>
      </w:tr>
      <w:tr>
        <w:trPr/>
        <w:tc>
          <w:tcPr>
            <w:tcW w:w="120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PR.DS-2</w:t>
            </w:r>
          </w:p>
        </w:tc>
        <w:tc>
          <w:tcPr>
            <w:tcW w:w="440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Data-in-transit protected</w:t>
            </w:r>
          </w:p>
        </w:tc>
        <w:tc>
          <w:tcPr>
            <w:tcW w:w="442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TLS 1.3; mTLS inter-service; HTTPS enforced</w:t>
            </w:r>
          </w:p>
        </w:tc>
      </w:tr>
      <w:tr>
        <w:trPr/>
        <w:tc>
          <w:tcPr>
            <w:tcW w:w="120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PR.IP-2</w:t>
            </w:r>
          </w:p>
        </w:tc>
        <w:tc>
          <w:tcPr>
            <w:tcW w:w="440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Cyber security included in HR practices</w:t>
            </w:r>
          </w:p>
        </w:tc>
        <w:tc>
          <w:tcPr>
            <w:tcW w:w="442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Team roles defined; secure coding training (this project)</w:t>
            </w:r>
          </w:p>
        </w:tc>
      </w:tr>
    </w:tbl>
    <w:p>
      <w:pPr>
        <w:pStyle w:val="Heading3"/>
        <w:bidi w:val="0"/>
        <w:spacing w:before="160" w:after="70"/>
        <w:jc w:val="left"/>
        <w:rPr/>
      </w:pPr>
      <w:r>
        <w:rPr>
          <w:rFonts w:eastAsia="Arial" w:cs="Arial"/>
          <w:b/>
          <w:bCs/>
          <w:color w:val="2E7D52"/>
          <w:sz w:val="23"/>
          <w:szCs w:val="23"/>
        </w:rPr>
        <w:t>DETECT Function</w:t>
      </w:r>
    </w:p>
    <w:tbl>
      <w:tblPr>
        <w:tblW w:w="10020" w:type="dxa"/>
        <w:jc w:val="left"/>
        <w:tblInd w:w="121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200"/>
        <w:gridCol w:w="4400"/>
        <w:gridCol w:w="4420"/>
      </w:tblGrid>
      <w:tr>
        <w:trPr>
          <w:tblHeader w:val="true"/>
        </w:trPr>
        <w:tc>
          <w:tcPr>
            <w:tcW w:w="12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C38" w:val="clear"/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NIST CSF Control</w:t>
            </w:r>
          </w:p>
        </w:tc>
        <w:tc>
          <w:tcPr>
            <w:tcW w:w="4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C38" w:val="clear"/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Control Description</w:t>
            </w:r>
          </w:p>
        </w:tc>
        <w:tc>
          <w:tcPr>
            <w:tcW w:w="442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C38" w:val="clear"/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SecureVault Implementation</w:t>
            </w:r>
          </w:p>
        </w:tc>
      </w:tr>
      <w:tr>
        <w:trPr/>
        <w:tc>
          <w:tcPr>
            <w:tcW w:w="120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DE.CM-1</w:t>
            </w:r>
          </w:p>
        </w:tc>
        <w:tc>
          <w:tcPr>
            <w:tcW w:w="440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Network monitored for anomalous events</w:t>
            </w:r>
          </w:p>
        </w:tc>
        <w:tc>
          <w:tcPr>
            <w:tcW w:w="442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Prometheus metrics; Falco runtime; AI/ML anomaly model</w:t>
            </w:r>
          </w:p>
        </w:tc>
      </w:tr>
      <w:tr>
        <w:trPr/>
        <w:tc>
          <w:tcPr>
            <w:tcW w:w="120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DE.CM-3</w:t>
            </w:r>
          </w:p>
        </w:tc>
        <w:tc>
          <w:tcPr>
            <w:tcW w:w="440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Personnel activity monitored</w:t>
            </w:r>
          </w:p>
        </w:tc>
        <w:tc>
          <w:tcPr>
            <w:tcW w:w="442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All API calls logged; admin actions audited in QRadar</w:t>
            </w:r>
          </w:p>
        </w:tc>
      </w:tr>
      <w:tr>
        <w:trPr/>
        <w:tc>
          <w:tcPr>
            <w:tcW w:w="120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DE.CM-7</w:t>
            </w:r>
          </w:p>
        </w:tc>
        <w:tc>
          <w:tcPr>
            <w:tcW w:w="440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Monitoring for unauthorised personnel/connections</w:t>
            </w:r>
          </w:p>
        </w:tc>
        <w:tc>
          <w:tcPr>
            <w:tcW w:w="442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QRadar correlation rules R-01 to R-05; Falco custom rules</w:t>
            </w:r>
          </w:p>
        </w:tc>
      </w:tr>
      <w:tr>
        <w:trPr/>
        <w:tc>
          <w:tcPr>
            <w:tcW w:w="120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DE.AE-2</w:t>
            </w:r>
          </w:p>
        </w:tc>
        <w:tc>
          <w:tcPr>
            <w:tcW w:w="440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Detected events analysed</w:t>
            </w:r>
          </w:p>
        </w:tc>
        <w:tc>
          <w:tcPr>
            <w:tcW w:w="442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IBM QRadar SIEM; Grafana dashboards; AI/ML scoring</w:t>
            </w:r>
          </w:p>
        </w:tc>
      </w:tr>
    </w:tbl>
    <w:p>
      <w:pPr>
        <w:pStyle w:val="Heading3"/>
        <w:bidi w:val="0"/>
        <w:spacing w:before="160" w:after="70"/>
        <w:jc w:val="left"/>
        <w:rPr/>
      </w:pPr>
      <w:r>
        <w:rPr>
          <w:rFonts w:eastAsia="Arial" w:cs="Arial"/>
          <w:b/>
          <w:bCs/>
          <w:color w:val="2E7D52"/>
          <w:sz w:val="23"/>
          <w:szCs w:val="23"/>
        </w:rPr>
        <w:t>RESPOND Function</w:t>
      </w:r>
    </w:p>
    <w:tbl>
      <w:tblPr>
        <w:tblW w:w="10020" w:type="dxa"/>
        <w:jc w:val="left"/>
        <w:tblInd w:w="121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200"/>
        <w:gridCol w:w="4400"/>
        <w:gridCol w:w="4420"/>
      </w:tblGrid>
      <w:tr>
        <w:trPr>
          <w:tblHeader w:val="true"/>
        </w:trPr>
        <w:tc>
          <w:tcPr>
            <w:tcW w:w="12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C38" w:val="clear"/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NIST CSF Control</w:t>
            </w:r>
          </w:p>
        </w:tc>
        <w:tc>
          <w:tcPr>
            <w:tcW w:w="4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C38" w:val="clear"/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Control Description</w:t>
            </w:r>
          </w:p>
        </w:tc>
        <w:tc>
          <w:tcPr>
            <w:tcW w:w="442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C38" w:val="clear"/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SecureVault Implementation</w:t>
            </w:r>
          </w:p>
        </w:tc>
      </w:tr>
      <w:tr>
        <w:trPr/>
        <w:tc>
          <w:tcPr>
            <w:tcW w:w="120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RS.RP-1</w:t>
            </w:r>
          </w:p>
        </w:tc>
        <w:tc>
          <w:tcPr>
            <w:tcW w:w="440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Response plan executed during event</w:t>
            </w:r>
          </w:p>
        </w:tc>
        <w:tc>
          <w:tcPr>
            <w:tcW w:w="442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Zarmeena's Blue Team runbook — Detection through Recovery phases</w:t>
            </w:r>
          </w:p>
        </w:tc>
      </w:tr>
      <w:tr>
        <w:trPr/>
        <w:tc>
          <w:tcPr>
            <w:tcW w:w="120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RS.CO-2</w:t>
            </w:r>
          </w:p>
        </w:tc>
        <w:tc>
          <w:tcPr>
            <w:tcW w:w="440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Incidents reported per criteria</w:t>
            </w:r>
          </w:p>
        </w:tc>
        <w:tc>
          <w:tcPr>
            <w:tcW w:w="442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QRadar offense creation; SOC email alert; P1/P2 severity tagging</w:t>
            </w:r>
          </w:p>
        </w:tc>
      </w:tr>
      <w:tr>
        <w:trPr/>
        <w:tc>
          <w:tcPr>
            <w:tcW w:w="120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RS.AN-1</w:t>
            </w:r>
          </w:p>
        </w:tc>
        <w:tc>
          <w:tcPr>
            <w:tcW w:w="440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Notifications from detection systems investigated</w:t>
            </w:r>
          </w:p>
        </w:tc>
        <w:tc>
          <w:tcPr>
            <w:tcW w:w="442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QRadar offenses reviewed; Falco alerts triaged; logs analysed</w:t>
            </w:r>
          </w:p>
        </w:tc>
      </w:tr>
      <w:tr>
        <w:trPr/>
        <w:tc>
          <w:tcPr>
            <w:tcW w:w="120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RS.IM-1</w:t>
            </w:r>
          </w:p>
        </w:tc>
        <w:tc>
          <w:tcPr>
            <w:tcW w:w="440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Response plans incorporate lessons learned</w:t>
            </w:r>
          </w:p>
        </w:tc>
        <w:tc>
          <w:tcPr>
            <w:tcW w:w="442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Post-incident report; updated Falco rules; new QRadar correlation rules</w:t>
            </w:r>
          </w:p>
        </w:tc>
      </w:tr>
    </w:tbl>
    <w:p>
      <w:pPr>
        <w:pStyle w:val="Heading3"/>
        <w:bidi w:val="0"/>
        <w:spacing w:before="160" w:after="70"/>
        <w:jc w:val="left"/>
        <w:rPr/>
      </w:pPr>
      <w:r>
        <w:rPr>
          <w:rFonts w:eastAsia="Arial" w:cs="Arial"/>
          <w:b/>
          <w:bCs/>
          <w:color w:val="2E7D52"/>
          <w:sz w:val="23"/>
          <w:szCs w:val="23"/>
        </w:rPr>
        <w:t>RECOVER Function</w:t>
      </w:r>
    </w:p>
    <w:tbl>
      <w:tblPr>
        <w:tblW w:w="9980" w:type="dxa"/>
        <w:jc w:val="left"/>
        <w:tblInd w:w="121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199"/>
        <w:gridCol w:w="4400"/>
        <w:gridCol w:w="4381"/>
      </w:tblGrid>
      <w:tr>
        <w:trPr>
          <w:tblHeader w:val="true"/>
        </w:trPr>
        <w:tc>
          <w:tcPr>
            <w:tcW w:w="1199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C38" w:val="clear"/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NIST CSF Control</w:t>
            </w:r>
          </w:p>
        </w:tc>
        <w:tc>
          <w:tcPr>
            <w:tcW w:w="4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C38" w:val="clear"/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Control Description</w:t>
            </w:r>
          </w:p>
        </w:tc>
        <w:tc>
          <w:tcPr>
            <w:tcW w:w="438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C38" w:val="clear"/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SecureVault Implementation</w:t>
            </w:r>
          </w:p>
        </w:tc>
      </w:tr>
      <w:tr>
        <w:trPr/>
        <w:tc>
          <w:tcPr>
            <w:tcW w:w="1199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RC.RP-1</w:t>
            </w:r>
          </w:p>
        </w:tc>
        <w:tc>
          <w:tcPr>
            <w:tcW w:w="440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Recovery plan executed during event</w:t>
            </w:r>
          </w:p>
        </w:tc>
        <w:tc>
          <w:tcPr>
            <w:tcW w:w="438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Helm rollback to clean image; Vault secret rotation; pod restart</w:t>
            </w:r>
          </w:p>
        </w:tc>
      </w:tr>
      <w:tr>
        <w:trPr/>
        <w:tc>
          <w:tcPr>
            <w:tcW w:w="1199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RC.IM-1</w:t>
            </w:r>
          </w:p>
        </w:tc>
        <w:tc>
          <w:tcPr>
            <w:tcW w:w="440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Recovery plans incorporate lessons learned</w:t>
            </w:r>
          </w:p>
        </w:tc>
        <w:tc>
          <w:tcPr>
            <w:tcW w:w="438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Updated threat model; new security requirements added to SRD</w:t>
            </w:r>
          </w:p>
        </w:tc>
      </w:tr>
    </w:tbl>
    <w:p>
      <w:pPr>
        <w:pStyle w:val="Heading2"/>
        <w:pBdr>
          <w:bottom w:val="single" w:sz="2" w:space="1" w:color="4CAF7D"/>
        </w:pBdr>
        <w:bidi w:val="0"/>
        <w:spacing w:before="220" w:after="100"/>
        <w:jc w:val="left"/>
        <w:rPr/>
      </w:pPr>
      <w:r>
        <w:rPr>
          <w:rFonts w:eastAsia="Arial" w:cs="Arial"/>
          <w:b/>
          <w:bCs/>
          <w:color w:val="1A5C38"/>
          <w:sz w:val="26"/>
          <w:szCs w:val="26"/>
        </w:rPr>
        <w:t>4.3 ISO 27034 Application Security Controls</w:t>
      </w:r>
    </w:p>
    <w:tbl>
      <w:tblPr>
        <w:tblW w:w="9980" w:type="dxa"/>
        <w:jc w:val="left"/>
        <w:tblInd w:w="121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19"/>
        <w:gridCol w:w="2980"/>
        <w:gridCol w:w="5481"/>
      </w:tblGrid>
      <w:tr>
        <w:trPr>
          <w:tblHeader w:val="true"/>
        </w:trPr>
        <w:tc>
          <w:tcPr>
            <w:tcW w:w="1519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C38" w:val="clear"/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ISO Control</w:t>
            </w:r>
          </w:p>
        </w:tc>
        <w:tc>
          <w:tcPr>
            <w:tcW w:w="298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C38" w:val="clear"/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548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C38" w:val="clear"/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SecureVault Implementation</w:t>
            </w:r>
          </w:p>
        </w:tc>
      </w:tr>
      <w:tr>
        <w:trPr/>
        <w:tc>
          <w:tcPr>
            <w:tcW w:w="1519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A.9 – Access Control</w:t>
            </w:r>
          </w:p>
        </w:tc>
        <w:tc>
          <w:tcPr>
            <w:tcW w:w="298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User access management and password policy</w:t>
            </w:r>
          </w:p>
        </w:tc>
        <w:tc>
          <w:tcPr>
            <w:tcW w:w="548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RBAC customer/admin; bcrypt passwords; JWT session management</w:t>
            </w:r>
          </w:p>
        </w:tc>
      </w:tr>
      <w:tr>
        <w:trPr/>
        <w:tc>
          <w:tcPr>
            <w:tcW w:w="1519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A.10 – Cryptography</w:t>
            </w:r>
          </w:p>
        </w:tc>
        <w:tc>
          <w:tcPr>
            <w:tcW w:w="298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Encryption policy and key management</w:t>
            </w:r>
          </w:p>
        </w:tc>
        <w:tc>
          <w:tcPr>
            <w:tcW w:w="548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AES-256 at rest; TLS 1.3 in transit; Vault key rotation</w:t>
            </w:r>
          </w:p>
        </w:tc>
      </w:tr>
      <w:tr>
        <w:trPr/>
        <w:tc>
          <w:tcPr>
            <w:tcW w:w="1519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A.12 – Operations Security</w:t>
            </w:r>
          </w:p>
        </w:tc>
        <w:tc>
          <w:tcPr>
            <w:tcW w:w="298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Malware protection; logging; vulnerability management</w:t>
            </w:r>
          </w:p>
        </w:tc>
        <w:tc>
          <w:tcPr>
            <w:tcW w:w="548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Falco runtime; QRadar SIEM; Trivy + SonarQube + CodeQL</w:t>
            </w:r>
          </w:p>
        </w:tc>
      </w:tr>
      <w:tr>
        <w:trPr/>
        <w:tc>
          <w:tcPr>
            <w:tcW w:w="1519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A.13 – Network Security</w:t>
            </w:r>
          </w:p>
        </w:tc>
        <w:tc>
          <w:tcPr>
            <w:tcW w:w="298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Network controls and information transfer</w:t>
            </w:r>
          </w:p>
        </w:tc>
        <w:tc>
          <w:tcPr>
            <w:tcW w:w="548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K8s Network Policies; mTLS; API Gateway rate limiting</w:t>
            </w:r>
          </w:p>
        </w:tc>
      </w:tr>
      <w:tr>
        <w:trPr/>
        <w:tc>
          <w:tcPr>
            <w:tcW w:w="1519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A.14 – System Acquisition</w:t>
            </w:r>
          </w:p>
        </w:tc>
        <w:tc>
          <w:tcPr>
            <w:tcW w:w="298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Secure development lifecycle requirements</w:t>
            </w:r>
          </w:p>
        </w:tc>
        <w:tc>
          <w:tcPr>
            <w:tcW w:w="548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GitHub Actions security gates; SAST; DAST; code review</w:t>
            </w:r>
          </w:p>
        </w:tc>
      </w:tr>
      <w:tr>
        <w:trPr/>
        <w:tc>
          <w:tcPr>
            <w:tcW w:w="1519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A.16 – Incident Management</w:t>
            </w:r>
          </w:p>
        </w:tc>
        <w:tc>
          <w:tcPr>
            <w:tcW w:w="298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Incident response and reporting</w:t>
            </w:r>
          </w:p>
        </w:tc>
        <w:tc>
          <w:tcPr>
            <w:tcW w:w="548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Zarmeena's Blue Team runbook; QRadar offense management</w:t>
            </w:r>
          </w:p>
        </w:tc>
      </w:tr>
      <w:tr>
        <w:trPr/>
        <w:tc>
          <w:tcPr>
            <w:tcW w:w="1519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A.17 – Business Continuity</w:t>
            </w:r>
          </w:p>
        </w:tc>
        <w:tc>
          <w:tcPr>
            <w:tcW w:w="298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Continuity planning and redundancy</w:t>
            </w:r>
          </w:p>
        </w:tc>
        <w:tc>
          <w:tcPr>
            <w:tcW w:w="548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K8s HPA; Vault HA; Redis cluster; pod restart policies</w:t>
            </w:r>
          </w:p>
        </w:tc>
      </w:tr>
    </w:tbl>
    <w:p>
      <w:pPr>
        <w:pStyle w:val="Normal"/>
        <w:bidi w:val="0"/>
        <w:spacing w:before="50" w:after="50"/>
        <w:jc w:val="left"/>
        <w:rPr/>
      </w:pPr>
      <w:r>
        <w:rPr/>
      </w:r>
    </w:p>
    <w:p>
      <w:pPr>
        <w:pStyle w:val="Normal"/>
        <w:bidi w:val="0"/>
        <w:spacing w:before="50" w:after="50"/>
        <w:jc w:val="left"/>
        <w:rPr/>
      </w:pPr>
      <w:r>
        <w:rPr/>
      </w:r>
    </w:p>
    <w:p>
      <w:pPr>
        <w:pStyle w:val="Heading2"/>
        <w:pBdr>
          <w:bottom w:val="single" w:sz="2" w:space="1" w:color="4CAF7D"/>
        </w:pBdr>
        <w:bidi w:val="0"/>
        <w:spacing w:before="220" w:after="100"/>
        <w:jc w:val="left"/>
        <w:rPr/>
      </w:pPr>
      <w:r>
        <w:rPr>
          <w:rFonts w:eastAsia="Arial" w:cs="Arial"/>
          <w:b/>
          <w:bCs/>
          <w:color w:val="1A5C38"/>
          <w:sz w:val="26"/>
          <w:szCs w:val="26"/>
        </w:rPr>
        <w:t>4.4 CSA Cloud Controls Matrix (CCM)</w:t>
      </w:r>
    </w:p>
    <w:tbl>
      <w:tblPr>
        <w:tblW w:w="9980" w:type="dxa"/>
        <w:jc w:val="left"/>
        <w:tblInd w:w="121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8"/>
        <w:gridCol w:w="1001"/>
        <w:gridCol w:w="2601"/>
        <w:gridCol w:w="4180"/>
      </w:tblGrid>
      <w:tr>
        <w:trPr>
          <w:tblHeader w:val="true"/>
        </w:trPr>
        <w:tc>
          <w:tcPr>
            <w:tcW w:w="2198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C38" w:val="clear"/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CSA CCM Domain</w:t>
            </w:r>
          </w:p>
        </w:tc>
        <w:tc>
          <w:tcPr>
            <w:tcW w:w="100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C38" w:val="clear"/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Control ID</w:t>
            </w:r>
          </w:p>
        </w:tc>
        <w:tc>
          <w:tcPr>
            <w:tcW w:w="260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C38" w:val="clear"/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418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C38" w:val="clear"/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SecureVault Implementation</w:t>
            </w:r>
          </w:p>
        </w:tc>
      </w:tr>
      <w:tr>
        <w:trPr/>
        <w:tc>
          <w:tcPr>
            <w:tcW w:w="2198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Identity &amp; Access Mgmt</w:t>
            </w:r>
          </w:p>
        </w:tc>
        <w:tc>
          <w:tcPr>
            <w:tcW w:w="100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IAM-01</w:t>
            </w:r>
          </w:p>
        </w:tc>
        <w:tc>
          <w:tcPr>
            <w:tcW w:w="260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Strong authentication enforced</w:t>
            </w:r>
          </w:p>
        </w:tc>
        <w:tc>
          <w:tcPr>
            <w:tcW w:w="418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Keycloak OIDC + JWT RS256 + rate limiting</w:t>
            </w:r>
          </w:p>
        </w:tc>
      </w:tr>
      <w:tr>
        <w:trPr/>
        <w:tc>
          <w:tcPr>
            <w:tcW w:w="2198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Identity &amp; Access Mgmt</w:t>
            </w:r>
          </w:p>
        </w:tc>
        <w:tc>
          <w:tcPr>
            <w:tcW w:w="100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IAM-05</w:t>
            </w:r>
          </w:p>
        </w:tc>
        <w:tc>
          <w:tcPr>
            <w:tcW w:w="260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Least privilege access</w:t>
            </w:r>
          </w:p>
        </w:tc>
        <w:tc>
          <w:tcPr>
            <w:tcW w:w="418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RBAC: customer vs admin; OPA Gatekeeper enforcement</w:t>
            </w:r>
          </w:p>
        </w:tc>
      </w:tr>
      <w:tr>
        <w:trPr/>
        <w:tc>
          <w:tcPr>
            <w:tcW w:w="2198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Encryption &amp; Key Mgmt</w:t>
            </w:r>
          </w:p>
        </w:tc>
        <w:tc>
          <w:tcPr>
            <w:tcW w:w="100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EKM-01</w:t>
            </w:r>
          </w:p>
        </w:tc>
        <w:tc>
          <w:tcPr>
            <w:tcW w:w="260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Data encryption at rest</w:t>
            </w:r>
          </w:p>
        </w:tc>
        <w:tc>
          <w:tcPr>
            <w:tcW w:w="418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AES-256 for PostgreSQL; Vault key management</w:t>
            </w:r>
          </w:p>
        </w:tc>
      </w:tr>
      <w:tr>
        <w:trPr/>
        <w:tc>
          <w:tcPr>
            <w:tcW w:w="2198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Encryption &amp; Key Mgmt</w:t>
            </w:r>
          </w:p>
        </w:tc>
        <w:tc>
          <w:tcPr>
            <w:tcW w:w="100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EKM-03</w:t>
            </w:r>
          </w:p>
        </w:tc>
        <w:tc>
          <w:tcPr>
            <w:tcW w:w="260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Key management lifecycle</w:t>
            </w:r>
          </w:p>
        </w:tc>
        <w:tc>
          <w:tcPr>
            <w:tcW w:w="418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HashiCorp Vault; key rotation; dynamic short-lived credentials</w:t>
            </w:r>
          </w:p>
        </w:tc>
      </w:tr>
      <w:tr>
        <w:trPr/>
        <w:tc>
          <w:tcPr>
            <w:tcW w:w="2198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Infrastructure &amp; Virt</w:t>
            </w:r>
          </w:p>
        </w:tc>
        <w:tc>
          <w:tcPr>
            <w:tcW w:w="100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IVS-06</w:t>
            </w:r>
          </w:p>
        </w:tc>
        <w:tc>
          <w:tcPr>
            <w:tcW w:w="260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Network security controls</w:t>
            </w:r>
          </w:p>
        </w:tc>
        <w:tc>
          <w:tcPr>
            <w:tcW w:w="418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K8s Network Policies; micro-segmentation per namespace</w:t>
            </w:r>
          </w:p>
        </w:tc>
      </w:tr>
      <w:tr>
        <w:trPr/>
        <w:tc>
          <w:tcPr>
            <w:tcW w:w="2198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Infrastructure &amp; Virt</w:t>
            </w:r>
          </w:p>
        </w:tc>
        <w:tc>
          <w:tcPr>
            <w:tcW w:w="100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IVS-09</w:t>
            </w:r>
          </w:p>
        </w:tc>
        <w:tc>
          <w:tcPr>
            <w:tcW w:w="260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Secure network protocols</w:t>
            </w:r>
          </w:p>
        </w:tc>
        <w:tc>
          <w:tcPr>
            <w:tcW w:w="418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TLS 1.3; mTLS inter-service; TLS 1.0/1.1/1.2 disabled</w:t>
            </w:r>
          </w:p>
        </w:tc>
      </w:tr>
      <w:tr>
        <w:trPr/>
        <w:tc>
          <w:tcPr>
            <w:tcW w:w="2198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Application Interface</w:t>
            </w:r>
          </w:p>
        </w:tc>
        <w:tc>
          <w:tcPr>
            <w:tcW w:w="100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AIS-01</w:t>
            </w:r>
          </w:p>
        </w:tc>
        <w:tc>
          <w:tcPr>
            <w:tcW w:w="260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Application security testing</w:t>
            </w:r>
          </w:p>
        </w:tc>
        <w:tc>
          <w:tcPr>
            <w:tcW w:w="418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SAST (SonarQube + CodeQL); DAST (ZAP); API pentesting</w:t>
            </w:r>
          </w:p>
        </w:tc>
      </w:tr>
      <w:tr>
        <w:trPr/>
        <w:tc>
          <w:tcPr>
            <w:tcW w:w="2198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Threat &amp; Vulnerability Mgmt</w:t>
            </w:r>
          </w:p>
        </w:tc>
        <w:tc>
          <w:tcPr>
            <w:tcW w:w="100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TVM-01</w:t>
            </w:r>
          </w:p>
        </w:tc>
        <w:tc>
          <w:tcPr>
            <w:tcW w:w="260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Threat detection</w:t>
            </w:r>
          </w:p>
        </w:tc>
        <w:tc>
          <w:tcPr>
            <w:tcW w:w="418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Falco; AI/ML anomaly model; QRadar SIEM correlation</w:t>
            </w:r>
          </w:p>
        </w:tc>
      </w:tr>
      <w:tr>
        <w:trPr/>
        <w:tc>
          <w:tcPr>
            <w:tcW w:w="2198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Threat &amp; Vulnerability Mgmt</w:t>
            </w:r>
          </w:p>
        </w:tc>
        <w:tc>
          <w:tcPr>
            <w:tcW w:w="100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TVM-02</w:t>
            </w:r>
          </w:p>
        </w:tc>
        <w:tc>
          <w:tcPr>
            <w:tcW w:w="260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Vulnerability scanning</w:t>
            </w:r>
          </w:p>
        </w:tc>
        <w:tc>
          <w:tcPr>
            <w:tcW w:w="418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Trivy image scan; kube-bench; SonarQube quality gate</w:t>
            </w:r>
          </w:p>
        </w:tc>
      </w:tr>
      <w:tr>
        <w:trPr/>
        <w:tc>
          <w:tcPr>
            <w:tcW w:w="2198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Logging &amp; Monitoring</w:t>
            </w:r>
          </w:p>
        </w:tc>
        <w:tc>
          <w:tcPr>
            <w:tcW w:w="100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LOG-01</w:t>
            </w:r>
          </w:p>
        </w:tc>
        <w:tc>
          <w:tcPr>
            <w:tcW w:w="260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Security event logging</w:t>
            </w:r>
          </w:p>
        </w:tc>
        <w:tc>
          <w:tcPr>
            <w:tcW w:w="418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All auth + transaction events logged; CEF format to QRadar</w:t>
            </w:r>
          </w:p>
        </w:tc>
      </w:tr>
      <w:tr>
        <w:trPr/>
        <w:tc>
          <w:tcPr>
            <w:tcW w:w="2198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Security Incident Mgmt</w:t>
            </w:r>
          </w:p>
        </w:tc>
        <w:tc>
          <w:tcPr>
            <w:tcW w:w="100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SEF-04</w:t>
            </w:r>
          </w:p>
        </w:tc>
        <w:tc>
          <w:tcPr>
            <w:tcW w:w="260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Incident response</w:t>
            </w:r>
          </w:p>
        </w:tc>
        <w:tc>
          <w:tcPr>
            <w:tcW w:w="418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Blue Team runbook; QRadar offense management; NIST SP 800-61</w:t>
            </w:r>
          </w:p>
        </w:tc>
      </w:tr>
      <w:tr>
        <w:trPr/>
        <w:tc>
          <w:tcPr>
            <w:tcW w:w="2198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Data Security</w:t>
            </w:r>
          </w:p>
        </w:tc>
        <w:tc>
          <w:tcPr>
            <w:tcW w:w="100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DSI-01</w:t>
            </w:r>
          </w:p>
        </w:tc>
        <w:tc>
          <w:tcPr>
            <w:tcW w:w="260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Data classification</w:t>
            </w:r>
          </w:p>
        </w:tc>
        <w:tc>
          <w:tcPr>
            <w:tcW w:w="418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Customer PII classified HIGH; balances classified CRITICAL</w:t>
            </w:r>
          </w:p>
        </w:tc>
      </w:tr>
    </w:tbl>
    <w:p>
      <w:pPr>
        <w:pStyle w:val="Normal"/>
        <w:bidi w:val="0"/>
        <w:spacing w:before="50" w:after="50"/>
        <w:jc w:val="left"/>
        <w:rPr/>
      </w:pPr>
      <w:r>
        <w:rPr/>
      </w:r>
    </w:p>
    <w:p>
      <w:pPr>
        <w:pStyle w:val="Normal"/>
        <w:bidi w:val="0"/>
        <w:spacing w:before="50" w:after="5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>
      <w:spacing w:before="300" w:after="120"/>
      <w:outlineLvl w:val="0"/>
    </w:pPr>
    <w:rPr>
      <w:rFonts w:ascii="Arial" w:hAnsi="Arial" w:eastAsia="Arial" w:cs="Arial"/>
      <w:b/>
      <w:bCs/>
      <w:color w:val="FFFFFF"/>
      <w:sz w:val="32"/>
      <w:szCs w:val="32"/>
    </w:rPr>
  </w:style>
  <w:style w:type="paragraph" w:styleId="Heading2">
    <w:name w:val="heading 2"/>
    <w:basedOn w:val="Heading"/>
    <w:qFormat/>
    <w:pPr>
      <w:spacing w:before="220" w:after="100"/>
      <w:outlineLvl w:val="1"/>
    </w:pPr>
    <w:rPr>
      <w:rFonts w:ascii="Arial" w:hAnsi="Arial" w:eastAsia="Arial" w:cs="Arial"/>
      <w:b/>
      <w:bCs/>
      <w:color w:val="1A5C38"/>
      <w:sz w:val="26"/>
      <w:szCs w:val="26"/>
    </w:rPr>
  </w:style>
  <w:style w:type="paragraph" w:styleId="Heading3">
    <w:name w:val="heading 3"/>
    <w:basedOn w:val="Heading"/>
    <w:qFormat/>
    <w:pPr>
      <w:spacing w:before="160" w:after="70"/>
      <w:outlineLvl w:val="2"/>
    </w:pPr>
    <w:rPr>
      <w:rFonts w:ascii="Arial" w:hAnsi="Arial" w:eastAsia="Arial" w:cs="Arial"/>
      <w:b/>
      <w:bCs/>
      <w:color w:val="2E7D52"/>
      <w:sz w:val="23"/>
      <w:szCs w:val="23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LibreOffice/26.2.4.2$Linux_X86_64 LibreOffice_project/0229ac93fcf0d7cbc6376066c6f35021cef002dc</Application>
  <AppVersion>15.0000</AppVersion>
  <Pages>5</Pages>
  <Words>923</Words>
  <Characters>6074</Characters>
  <CharactersWithSpaces>6765</CharactersWithSpaces>
  <Paragraphs>264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2026-06-10T17:22:26Z</dcterms:created>
  <dc:creator/>
  <dc:description/>
  <dc:language>en-US</dc:language>
  <cp:lastModifiedBy/>
  <dcterms:modified xsi:type="dcterms:W3CDTF">2026-06-10T17:31:41Z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