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Redlined Contract — Blindspot Analysis</w:t>
      </w:r>
    </w:p>
    <w:p>
      <w:r>
        <w:t>Generated on: Auto-generated by Blindspot v2.0</w:t>
      </w:r>
    </w:p>
    <w:p/>
    <w:p>
      <w:pPr>
        <w:pStyle w:val="Heading2"/>
      </w:pPr>
      <w:r>
        <w:t>LIABILITY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Service Provider's liability is capped at 50% of the project fee. No liability for indirect or consequential</w:t>
        <w:br/>
        <w:t>losses.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[REVISED] Service Provider's liability is capped at 50% of the project fee. No liability for indirect or conse...</w:t>
      </w:r>
    </w:p>
    <w:p>
      <w:r>
        <w:rPr>
          <w:i/>
          <w:sz w:val="18"/>
        </w:rPr>
        <w:t>Rationale: Revision required based on legal/benchmark analysis.</w:t>
      </w:r>
    </w:p>
    <w:p/>
    <w:p>
      <w:pPr>
        <w:pStyle w:val="Heading2"/>
      </w:pPr>
      <w:r>
        <w:t>INTELLECTUAL PROPERTY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Service Provider retains all rights to its background IP and methodology. Client receives a</w:t>
        <w:br/>
        <w:t>non-exclusive license for use.</w:t>
      </w:r>
    </w:p>
    <w:p/>
    <w:p>
      <w:pPr>
        <w:pStyle w:val="Heading2"/>
      </w:pPr>
      <w:r>
        <w:t>PAYMENT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50% upfront payment required. Balance 50% within 7 days of milestone completion.</w:t>
      </w:r>
    </w:p>
    <w:p/>
    <w:p>
      <w:pPr>
        <w:pStyle w:val="Heading2"/>
      </w:pPr>
      <w:r>
        <w:t>TERMINATION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Agreement may only be terminated by Client for material breach. Service Provider may terminate for</w:t>
        <w:br/>
        <w:t>convenience with 15 days notice.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[REVISED] Agreement may only be terminated by Client for material breach. Service Provider may terminate for</w:t>
        <w:br/>
        <w:t>c...</w:t>
      </w:r>
    </w:p>
    <w:p>
      <w:r>
        <w:rPr>
          <w:i/>
          <w:sz w:val="18"/>
        </w:rPr>
        <w:t>Rationale: Revision required based on legal/benchmark analysis.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