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3000" w:before="0" w:line="276"/>
        <w:jc w:val="left"/>
      </w:pPr>
      <w:r>
        <w:rPr>
          <w:rFonts w:ascii="Arial" w:cs="Arial" w:eastAsia="Arial" w:hAnsi="Arial"/>
          <w:sz w:val="22"/>
          <w:szCs w:val="22"/>
        </w:rPr>
        <w:t xml:space="preserve"/>
      </w:r>
    </w:p>
    <w:p>
      <w:pPr>
        <w:spacing w:after="200" w:before="0" w:line="276"/>
        <w:jc w:val="center"/>
      </w:pPr>
      <w:r>
        <w:rPr>
          <w:rFonts w:ascii="Arial" w:cs="Arial" w:eastAsia="Arial" w:hAnsi="Arial"/>
          <w:b/>
          <w:bCs/>
          <w:sz w:val="36"/>
          <w:szCs w:val="36"/>
        </w:rPr>
        <w:t xml:space="preserve">MPi Market Intelligence Platform (MIP)</w:t>
      </w:r>
    </w:p>
    <w:p>
      <w:pPr>
        <w:spacing w:after="600" w:before="0" w:line="276"/>
        <w:jc w:val="center"/>
      </w:pPr>
      <w:r>
        <w:rPr>
          <w:rFonts w:ascii="Arial" w:cs="Arial" w:eastAsia="Arial" w:hAnsi="Arial"/>
          <w:sz w:val="28"/>
          <w:szCs w:val="28"/>
        </w:rPr>
        <w:t xml:space="preserve">Phase 2 Final Project Report</w:t>
      </w:r>
    </w:p>
    <w:p>
      <w:pPr>
        <w:spacing w:after="1200" w:before="0" w:line="276"/>
        <w:jc w:val="center"/>
      </w:pPr>
      <w:r>
        <w:rPr>
          <w:rFonts w:ascii="Arial" w:cs="Arial" w:eastAsia="Arial" w:hAnsi="Arial"/>
          <w:i/>
          <w:iCs/>
          <w:sz w:val="22"/>
          <w:szCs w:val="22"/>
        </w:rPr>
        <w:t xml:space="preserve">Automated Forecasting Platform for India's Credit Card, Debit Card, and Digital Payments Market</w:t>
      </w:r>
    </w:p>
    <w:p>
      <w:pPr>
        <w:spacing w:after="120" w:before="0" w:line="276"/>
        <w:jc w:val="center"/>
      </w:pPr>
      <w:r>
        <w:rPr>
          <w:rFonts w:ascii="Arial" w:cs="Arial" w:eastAsia="Arial" w:hAnsi="Arial"/>
          <w:sz w:val="22"/>
          <w:szCs w:val="22"/>
        </w:rPr>
        <w:t xml:space="preserve">Prepared by: </w:t>
      </w:r>
      <w:r>
        <w:rPr>
          <w:rFonts w:ascii="Arial" w:cs="Arial" w:eastAsia="Arial" w:hAnsi="Arial"/>
          <w:b/>
          <w:bCs/>
          <w:sz w:val="22"/>
          <w:szCs w:val="22"/>
        </w:rPr>
        <w:t xml:space="preserve">Eshaan Adyanthaya</w:t>
      </w:r>
    </w:p>
    <w:p>
      <w:pPr>
        <w:spacing w:after="120" w:before="0" w:line="276"/>
        <w:jc w:val="center"/>
      </w:pPr>
      <w:r>
        <w:rPr>
          <w:rFonts w:ascii="Arial" w:cs="Arial" w:eastAsia="Arial" w:hAnsi="Arial"/>
          <w:sz w:val="22"/>
          <w:szCs w:val="22"/>
        </w:rPr>
        <w:t xml:space="preserve">Organisation: </w:t>
      </w:r>
      <w:r>
        <w:rPr>
          <w:rFonts w:ascii="Arial" w:cs="Arial" w:eastAsia="Arial" w:hAnsi="Arial"/>
          <w:b/>
          <w:bCs/>
          <w:sz w:val="22"/>
          <w:szCs w:val="22"/>
        </w:rPr>
        <w:t xml:space="preserve">MPi — Axiom Programme</w:t>
      </w:r>
    </w:p>
    <w:p>
      <w:pPr>
        <w:spacing w:after="120" w:before="0" w:line="276"/>
        <w:jc w:val="center"/>
      </w:pPr>
      <w:r>
        <w:rPr>
          <w:rFonts w:ascii="Arial" w:cs="Arial" w:eastAsia="Arial" w:hAnsi="Arial"/>
          <w:sz w:val="22"/>
          <w:szCs w:val="22"/>
        </w:rPr>
        <w:t xml:space="preserve">Date: </w:t>
      </w:r>
      <w:r>
        <w:rPr>
          <w:rFonts w:ascii="Arial" w:cs="Arial" w:eastAsia="Arial" w:hAnsi="Arial"/>
          <w:b/>
          <w:bCs/>
          <w:sz w:val="22"/>
          <w:szCs w:val="22"/>
        </w:rPr>
        <w:t xml:space="preserve">June 2026</w:t>
      </w:r>
    </w:p>
    <w:p>
      <w:pPr>
        <w:spacing w:after="120" w:before="0" w:line="276"/>
        <w:jc w:val="center"/>
      </w:pPr>
      <w:r>
        <w:rPr>
          <w:rFonts w:ascii="Arial" w:cs="Arial" w:eastAsia="Arial" w:hAnsi="Arial"/>
          <w:sz w:val="22"/>
          <w:szCs w:val="22"/>
        </w:rPr>
        <w:t xml:space="preserve">Audit Score: </w:t>
      </w:r>
      <w:r>
        <w:rPr>
          <w:rFonts w:ascii="Arial" w:cs="Arial" w:eastAsia="Arial" w:hAnsi="Arial"/>
          <w:b/>
          <w:bCs/>
          <w:sz w:val="22"/>
          <w:szCs w:val="22"/>
        </w:rPr>
        <w:t xml:space="preserve">88/100 (AXIOM Round 4)</w:t>
      </w:r>
    </w:p>
    <w:p>
      <w:pPr>
        <w:spacing w:after="120" w:before="0" w:line="276"/>
        <w:jc w:val="center"/>
      </w:pPr>
      <w:r>
        <w:rPr>
          <w:rFonts w:ascii="Arial" w:cs="Arial" w:eastAsia="Arial" w:hAnsi="Arial"/>
          <w:sz w:val="22"/>
          <w:szCs w:val="22"/>
        </w:rPr>
        <w:t xml:space="preserve">Live Dashboard: https://web-mocha-kappa-71.vercel.app</w:t>
      </w:r>
    </w:p>
    <w:p>
      <w:pPr>
        <w:sectPr>
          <w:pgSz w:w="12240" w:h="15840" w:orient="portrait"/>
          <w:pgMar w:top="1440" w:right="1440" w:bottom="1440" w:left="1440" w:header="708" w:footer="708" w:gutter="0"/>
          <w:pgNumType/>
          <w:docGrid w:linePitch="360"/>
        </w:sectPr>
      </w:pPr>
    </w:p>
    <w:p>
      <w:pPr>
        <w:pStyle w:val="Heading1"/>
        <w:spacing w:after="200" w:before="300" w:line="276"/>
        <w:jc w:val="left"/>
      </w:pPr>
      <w:r>
        <w:rPr>
          <w:rFonts w:ascii="Arial" w:cs="Arial" w:eastAsia="Arial" w:hAnsi="Arial"/>
          <w:b/>
          <w:bCs/>
          <w:sz w:val="28"/>
          <w:szCs w:val="28"/>
        </w:rP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spacing w:after="200" w:before="300" w:line="276"/>
        <w:jc w:val="left"/>
      </w:pPr>
      <w:r>
        <w:rPr>
          <w:rFonts w:ascii="Arial" w:cs="Arial" w:eastAsia="Arial" w:hAnsi="Arial"/>
          <w:b/>
          <w:bCs/>
          <w:sz w:val="28"/>
          <w:szCs w:val="28"/>
        </w:rPr>
        <w:t xml:space="preserve">1. Executive Summary</w:t>
      </w:r>
    </w:p>
    <w:p>
      <w:pPr>
        <w:spacing w:after="120" w:before="0" w:line="276"/>
        <w:jc w:val="left"/>
      </w:pPr>
      <w:r>
        <w:rPr>
          <w:rFonts w:ascii="Arial" w:cs="Arial" w:eastAsia="Arial" w:hAnsi="Arial"/>
          <w:sz w:val="22"/>
          <w:szCs w:val="22"/>
        </w:rPr>
        <w:t xml:space="preserve">The Market Intelligence Platform (MIP) is an end-to-end automated forecasting system that predicts India's credit card outstanding, debit card outstanding, and digital payment volumes 24 months into the future. It scrapes official data from the Reserve Bank of India (RBI) and National Payments Corporation of India (NPCI) every month, trains machine learning models, and publishes live forecasts through a web dashboard.</w:t>
      </w:r>
    </w:p>
    <w:p>
      <w:pPr>
        <w:spacing w:after="120" w:before="0" w:line="276"/>
        <w:jc w:val="left"/>
      </w:pPr>
      <w:r>
        <w:rPr>
          <w:rFonts w:ascii="Arial" w:cs="Arial" w:eastAsia="Arial" w:hAnsi="Arial"/>
          <w:i/>
          <w:iCs/>
          <w:sz w:val="22"/>
          <w:szCs w:val="22"/>
        </w:rPr>
        <w:t xml:space="preserve">In simple terms: MIP answers the question "How many credit cards and debit cards will India have in 2 years, and how much will people spend on them?"</w:t>
      </w:r>
    </w:p>
    <w:p>
      <w:pPr>
        <w:pStyle w:val="Heading2"/>
        <w:spacing w:after="160" w:before="240" w:line="276"/>
        <w:jc w:val="left"/>
      </w:pPr>
      <w:r>
        <w:rPr>
          <w:rFonts w:ascii="Arial" w:cs="Arial" w:eastAsia="Arial" w:hAnsi="Arial"/>
          <w:b/>
          <w:bCs/>
          <w:sz w:val="24"/>
          <w:szCs w:val="24"/>
        </w:rPr>
        <w:t xml:space="preserve">Key Achievements</w:t>
      </w:r>
    </w:p>
    <w:p>
      <w:pPr>
        <w:pStyle w:val="ListParagraph"/>
        <w:numPr>
          <w:ilvl w:val="0"/>
          <w:numId w:val="2"/>
        </w:numPr>
        <w:spacing w:after="120" w:before="0" w:line="276"/>
        <w:jc w:val="left"/>
      </w:pPr>
      <w:r>
        <w:rPr>
          <w:rFonts w:ascii="Arial" w:cs="Arial" w:eastAsia="Arial" w:hAnsi="Arial"/>
          <w:sz w:val="22"/>
          <w:szCs w:val="22"/>
        </w:rPr>
        <w:t xml:space="preserve">Ensemble forecasting engine combining three models (Prophet + ARIMA + ETS) with mathematically optimised weights per card type</w:t>
      </w:r>
    </w:p>
    <w:p>
      <w:pPr>
        <w:pStyle w:val="ListParagraph"/>
        <w:numPr>
          <w:ilvl w:val="0"/>
          <w:numId w:val="2"/>
        </w:numPr>
        <w:spacing w:after="120" w:before="0" w:line="276"/>
        <w:jc w:val="left"/>
      </w:pPr>
      <w:r>
        <w:rPr>
          <w:rFonts w:ascii="Arial" w:cs="Arial" w:eastAsia="Arial" w:hAnsi="Arial"/>
          <w:sz w:val="22"/>
          <w:szCs w:val="22"/>
        </w:rPr>
        <w:t xml:space="preserve">Credit card outstanding forecast accuracy: approximately 3.5% average error (MAPE) on unseen data</w:t>
      </w:r>
    </w:p>
    <w:p>
      <w:pPr>
        <w:pStyle w:val="ListParagraph"/>
        <w:numPr>
          <w:ilvl w:val="0"/>
          <w:numId w:val="2"/>
        </w:numPr>
        <w:spacing w:after="120" w:before="0" w:line="276"/>
        <w:jc w:val="left"/>
      </w:pPr>
      <w:r>
        <w:rPr>
          <w:rFonts w:ascii="Arial" w:cs="Arial" w:eastAsia="Arial" w:hAnsi="Arial"/>
          <w:sz w:val="22"/>
          <w:szCs w:val="22"/>
        </w:rPr>
        <w:t xml:space="preserve">Debit card outstanding forecast accuracy: approximately 5.7% average error after lag optimisation</w:t>
      </w:r>
    </w:p>
    <w:p>
      <w:pPr>
        <w:pStyle w:val="ListParagraph"/>
        <w:numPr>
          <w:ilvl w:val="0"/>
          <w:numId w:val="2"/>
        </w:numPr>
        <w:spacing w:after="120" w:before="0" w:line="276"/>
        <w:jc w:val="left"/>
      </w:pPr>
      <w:r>
        <w:rPr>
          <w:rFonts w:ascii="Arial" w:cs="Arial" w:eastAsia="Arial" w:hAnsi="Arial"/>
          <w:sz w:val="22"/>
          <w:szCs w:val="22"/>
        </w:rPr>
        <w:t xml:space="preserve">Approximately 80 individual bank-level models for granular per-bank predictions</w:t>
      </w:r>
    </w:p>
    <w:p>
      <w:pPr>
        <w:pStyle w:val="ListParagraph"/>
        <w:numPr>
          <w:ilvl w:val="0"/>
          <w:numId w:val="2"/>
        </w:numPr>
        <w:spacing w:after="120" w:before="0" w:line="276"/>
        <w:jc w:val="left"/>
      </w:pPr>
      <w:r>
        <w:rPr>
          <w:rFonts w:ascii="Arial" w:cs="Arial" w:eastAsia="Arial" w:hAnsi="Arial"/>
          <w:sz w:val="22"/>
          <w:szCs w:val="22"/>
        </w:rPr>
        <w:t xml:space="preserve">Fully automated monthly pipeline: scrape data, retrain models, update database, refresh dashboard</w:t>
      </w:r>
    </w:p>
    <w:p>
      <w:pPr>
        <w:pStyle w:val="ListParagraph"/>
        <w:numPr>
          <w:ilvl w:val="0"/>
          <w:numId w:val="2"/>
        </w:numPr>
        <w:spacing w:after="120" w:before="0" w:line="276"/>
        <w:jc w:val="left"/>
      </w:pPr>
      <w:r>
        <w:rPr>
          <w:rFonts w:ascii="Arial" w:cs="Arial" w:eastAsia="Arial" w:hAnsi="Arial"/>
          <w:sz w:val="22"/>
          <w:szCs w:val="22"/>
        </w:rPr>
        <w:t xml:space="preserve">Live web dashboard deployed at https://web-mocha-kappa-71.vercel.app</w:t>
      </w:r>
    </w:p>
    <w:p>
      <w:pPr>
        <w:pStyle w:val="ListParagraph"/>
        <w:numPr>
          <w:ilvl w:val="0"/>
          <w:numId w:val="2"/>
        </w:numPr>
        <w:spacing w:after="120" w:before="0" w:line="276"/>
        <w:jc w:val="left"/>
      </w:pPr>
      <w:r>
        <w:rPr>
          <w:rFonts w:ascii="Arial" w:cs="Arial" w:eastAsia="Arial" w:hAnsi="Arial"/>
          <w:sz w:val="22"/>
          <w:szCs w:val="22"/>
        </w:rPr>
        <w:t xml:space="preserve">Passed rigorous quantitative audit scoring 88/100 across 12 diagnostic test suites</w:t>
      </w:r>
    </w:p>
    <w:p>
      <w:r>
        <w:br w:type="page"/>
      </w:r>
    </w:p>
    <w:p>
      <w:pPr>
        <w:pStyle w:val="Heading1"/>
        <w:spacing w:after="200" w:before="300" w:line="276"/>
        <w:jc w:val="left"/>
      </w:pPr>
      <w:r>
        <w:rPr>
          <w:rFonts w:ascii="Arial" w:cs="Arial" w:eastAsia="Arial" w:hAnsi="Arial"/>
          <w:b/>
          <w:bCs/>
          <w:sz w:val="28"/>
          <w:szCs w:val="28"/>
        </w:rPr>
        <w:t xml:space="preserve">2. Problem Statement and Business Context</w:t>
      </w:r>
    </w:p>
    <w:p>
      <w:pPr>
        <w:spacing w:after="120" w:before="0" w:line="276"/>
        <w:jc w:val="left"/>
      </w:pPr>
      <w:r>
        <w:rPr>
          <w:rFonts w:ascii="Arial" w:cs="Arial" w:eastAsia="Arial" w:hAnsi="Arial"/>
          <w:sz w:val="22"/>
          <w:szCs w:val="22"/>
        </w:rPr>
        <w:t xml:space="preserve">India's digital payments ecosystem is one of the fastest growing in the world. Credit card outstanding crossed 1,100 lakh (110 million) cards in 2025, while UPI processes over 18 billion transactions per month. Understanding where these numbers are heading is critical for:</w:t>
      </w:r>
    </w:p>
    <w:p>
      <w:pPr>
        <w:pStyle w:val="ListParagraph"/>
        <w:numPr>
          <w:ilvl w:val="0"/>
          <w:numId w:val="2"/>
        </w:numPr>
        <w:spacing w:after="120" w:before="0" w:line="276"/>
        <w:jc w:val="left"/>
      </w:pPr>
      <w:r>
        <w:rPr>
          <w:rFonts w:ascii="Arial" w:cs="Arial" w:eastAsia="Arial" w:hAnsi="Arial"/>
          <w:sz w:val="22"/>
          <w:szCs w:val="22"/>
        </w:rPr>
        <w:t xml:space="preserve">Banks planning credit card issuance targets and risk exposure</w:t>
      </w:r>
    </w:p>
    <w:p>
      <w:pPr>
        <w:pStyle w:val="ListParagraph"/>
        <w:numPr>
          <w:ilvl w:val="0"/>
          <w:numId w:val="2"/>
        </w:numPr>
        <w:spacing w:after="120" w:before="0" w:line="276"/>
        <w:jc w:val="left"/>
      </w:pPr>
      <w:r>
        <w:rPr>
          <w:rFonts w:ascii="Arial" w:cs="Arial" w:eastAsia="Arial" w:hAnsi="Arial"/>
          <w:sz w:val="22"/>
          <w:szCs w:val="22"/>
        </w:rPr>
        <w:t xml:space="preserve">Payment networks (Visa, Mastercard, RuPay) planning infrastructure investment</w:t>
      </w:r>
    </w:p>
    <w:p>
      <w:pPr>
        <w:pStyle w:val="ListParagraph"/>
        <w:numPr>
          <w:ilvl w:val="0"/>
          <w:numId w:val="2"/>
        </w:numPr>
        <w:spacing w:after="120" w:before="0" w:line="276"/>
        <w:jc w:val="left"/>
      </w:pPr>
      <w:r>
        <w:rPr>
          <w:rFonts w:ascii="Arial" w:cs="Arial" w:eastAsia="Arial" w:hAnsi="Arial"/>
          <w:sz w:val="22"/>
          <w:szCs w:val="22"/>
        </w:rPr>
        <w:t xml:space="preserve">Regulators assessing systemic credit risk and digital adoption trends</w:t>
      </w:r>
    </w:p>
    <w:p>
      <w:pPr>
        <w:pStyle w:val="ListParagraph"/>
        <w:numPr>
          <w:ilvl w:val="0"/>
          <w:numId w:val="2"/>
        </w:numPr>
        <w:spacing w:after="120" w:before="0" w:line="276"/>
        <w:jc w:val="left"/>
      </w:pPr>
      <w:r>
        <w:rPr>
          <w:rFonts w:ascii="Arial" w:cs="Arial" w:eastAsia="Arial" w:hAnsi="Arial"/>
          <w:sz w:val="22"/>
          <w:szCs w:val="22"/>
        </w:rPr>
        <w:t xml:space="preserve">Investors evaluating fintech and banking stocks</w:t>
      </w:r>
    </w:p>
    <w:p>
      <w:pPr>
        <w:spacing w:after="80" w:before="0" w:line="276"/>
        <w:jc w:val="left"/>
      </w:pPr>
      <w:r>
        <w:rPr>
          <w:rFonts w:ascii="Arial" w:cs="Arial" w:eastAsia="Arial" w:hAnsi="Arial"/>
          <w:sz w:val="22"/>
          <w:szCs w:val="22"/>
        </w:rPr>
        <w:t xml:space="preserve"/>
      </w:r>
    </w:p>
    <w:p>
      <w:pPr>
        <w:spacing w:after="120" w:before="0" w:line="276"/>
        <w:jc w:val="left"/>
      </w:pPr>
      <w:r>
        <w:rPr>
          <w:rFonts w:ascii="Arial" w:cs="Arial" w:eastAsia="Arial" w:hAnsi="Arial"/>
          <w:sz w:val="22"/>
          <w:szCs w:val="22"/>
        </w:rPr>
        <w:t xml:space="preserve">Before MIP, forecasting these numbers required manual analysis of RBI spreadsheets, ad-hoc statistical models, and subjective expert judgment. The process was slow (weeks), unreproducible, and could not incorporate the multiple structural breaks that India's payment landscape has experienced (demonetisation in 2016, COVID in 2020, UPI's explosive growth).</w:t>
      </w:r>
    </w:p>
    <w:p>
      <w:pPr>
        <w:spacing w:after="120" w:before="0" w:line="276"/>
        <w:jc w:val="left"/>
      </w:pPr>
      <w:r>
        <w:rPr>
          <w:rFonts w:ascii="Arial" w:cs="Arial" w:eastAsia="Arial" w:hAnsi="Arial"/>
          <w:sz w:val="22"/>
          <w:szCs w:val="22"/>
        </w:rPr>
        <w:t xml:space="preserve">MIP automates the entire process: from downloading the latest RBI data to publishing forecasts that anyone in the organisation can view on their phone.</w:t>
      </w:r>
    </w:p>
    <w:p>
      <w:r>
        <w:br w:type="page"/>
      </w:r>
    </w:p>
    <w:p>
      <w:pPr>
        <w:pStyle w:val="Heading1"/>
        <w:spacing w:after="200" w:before="300" w:line="276"/>
        <w:jc w:val="left"/>
      </w:pPr>
      <w:r>
        <w:rPr>
          <w:rFonts w:ascii="Arial" w:cs="Arial" w:eastAsia="Arial" w:hAnsi="Arial"/>
          <w:b/>
          <w:bCs/>
          <w:sz w:val="28"/>
          <w:szCs w:val="28"/>
        </w:rPr>
        <w:t xml:space="preserve">3. Data Sources</w:t>
      </w:r>
    </w:p>
    <w:p>
      <w:pPr>
        <w:spacing w:after="120" w:before="0" w:line="276"/>
        <w:jc w:val="left"/>
      </w:pPr>
      <w:r>
        <w:rPr>
          <w:rFonts w:ascii="Arial" w:cs="Arial" w:eastAsia="Arial" w:hAnsi="Arial"/>
          <w:sz w:val="22"/>
          <w:szCs w:val="22"/>
        </w:rPr>
        <w:t xml:space="preserve">All data comes from official government sources. No third-party or commercial data is used.</w:t>
      </w:r>
    </w:p>
    <w:p>
      <w:pPr>
        <w:pStyle w:val="Heading2"/>
        <w:spacing w:after="160" w:before="240" w:line="276"/>
        <w:jc w:val="left"/>
      </w:pPr>
      <w:r>
        <w:rPr>
          <w:rFonts w:ascii="Arial" w:cs="Arial" w:eastAsia="Arial" w:hAnsi="Arial"/>
          <w:b/>
          <w:bCs/>
          <w:sz w:val="24"/>
          <w:szCs w:val="24"/>
        </w:rPr>
        <w:t xml:space="preserve">3.1 RBI Payment System Indicators (PSI)</w:t>
      </w:r>
    </w:p>
    <w:p>
      <w:pPr>
        <w:spacing w:after="120" w:before="0" w:line="276"/>
        <w:jc w:val="left"/>
      </w:pPr>
      <w:r>
        <w:rPr>
          <w:rFonts w:ascii="Arial" w:cs="Arial" w:eastAsia="Arial" w:hAnsi="Arial"/>
          <w:sz w:val="22"/>
          <w:szCs w:val="22"/>
        </w:rPr>
        <w:t xml:space="preserve">This is the primary dataset. Published monthly by RBI, it contains India-total numbers for:</w:t>
      </w:r>
    </w:p>
    <w:p>
      <w:pPr>
        <w:pStyle w:val="ListParagraph"/>
        <w:numPr>
          <w:ilvl w:val="0"/>
          <w:numId w:val="2"/>
        </w:numPr>
        <w:spacing w:after="120" w:before="0" w:line="276"/>
        <w:jc w:val="left"/>
      </w:pPr>
      <w:r>
        <w:rPr>
          <w:rFonts w:ascii="Arial" w:cs="Arial" w:eastAsia="Arial" w:hAnsi="Arial"/>
          <w:sz w:val="22"/>
          <w:szCs w:val="22"/>
        </w:rPr>
        <w:t xml:space="preserve">Credit cards outstanding (how many cards exist in the country)</w:t>
      </w:r>
    </w:p>
    <w:p>
      <w:pPr>
        <w:pStyle w:val="ListParagraph"/>
        <w:numPr>
          <w:ilvl w:val="0"/>
          <w:numId w:val="2"/>
        </w:numPr>
        <w:spacing w:after="120" w:before="0" w:line="276"/>
        <w:jc w:val="left"/>
      </w:pPr>
      <w:r>
        <w:rPr>
          <w:rFonts w:ascii="Arial" w:cs="Arial" w:eastAsia="Arial" w:hAnsi="Arial"/>
          <w:sz w:val="22"/>
          <w:szCs w:val="22"/>
        </w:rPr>
        <w:t xml:space="preserve">Debit cards outstanding</w:t>
      </w:r>
    </w:p>
    <w:p>
      <w:pPr>
        <w:pStyle w:val="ListParagraph"/>
        <w:numPr>
          <w:ilvl w:val="0"/>
          <w:numId w:val="2"/>
        </w:numPr>
        <w:spacing w:after="120" w:before="0" w:line="276"/>
        <w:jc w:val="left"/>
      </w:pPr>
      <w:r>
        <w:rPr>
          <w:rFonts w:ascii="Arial" w:cs="Arial" w:eastAsia="Arial" w:hAnsi="Arial"/>
          <w:sz w:val="22"/>
          <w:szCs w:val="22"/>
        </w:rPr>
        <w:t xml:space="preserve">Credit card transaction volume (how many transactions per month)</w:t>
      </w:r>
    </w:p>
    <w:p>
      <w:pPr>
        <w:pStyle w:val="ListParagraph"/>
        <w:numPr>
          <w:ilvl w:val="0"/>
          <w:numId w:val="2"/>
        </w:numPr>
        <w:spacing w:after="120" w:before="0" w:line="276"/>
        <w:jc w:val="left"/>
      </w:pPr>
      <w:r>
        <w:rPr>
          <w:rFonts w:ascii="Arial" w:cs="Arial" w:eastAsia="Arial" w:hAnsi="Arial"/>
          <w:sz w:val="22"/>
          <w:szCs w:val="22"/>
        </w:rPr>
        <w:t xml:space="preserve">Debit card transaction volume</w:t>
      </w:r>
    </w:p>
    <w:p>
      <w:pPr>
        <w:pStyle w:val="ListParagraph"/>
        <w:numPr>
          <w:ilvl w:val="0"/>
          <w:numId w:val="2"/>
        </w:numPr>
        <w:spacing w:after="120" w:before="0" w:line="276"/>
        <w:jc w:val="left"/>
      </w:pPr>
      <w:r>
        <w:rPr>
          <w:rFonts w:ascii="Arial" w:cs="Arial" w:eastAsia="Arial" w:hAnsi="Arial"/>
          <w:sz w:val="22"/>
          <w:szCs w:val="22"/>
        </w:rPr>
        <w:t xml:space="preserve">POS terminal counts, ATM counts, and other infrastructure metrics</w:t>
      </w:r>
    </w:p>
    <w:p>
      <w:pPr>
        <w:spacing w:after="120" w:before="0" w:line="276"/>
        <w:jc w:val="left"/>
      </w:pPr>
      <w:r>
        <w:rPr>
          <w:rFonts w:ascii="Arial" w:cs="Arial" w:eastAsia="Arial" w:hAnsi="Arial"/>
          <w:sz w:val="22"/>
          <w:szCs w:val="22"/>
        </w:rPr>
        <w:t xml:space="preserve">Data range: April 2004 to present (updated monthly, typically with a 1-2 month lag).</w:t>
      </w:r>
    </w:p>
    <w:p>
      <w:pPr>
        <w:pStyle w:val="Heading2"/>
        <w:spacing w:after="160" w:before="240" w:line="276"/>
        <w:jc w:val="left"/>
      </w:pPr>
      <w:r>
        <w:rPr>
          <w:rFonts w:ascii="Arial" w:cs="Arial" w:eastAsia="Arial" w:hAnsi="Arial"/>
          <w:b/>
          <w:bCs/>
          <w:sz w:val="24"/>
          <w:szCs w:val="24"/>
        </w:rPr>
        <w:t xml:space="preserve">3.2 RBI Bankwise Data</w:t>
      </w:r>
    </w:p>
    <w:p>
      <w:pPr>
        <w:spacing w:after="120" w:before="0" w:line="276"/>
        <w:jc w:val="left"/>
      </w:pPr>
      <w:r>
        <w:rPr>
          <w:rFonts w:ascii="Arial" w:cs="Arial" w:eastAsia="Arial" w:hAnsi="Arial"/>
          <w:sz w:val="22"/>
          <w:szCs w:val="22"/>
        </w:rPr>
        <w:t xml:space="preserve">Also from RBI's DBIE portal, this provides the same metrics broken down by individual bank. For example, how many credit cards does HDFC Bank have versus SBI versus ICICI. Data range: April 2011 to present.</w:t>
      </w:r>
    </w:p>
    <w:p>
      <w:pPr>
        <w:pStyle w:val="Heading2"/>
        <w:spacing w:after="160" w:before="240" w:line="276"/>
        <w:jc w:val="left"/>
      </w:pPr>
      <w:r>
        <w:rPr>
          <w:rFonts w:ascii="Arial" w:cs="Arial" w:eastAsia="Arial" w:hAnsi="Arial"/>
          <w:b/>
          <w:bCs/>
          <w:sz w:val="24"/>
          <w:szCs w:val="24"/>
        </w:rPr>
        <w:t xml:space="preserve">3.3 NPCI UPI Statistics</w:t>
      </w:r>
    </w:p>
    <w:p>
      <w:pPr>
        <w:spacing w:after="120" w:before="0" w:line="276"/>
        <w:jc w:val="left"/>
      </w:pPr>
      <w:r>
        <w:rPr>
          <w:rFonts w:ascii="Arial" w:cs="Arial" w:eastAsia="Arial" w:hAnsi="Arial"/>
          <w:sz w:val="22"/>
          <w:szCs w:val="22"/>
        </w:rPr>
        <w:t xml:space="preserve">UPI transaction volumes and values published by NPCI. This matters because UPI is actively displacing debit card transactions at merchant terminals. The debit card model needs to account for this displacement effect. Data range: April 2016 to present.</w:t>
      </w:r>
    </w:p>
    <w:p>
      <w:pPr>
        <w:pStyle w:val="Heading2"/>
        <w:spacing w:after="160" w:before="240" w:line="276"/>
        <w:jc w:val="left"/>
      </w:pPr>
      <w:r>
        <w:rPr>
          <w:rFonts w:ascii="Arial" w:cs="Arial" w:eastAsia="Arial" w:hAnsi="Arial"/>
          <w:b/>
          <w:bCs/>
          <w:sz w:val="24"/>
          <w:szCs w:val="24"/>
        </w:rPr>
        <w:t xml:space="preserve">3.4 RBI Repo Rate</w:t>
      </w:r>
    </w:p>
    <w:p>
      <w:pPr>
        <w:spacing w:after="120" w:before="0" w:line="276"/>
        <w:jc w:val="left"/>
      </w:pPr>
      <w:r>
        <w:rPr>
          <w:rFonts w:ascii="Arial" w:cs="Arial" w:eastAsia="Arial" w:hAnsi="Arial"/>
          <w:sz w:val="22"/>
          <w:szCs w:val="22"/>
        </w:rPr>
        <w:t xml:space="preserve">The RBI's policy interest rate. This is used as a predictor for credit card outstanding because when RBI raises rates, banks become more cautious about issuing unsecured credit (credit cards are unsecured lending). Data range: January 2007 to present.</w:t>
      </w:r>
    </w:p>
    <w:p>
      <w:pPr>
        <w:pStyle w:val="Heading2"/>
        <w:spacing w:after="160" w:before="240" w:line="276"/>
        <w:jc w:val="left"/>
      </w:pPr>
      <w:r>
        <w:rPr>
          <w:rFonts w:ascii="Arial" w:cs="Arial" w:eastAsia="Arial" w:hAnsi="Arial"/>
          <w:b/>
          <w:bCs/>
          <w:sz w:val="24"/>
          <w:szCs w:val="24"/>
        </w:rPr>
        <w:t xml:space="preserve">3.5 Why These Specific Datasets?</w:t>
      </w:r>
    </w:p>
    <w:p>
      <w:pPr>
        <w:spacing w:after="120" w:before="0" w:line="276"/>
        <w:jc w:val="left"/>
      </w:pPr>
      <w:r>
        <w:rPr>
          <w:rFonts w:ascii="Arial" w:cs="Arial" w:eastAsia="Arial" w:hAnsi="Arial"/>
          <w:sz w:val="22"/>
          <w:szCs w:val="22"/>
        </w:rPr>
        <w:t xml:space="preserve">We chose these datasets because they are the most authoritative sources for India's card and digital payments data. RBI is the regulator — all banks must report to RBI, so the PSI data represents the true market total, not estimates. NPCI runs the UPI network, so their volume numbers are exact, not surveyed.</w:t>
      </w:r>
    </w:p>
    <w:p>
      <w:r>
        <w:br w:type="page"/>
      </w:r>
    </w:p>
    <w:p>
      <w:pPr>
        <w:pStyle w:val="Heading1"/>
        <w:spacing w:after="200" w:before="300" w:line="276"/>
        <w:jc w:val="left"/>
      </w:pPr>
      <w:r>
        <w:rPr>
          <w:rFonts w:ascii="Arial" w:cs="Arial" w:eastAsia="Arial" w:hAnsi="Arial"/>
          <w:b/>
          <w:bCs/>
          <w:sz w:val="28"/>
          <w:szCs w:val="28"/>
        </w:rPr>
        <w:t xml:space="preserve">4. Data Pipeline</w:t>
      </w:r>
    </w:p>
    <w:p>
      <w:pPr>
        <w:pStyle w:val="Heading2"/>
        <w:spacing w:after="160" w:before="240" w:line="276"/>
        <w:jc w:val="left"/>
      </w:pPr>
      <w:r>
        <w:rPr>
          <w:rFonts w:ascii="Arial" w:cs="Arial" w:eastAsia="Arial" w:hAnsi="Arial"/>
          <w:b/>
          <w:bCs/>
          <w:sz w:val="24"/>
          <w:szCs w:val="24"/>
        </w:rPr>
        <w:t xml:space="preserve">4.1 Automated Scraping</w:t>
      </w:r>
    </w:p>
    <w:p>
      <w:pPr>
        <w:spacing w:after="120" w:before="0" w:line="276"/>
        <w:jc w:val="left"/>
      </w:pPr>
      <w:r>
        <w:rPr>
          <w:rFonts w:ascii="Arial" w:cs="Arial" w:eastAsia="Arial" w:hAnsi="Arial"/>
          <w:sz w:val="22"/>
          <w:szCs w:val="22"/>
        </w:rPr>
        <w:t xml:space="preserve">MIP runs automated scrapers that download the latest data files from RBI and NPCI websites every month. This is done using a tool called Playwright, which acts like a robot browser — it navigates to the RBI website, clicks through to the right page, and downloads the Excel file, exactly as a human would. We built three scrapers:</w:t>
      </w:r>
    </w:p>
    <w:p>
      <w:pPr>
        <w:pStyle w:val="ListParagraph"/>
        <w:numPr>
          <w:ilvl w:val="0"/>
          <w:numId w:val="2"/>
        </w:numPr>
        <w:spacing w:after="120" w:before="0" w:line="276"/>
        <w:jc w:val="left"/>
      </w:pPr>
      <w:r>
        <w:rPr>
          <w:rFonts w:ascii="Arial" w:cs="Arial" w:eastAsia="Arial" w:hAnsi="Arial"/>
          <w:sz w:val="22"/>
          <w:szCs w:val="22"/>
        </w:rPr>
        <w:t xml:space="preserve">RBI PSI scraper — downloads the monthly Payment System Indicators Excel file</w:t>
      </w:r>
    </w:p>
    <w:p>
      <w:pPr>
        <w:pStyle w:val="ListParagraph"/>
        <w:numPr>
          <w:ilvl w:val="0"/>
          <w:numId w:val="2"/>
        </w:numPr>
        <w:spacing w:after="120" w:before="0" w:line="276"/>
        <w:jc w:val="left"/>
      </w:pPr>
      <w:r>
        <w:rPr>
          <w:rFonts w:ascii="Arial" w:cs="Arial" w:eastAsia="Arial" w:hAnsi="Arial"/>
          <w:sz w:val="22"/>
          <w:szCs w:val="22"/>
        </w:rPr>
        <w:t xml:space="preserve">RBI Bankwise scraper — downloads the per-bank ATM/card/POS Excel files</w:t>
      </w:r>
    </w:p>
    <w:p>
      <w:pPr>
        <w:pStyle w:val="ListParagraph"/>
        <w:numPr>
          <w:ilvl w:val="0"/>
          <w:numId w:val="2"/>
        </w:numPr>
        <w:spacing w:after="120" w:before="0" w:line="276"/>
        <w:jc w:val="left"/>
      </w:pPr>
      <w:r>
        <w:rPr>
          <w:rFonts w:ascii="Arial" w:cs="Arial" w:eastAsia="Arial" w:hAnsi="Arial"/>
          <w:sz w:val="22"/>
          <w:szCs w:val="22"/>
        </w:rPr>
        <w:t xml:space="preserve">NPCI UPI scraper — downloads UPI monthly statistics</w:t>
      </w:r>
    </w:p>
    <w:p>
      <w:pPr>
        <w:spacing w:after="80" w:before="0" w:line="276"/>
        <w:jc w:val="left"/>
      </w:pPr>
      <w:r>
        <w:rPr>
          <w:rFonts w:ascii="Arial" w:cs="Arial" w:eastAsia="Arial" w:hAnsi="Arial"/>
          <w:sz w:val="22"/>
          <w:szCs w:val="22"/>
        </w:rPr>
        <w:t xml:space="preserve"/>
      </w:r>
    </w:p>
    <w:p>
      <w:pPr>
        <w:spacing w:after="120" w:before="0" w:line="276"/>
        <w:jc w:val="left"/>
      </w:pPr>
      <w:r>
        <w:rPr>
          <w:rFonts w:ascii="Arial" w:cs="Arial" w:eastAsia="Arial" w:hAnsi="Arial"/>
          <w:sz w:val="22"/>
          <w:szCs w:val="22"/>
        </w:rPr>
        <w:t xml:space="preserve">Why automate this? Because RBI publishes data in messy Excel files with inconsistent formats across years. A manual process would require someone to download the file, find the right sheet, copy the right cells, and paste them into the analysis spreadsheet every month. This is error-prone and time-consuming. The scraper does it in under 60 seconds.</w:t>
      </w:r>
    </w:p>
    <w:p>
      <w:pPr>
        <w:pStyle w:val="Heading2"/>
        <w:spacing w:after="160" w:before="240" w:line="276"/>
        <w:jc w:val="left"/>
      </w:pPr>
      <w:r>
        <w:rPr>
          <w:rFonts w:ascii="Arial" w:cs="Arial" w:eastAsia="Arial" w:hAnsi="Arial"/>
          <w:b/>
          <w:bCs/>
          <w:sz w:val="24"/>
          <w:szCs w:val="24"/>
        </w:rPr>
        <w:t xml:space="preserve">4.2 Data Ingestion and Cleaning</w:t>
      </w:r>
    </w:p>
    <w:p>
      <w:pPr>
        <w:spacing w:after="120" w:before="0" w:line="276"/>
        <w:jc w:val="left"/>
      </w:pPr>
      <w:r>
        <w:rPr>
          <w:rFonts w:ascii="Arial" w:cs="Arial" w:eastAsia="Arial" w:hAnsi="Arial"/>
          <w:sz w:val="22"/>
          <w:szCs w:val="22"/>
        </w:rPr>
        <w:t xml:space="preserve">The raw Excel files from RBI are not analysis-ready. They have:</w:t>
      </w:r>
    </w:p>
    <w:p>
      <w:pPr>
        <w:pStyle w:val="ListParagraph"/>
        <w:numPr>
          <w:ilvl w:val="0"/>
          <w:numId w:val="2"/>
        </w:numPr>
        <w:spacing w:after="120" w:before="0" w:line="276"/>
        <w:jc w:val="left"/>
      </w:pPr>
      <w:r>
        <w:rPr>
          <w:rFonts w:ascii="Arial" w:cs="Arial" w:eastAsia="Arial" w:hAnsi="Arial"/>
          <w:sz w:val="22"/>
          <w:szCs w:val="22"/>
        </w:rPr>
        <w:t xml:space="preserve">Multiple sheets with different layouts across years</w:t>
      </w:r>
    </w:p>
    <w:p>
      <w:pPr>
        <w:pStyle w:val="ListParagraph"/>
        <w:numPr>
          <w:ilvl w:val="0"/>
          <w:numId w:val="2"/>
        </w:numPr>
        <w:spacing w:after="120" w:before="0" w:line="276"/>
        <w:jc w:val="left"/>
      </w:pPr>
      <w:r>
        <w:rPr>
          <w:rFonts w:ascii="Arial" w:cs="Arial" w:eastAsia="Arial" w:hAnsi="Arial"/>
          <w:sz w:val="22"/>
          <w:szCs w:val="22"/>
        </w:rPr>
        <w:t xml:space="preserve">Merged cells, footnotes, and headers embedded in data rows</w:t>
      </w:r>
    </w:p>
    <w:p>
      <w:pPr>
        <w:pStyle w:val="ListParagraph"/>
        <w:numPr>
          <w:ilvl w:val="0"/>
          <w:numId w:val="2"/>
        </w:numPr>
        <w:spacing w:after="120" w:before="0" w:line="276"/>
        <w:jc w:val="left"/>
      </w:pPr>
      <w:r>
        <w:rPr>
          <w:rFonts w:ascii="Arial" w:cs="Arial" w:eastAsia="Arial" w:hAnsi="Arial"/>
          <w:sz w:val="22"/>
          <w:szCs w:val="22"/>
        </w:rPr>
        <w:t xml:space="preserve">Unit changes (some years report in lakhs, others in absolute numbers)</w:t>
      </w:r>
    </w:p>
    <w:p>
      <w:pPr>
        <w:pStyle w:val="ListParagraph"/>
        <w:numPr>
          <w:ilvl w:val="0"/>
          <w:numId w:val="2"/>
        </w:numPr>
        <w:spacing w:after="120" w:before="0" w:line="276"/>
        <w:jc w:val="left"/>
      </w:pPr>
      <w:r>
        <w:rPr>
          <w:rFonts w:ascii="Arial" w:cs="Arial" w:eastAsia="Arial" w:hAnsi="Arial"/>
          <w:sz w:val="22"/>
          <w:szCs w:val="22"/>
        </w:rPr>
        <w:t xml:space="preserve">Missing months and definitional changes (e.g., RBI changed how it counts "outstanding" cards in November 2019)</w:t>
      </w:r>
    </w:p>
    <w:p>
      <w:pPr>
        <w:spacing w:after="80" w:before="0" w:line="276"/>
        <w:jc w:val="left"/>
      </w:pPr>
      <w:r>
        <w:rPr>
          <w:rFonts w:ascii="Arial" w:cs="Arial" w:eastAsia="Arial" w:hAnsi="Arial"/>
          <w:sz w:val="22"/>
          <w:szCs w:val="22"/>
        </w:rPr>
        <w:t xml:space="preserve"/>
      </w:r>
    </w:p>
    <w:p>
      <w:pPr>
        <w:spacing w:after="120" w:before="0" w:line="276"/>
        <w:jc w:val="left"/>
      </w:pPr>
      <w:r>
        <w:rPr>
          <w:rFonts w:ascii="Arial" w:cs="Arial" w:eastAsia="Arial" w:hAnsi="Arial"/>
          <w:sz w:val="22"/>
          <w:szCs w:val="22"/>
        </w:rPr>
        <w:t xml:space="preserve">The ingestion module parses all of this into a single clean table (we call it the "master training" dataset) stored in Parquet format — a fast, compressed file format used in data engineering. The master training dataset has one row per month and columns for every metric (CC outstanding, DC outstanding, repo rate, UPI volume, etc.).</w:t>
      </w:r>
    </w:p>
    <w:p>
      <w:pPr>
        <w:pStyle w:val="Heading2"/>
        <w:spacing w:after="160" w:before="240" w:line="276"/>
        <w:jc w:val="left"/>
      </w:pPr>
      <w:r>
        <w:rPr>
          <w:rFonts w:ascii="Arial" w:cs="Arial" w:eastAsia="Arial" w:hAnsi="Arial"/>
          <w:b/>
          <w:bCs/>
          <w:sz w:val="24"/>
          <w:szCs w:val="24"/>
        </w:rPr>
        <w:t xml:space="preserve">4.3 Level Splicing</w:t>
      </w:r>
    </w:p>
    <w:p>
      <w:pPr>
        <w:spacing w:after="120" w:before="0" w:line="276"/>
        <w:jc w:val="left"/>
      </w:pPr>
      <w:r>
        <w:rPr>
          <w:rFonts w:ascii="Arial" w:cs="Arial" w:eastAsia="Arial" w:hAnsi="Arial"/>
          <w:sz w:val="22"/>
          <w:szCs w:val="22"/>
        </w:rPr>
        <w:t xml:space="preserve">In November 2019, RBI changed the definition of "cards outstanding" in the PSI data. The pre-November 2019 numbers and post-November 2019 numbers are not directly comparable — there is a level shift. If we just stitch them together, the model would see a sudden jump that is not real growth.</w:t>
      </w:r>
    </w:p>
    <w:p>
      <w:pPr>
        <w:spacing w:after="120" w:before="0" w:line="276"/>
        <w:jc w:val="left"/>
      </w:pPr>
      <w:r>
        <w:rPr>
          <w:rFonts w:ascii="Arial" w:cs="Arial" w:eastAsia="Arial" w:hAnsi="Arial"/>
          <w:sz w:val="22"/>
          <w:szCs w:val="22"/>
        </w:rPr>
        <w:t xml:space="preserve">Our solution is called "level splicing": we calculate the ratio between the old and new series during the overlap period (when RBI briefly published both formats) and use that ratio to rescale the historical data to be consistent with the current definition. Think of it as converting old-definition numbers to new-definition numbers so the entire series is apples-to-apples.</w:t>
      </w:r>
    </w:p>
    <w:p>
      <w:r>
        <w:br w:type="page"/>
      </w:r>
    </w:p>
    <w:p>
      <w:pPr>
        <w:pStyle w:val="Heading1"/>
        <w:spacing w:after="200" w:before="300" w:line="276"/>
        <w:jc w:val="left"/>
      </w:pPr>
      <w:r>
        <w:rPr>
          <w:rFonts w:ascii="Arial" w:cs="Arial" w:eastAsia="Arial" w:hAnsi="Arial"/>
          <w:b/>
          <w:bCs/>
          <w:sz w:val="28"/>
          <w:szCs w:val="28"/>
        </w:rPr>
        <w:t xml:space="preserve">5. Forecasting Models</w:t>
      </w:r>
    </w:p>
    <w:p>
      <w:pPr>
        <w:spacing w:after="120" w:before="0" w:line="276"/>
        <w:jc w:val="left"/>
      </w:pPr>
      <w:r>
        <w:rPr>
          <w:rFonts w:ascii="Arial" w:cs="Arial" w:eastAsia="Arial" w:hAnsi="Arial"/>
          <w:sz w:val="22"/>
          <w:szCs w:val="22"/>
        </w:rPr>
        <w:t xml:space="preserve">MIP uses three different statistical/ML models and combines them into an "ensemble" — a weighted average that is more accurate than any single model alone. Think of it as getting three expert opinions and weighting them based on how accurate each expert has been historically.</w:t>
      </w:r>
    </w:p>
    <w:p>
      <w:pPr>
        <w:pStyle w:val="Heading2"/>
        <w:spacing w:after="160" w:before="240" w:line="276"/>
        <w:jc w:val="left"/>
      </w:pPr>
      <w:r>
        <w:rPr>
          <w:rFonts w:ascii="Arial" w:cs="Arial" w:eastAsia="Arial" w:hAnsi="Arial"/>
          <w:b/>
          <w:bCs/>
          <w:sz w:val="24"/>
          <w:szCs w:val="24"/>
        </w:rPr>
        <w:t xml:space="preserve">5.1 Prophet (Meta/Facebook)</w:t>
      </w:r>
    </w:p>
    <w:p>
      <w:pPr>
        <w:spacing w:after="120" w:before="0" w:line="276"/>
        <w:jc w:val="left"/>
      </w:pPr>
      <w:r>
        <w:rPr>
          <w:rFonts w:ascii="Arial" w:cs="Arial" w:eastAsia="Arial" w:hAnsi="Arial"/>
          <w:sz w:val="22"/>
          <w:szCs w:val="22"/>
        </w:rPr>
        <w:t xml:space="preserve">Prophet is an open-source forecasting model developed by Meta (formerly Facebook). It was designed for business time series that have strong seasonal patterns and multiple structural breaks. It works by decomposing a time series into three parts:</w:t>
      </w:r>
    </w:p>
    <w:p>
      <w:pPr>
        <w:pStyle w:val="ListParagraph"/>
        <w:numPr>
          <w:ilvl w:val="0"/>
          <w:numId w:val="2"/>
        </w:numPr>
        <w:spacing w:after="120" w:before="0" w:line="276"/>
        <w:jc w:val="left"/>
      </w:pPr>
      <w:r>
        <w:rPr>
          <w:rFonts w:ascii="Arial" w:cs="Arial" w:eastAsia="Arial" w:hAnsi="Arial"/>
          <w:sz w:val="22"/>
          <w:szCs w:val="22"/>
        </w:rPr>
        <w:t xml:space="preserve">Trend: the long-term direction (is the number going up or down over years?)</w:t>
      </w:r>
    </w:p>
    <w:p>
      <w:pPr>
        <w:pStyle w:val="ListParagraph"/>
        <w:numPr>
          <w:ilvl w:val="0"/>
          <w:numId w:val="2"/>
        </w:numPr>
        <w:spacing w:after="120" w:before="0" w:line="276"/>
        <w:jc w:val="left"/>
      </w:pPr>
      <w:r>
        <w:rPr>
          <w:rFonts w:ascii="Arial" w:cs="Arial" w:eastAsia="Arial" w:hAnsi="Arial"/>
          <w:sz w:val="22"/>
          <w:szCs w:val="22"/>
        </w:rPr>
        <w:t xml:space="preserve">Seasonality: repeating patterns within a year (e.g., credit card applications tend to spike before festivals)</w:t>
      </w:r>
    </w:p>
    <w:p>
      <w:pPr>
        <w:pStyle w:val="ListParagraph"/>
        <w:numPr>
          <w:ilvl w:val="0"/>
          <w:numId w:val="2"/>
        </w:numPr>
        <w:spacing w:after="120" w:before="0" w:line="276"/>
        <w:jc w:val="left"/>
      </w:pPr>
      <w:r>
        <w:rPr>
          <w:rFonts w:ascii="Arial" w:cs="Arial" w:eastAsia="Arial" w:hAnsi="Arial"/>
          <w:sz w:val="22"/>
          <w:szCs w:val="22"/>
        </w:rPr>
        <w:t xml:space="preserve">Events/holidays: one-off disruptions like COVID lockdowns or demonetisation</w:t>
      </w:r>
    </w:p>
    <w:p>
      <w:pPr>
        <w:spacing w:after="80" w:before="0" w:line="276"/>
        <w:jc w:val="left"/>
      </w:pPr>
      <w:r>
        <w:rPr>
          <w:rFonts w:ascii="Arial" w:cs="Arial" w:eastAsia="Arial" w:hAnsi="Arial"/>
          <w:sz w:val="22"/>
          <w:szCs w:val="22"/>
        </w:rPr>
        <w:t xml:space="preserve"/>
      </w:r>
    </w:p>
    <w:p>
      <w:pPr>
        <w:spacing w:after="120" w:before="0" w:line="276"/>
        <w:jc w:val="left"/>
      </w:pPr>
      <w:r>
        <w:rPr>
          <w:rFonts w:ascii="Arial" w:cs="Arial" w:eastAsia="Arial" w:hAnsi="Arial"/>
          <w:b/>
          <w:bCs/>
          <w:sz w:val="22"/>
          <w:szCs w:val="22"/>
        </w:rPr>
        <w:t xml:space="preserve">Why we chose Prophet:</w:t>
      </w:r>
    </w:p>
    <w:p>
      <w:pPr>
        <w:pStyle w:val="ListParagraph"/>
        <w:numPr>
          <w:ilvl w:val="0"/>
          <w:numId w:val="2"/>
        </w:numPr>
        <w:spacing w:after="120" w:before="0" w:line="276"/>
        <w:jc w:val="left"/>
      </w:pPr>
      <w:r>
        <w:rPr>
          <w:rFonts w:ascii="Arial" w:cs="Arial" w:eastAsia="Arial" w:hAnsi="Arial"/>
          <w:sz w:val="22"/>
          <w:szCs w:val="22"/>
        </w:rPr>
        <w:t xml:space="preserve">It handles structural breaks well — India's payment data has multiple regime changes</w:t>
      </w:r>
    </w:p>
    <w:p>
      <w:pPr>
        <w:pStyle w:val="ListParagraph"/>
        <w:numPr>
          <w:ilvl w:val="0"/>
          <w:numId w:val="2"/>
        </w:numPr>
        <w:spacing w:after="120" w:before="0" w:line="276"/>
        <w:jc w:val="left"/>
      </w:pPr>
      <w:r>
        <w:rPr>
          <w:rFonts w:ascii="Arial" w:cs="Arial" w:eastAsia="Arial" w:hAnsi="Arial"/>
          <w:sz w:val="22"/>
          <w:szCs w:val="22"/>
        </w:rPr>
        <w:t xml:space="preserve">It can incorporate external predictors (like the RBI repo rate) as "regressors"</w:t>
      </w:r>
    </w:p>
    <w:p>
      <w:pPr>
        <w:pStyle w:val="ListParagraph"/>
        <w:numPr>
          <w:ilvl w:val="0"/>
          <w:numId w:val="2"/>
        </w:numPr>
        <w:spacing w:after="120" w:before="0" w:line="276"/>
        <w:jc w:val="left"/>
      </w:pPr>
      <w:r>
        <w:rPr>
          <w:rFonts w:ascii="Arial" w:cs="Arial" w:eastAsia="Arial" w:hAnsi="Arial"/>
          <w:sz w:val="22"/>
          <w:szCs w:val="22"/>
        </w:rPr>
        <w:t xml:space="preserve">It gives uncertainty bands (confidence intervals) around its predictions</w:t>
      </w:r>
    </w:p>
    <w:p>
      <w:pPr>
        <w:pStyle w:val="ListParagraph"/>
        <w:numPr>
          <w:ilvl w:val="0"/>
          <w:numId w:val="2"/>
        </w:numPr>
        <w:spacing w:after="120" w:before="0" w:line="276"/>
        <w:jc w:val="left"/>
      </w:pPr>
      <w:r>
        <w:rPr>
          <w:rFonts w:ascii="Arial" w:cs="Arial" w:eastAsia="Arial" w:hAnsi="Arial"/>
          <w:sz w:val="22"/>
          <w:szCs w:val="22"/>
        </w:rPr>
        <w:t xml:space="preserve">It is battle-tested on millions of time series at Facebook/Meta</w:t>
      </w:r>
    </w:p>
    <w:p>
      <w:pPr>
        <w:pStyle w:val="Heading2"/>
        <w:spacing w:after="160" w:before="240" w:line="276"/>
        <w:jc w:val="left"/>
      </w:pPr>
      <w:r>
        <w:rPr>
          <w:rFonts w:ascii="Arial" w:cs="Arial" w:eastAsia="Arial" w:hAnsi="Arial"/>
          <w:b/>
          <w:bCs/>
          <w:sz w:val="24"/>
          <w:szCs w:val="24"/>
        </w:rPr>
        <w:t xml:space="preserve">5.2 ARIMA(1,1,1)</w:t>
      </w:r>
    </w:p>
    <w:p>
      <w:pPr>
        <w:spacing w:after="120" w:before="0" w:line="276"/>
        <w:jc w:val="left"/>
      </w:pPr>
      <w:r>
        <w:rPr>
          <w:rFonts w:ascii="Arial" w:cs="Arial" w:eastAsia="Arial" w:hAnsi="Arial"/>
          <w:sz w:val="22"/>
          <w:szCs w:val="22"/>
        </w:rPr>
        <w:t xml:space="preserve">ARIMA stands for Auto-Regressive Integrated Moving Average. It is a classical statistical model that has been the gold standard for time series forecasting for decades. The numbers (1,1,1) mean:</w:t>
      </w:r>
    </w:p>
    <w:p>
      <w:pPr>
        <w:pStyle w:val="ListParagraph"/>
        <w:numPr>
          <w:ilvl w:val="0"/>
          <w:numId w:val="2"/>
        </w:numPr>
        <w:spacing w:after="120" w:before="0" w:line="276"/>
        <w:jc w:val="left"/>
      </w:pPr>
      <w:r>
        <w:rPr>
          <w:rFonts w:ascii="Arial" w:cs="Arial" w:eastAsia="Arial" w:hAnsi="Arial"/>
          <w:sz w:val="22"/>
          <w:szCs w:val="22"/>
        </w:rPr>
        <w:t xml:space="preserve">1 autoregressive term: the forecast depends on the previous month's value</w:t>
      </w:r>
    </w:p>
    <w:p>
      <w:pPr>
        <w:pStyle w:val="ListParagraph"/>
        <w:numPr>
          <w:ilvl w:val="0"/>
          <w:numId w:val="2"/>
        </w:numPr>
        <w:spacing w:after="120" w:before="0" w:line="276"/>
        <w:jc w:val="left"/>
      </w:pPr>
      <w:r>
        <w:rPr>
          <w:rFonts w:ascii="Arial" w:cs="Arial" w:eastAsia="Arial" w:hAnsi="Arial"/>
          <w:sz w:val="22"/>
          <w:szCs w:val="22"/>
        </w:rPr>
        <w:t xml:space="preserve">1 differencing step: we forecast the change month-to-month, not the absolute level</w:t>
      </w:r>
    </w:p>
    <w:p>
      <w:pPr>
        <w:pStyle w:val="ListParagraph"/>
        <w:numPr>
          <w:ilvl w:val="0"/>
          <w:numId w:val="2"/>
        </w:numPr>
        <w:spacing w:after="120" w:before="0" w:line="276"/>
        <w:jc w:val="left"/>
      </w:pPr>
      <w:r>
        <w:rPr>
          <w:rFonts w:ascii="Arial" w:cs="Arial" w:eastAsia="Arial" w:hAnsi="Arial"/>
          <w:sz w:val="22"/>
          <w:szCs w:val="22"/>
        </w:rPr>
        <w:t xml:space="preserve">1 moving average term: the forecast also considers the previous month's forecast error</w:t>
      </w:r>
    </w:p>
    <w:p>
      <w:pPr>
        <w:spacing w:after="80" w:before="0" w:line="276"/>
        <w:jc w:val="left"/>
      </w:pPr>
      <w:r>
        <w:rPr>
          <w:rFonts w:ascii="Arial" w:cs="Arial" w:eastAsia="Arial" w:hAnsi="Arial"/>
          <w:sz w:val="22"/>
          <w:szCs w:val="22"/>
        </w:rPr>
        <w:t xml:space="preserve"/>
      </w:r>
    </w:p>
    <w:p>
      <w:pPr>
        <w:spacing w:after="120" w:before="0" w:line="276"/>
        <w:jc w:val="left"/>
      </w:pPr>
      <w:r>
        <w:rPr>
          <w:rFonts w:ascii="Arial" w:cs="Arial" w:eastAsia="Arial" w:hAnsi="Arial"/>
          <w:sz w:val="22"/>
          <w:szCs w:val="22"/>
        </w:rPr>
        <w:t xml:space="preserve">Why we include ARIMA: It is fundamentally different from Prophet. Prophet fits a smooth curve through the data; ARIMA focuses on short-term momentum. When Prophet overshoots, ARIMA often undershoots, and vice versa. Combining them cancels out individual errors.</w:t>
      </w:r>
    </w:p>
    <w:p>
      <w:pPr>
        <w:pStyle w:val="Heading2"/>
        <w:spacing w:after="160" w:before="240" w:line="276"/>
        <w:jc w:val="left"/>
      </w:pPr>
      <w:r>
        <w:rPr>
          <w:rFonts w:ascii="Arial" w:cs="Arial" w:eastAsia="Arial" w:hAnsi="Arial"/>
          <w:b/>
          <w:bCs/>
          <w:sz w:val="24"/>
          <w:szCs w:val="24"/>
        </w:rPr>
        <w:t xml:space="preserve">5.3 Damped Exponential Smoothing (ETS)</w:t>
      </w:r>
    </w:p>
    <w:p>
      <w:pPr>
        <w:spacing w:after="120" w:before="0" w:line="276"/>
        <w:jc w:val="left"/>
      </w:pPr>
      <w:r>
        <w:rPr>
          <w:rFonts w:ascii="Arial" w:cs="Arial" w:eastAsia="Arial" w:hAnsi="Arial"/>
          <w:sz w:val="22"/>
          <w:szCs w:val="22"/>
        </w:rPr>
        <w:t xml:space="preserve">ETS (Error, Trend, Seasonality) is another classical model. The "damped" version gradually flattens the trend over time, preventing runaway extrapolation. If the number of credit cards has been growing at 5% per month, damped ETS will predict that the growth rate gradually slows down rather than continuing at 5% forever.</w:t>
      </w:r>
    </w:p>
    <w:p>
      <w:pPr>
        <w:spacing w:after="120" w:before="0" w:line="276"/>
        <w:jc w:val="left"/>
      </w:pPr>
      <w:r>
        <w:rPr>
          <w:rFonts w:ascii="Arial" w:cs="Arial" w:eastAsia="Arial" w:hAnsi="Arial"/>
          <w:sz w:val="22"/>
          <w:szCs w:val="22"/>
        </w:rPr>
        <w:t xml:space="preserve">Why we include ETS: It provides a conservative anchor. If Prophet and ARIMA both predict aggressive growth, ETS pulls the ensemble forecast back toward a more cautious projection. This is valuable for risk management.</w:t>
      </w:r>
    </w:p>
    <w:p>
      <w:pPr>
        <w:pStyle w:val="Heading2"/>
        <w:spacing w:after="160" w:before="240" w:line="276"/>
        <w:jc w:val="left"/>
      </w:pPr>
      <w:r>
        <w:rPr>
          <w:rFonts w:ascii="Arial" w:cs="Arial" w:eastAsia="Arial" w:hAnsi="Arial"/>
          <w:b/>
          <w:bCs/>
          <w:sz w:val="24"/>
          <w:szCs w:val="24"/>
        </w:rPr>
        <w:t xml:space="preserve">5.4 Ensemble: Combining the Three Models</w:t>
      </w:r>
    </w:p>
    <w:p>
      <w:pPr>
        <w:spacing w:after="120" w:before="0" w:line="276"/>
        <w:jc w:val="left"/>
      </w:pPr>
      <w:r>
        <w:rPr>
          <w:rFonts w:ascii="Arial" w:cs="Arial" w:eastAsia="Arial" w:hAnsi="Arial"/>
          <w:sz w:val="22"/>
          <w:szCs w:val="22"/>
        </w:rPr>
        <w:t xml:space="preserve">Rather than picking one model, we take a weighted average of all three. The weights are not arbitrary — they were mathematically optimised using cross-validation (testing on data the models have never seen):</w:t>
      </w:r>
    </w:p>
    <w:p>
      <w:pPr>
        <w:spacing w:after="80" w:before="0" w:line="276"/>
        <w:jc w:val="left"/>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600"/>
        <w:gridCol w:w="1600"/>
        <w:gridCol w:w="1600"/>
        <w:gridCol w:w="2560"/>
      </w:tblGrid>
      <w:tr>
        <w:tc>
          <w:tcPr>
            <w:tcW w:type="dxa" w:w="2000"/>
            <w:tcBorders>
              <w:top w:val="single" w:color="999999" w:sz="1"/>
              <w:left w:val="single" w:color="999999" w:sz="1"/>
              <w:bottom w:val="single" w:color="999999" w:sz="1"/>
              <w:right w:val="single" w:color="999999" w:sz="1"/>
            </w:tcBorders>
            <w:shd w:fill="F2F2F2" w:val="clear"/>
            <w:tcMar>
              <w:top w:type="dxa" w:w="60"/>
              <w:left w:type="dxa" w:w="100"/>
              <w:bottom w:type="dxa" w:w="60"/>
              <w:right w:type="dxa" w:w="100"/>
            </w:tcMar>
          </w:tcPr>
          <w:p>
            <w:pPr>
              <w:jc w:val="left"/>
            </w:pPr>
            <w:r>
              <w:rPr>
                <w:rFonts w:ascii="Arial" w:cs="Arial" w:eastAsia="Arial" w:hAnsi="Arial"/>
                <w:b/>
                <w:bCs/>
                <w:sz w:val="20"/>
                <w:szCs w:val="20"/>
              </w:rPr>
              <w:t xml:space="preserve">Card Type</w:t>
            </w:r>
          </w:p>
        </w:tc>
        <w:tc>
          <w:tcPr>
            <w:tcW w:type="dxa" w:w="1600"/>
            <w:tcBorders>
              <w:top w:val="single" w:color="999999" w:sz="1"/>
              <w:left w:val="single" w:color="999999" w:sz="1"/>
              <w:bottom w:val="single" w:color="999999" w:sz="1"/>
              <w:right w:val="single" w:color="999999" w:sz="1"/>
            </w:tcBorders>
            <w:shd w:fill="F2F2F2" w:val="clear"/>
            <w:tcMar>
              <w:top w:type="dxa" w:w="60"/>
              <w:left w:type="dxa" w:w="100"/>
              <w:bottom w:type="dxa" w:w="60"/>
              <w:right w:type="dxa" w:w="100"/>
            </w:tcMar>
          </w:tcPr>
          <w:p>
            <w:pPr>
              <w:jc w:val="left"/>
            </w:pPr>
            <w:r>
              <w:rPr>
                <w:rFonts w:ascii="Arial" w:cs="Arial" w:eastAsia="Arial" w:hAnsi="Arial"/>
                <w:b/>
                <w:bCs/>
                <w:sz w:val="20"/>
                <w:szCs w:val="20"/>
              </w:rPr>
              <w:t xml:space="preserve">Prophet</w:t>
            </w:r>
          </w:p>
        </w:tc>
        <w:tc>
          <w:tcPr>
            <w:tcW w:type="dxa" w:w="1600"/>
            <w:tcBorders>
              <w:top w:val="single" w:color="999999" w:sz="1"/>
              <w:left w:val="single" w:color="999999" w:sz="1"/>
              <w:bottom w:val="single" w:color="999999" w:sz="1"/>
              <w:right w:val="single" w:color="999999" w:sz="1"/>
            </w:tcBorders>
            <w:shd w:fill="F2F2F2" w:val="clear"/>
            <w:tcMar>
              <w:top w:type="dxa" w:w="60"/>
              <w:left w:type="dxa" w:w="100"/>
              <w:bottom w:type="dxa" w:w="60"/>
              <w:right w:type="dxa" w:w="100"/>
            </w:tcMar>
          </w:tcPr>
          <w:p>
            <w:pPr>
              <w:jc w:val="left"/>
            </w:pPr>
            <w:r>
              <w:rPr>
                <w:rFonts w:ascii="Arial" w:cs="Arial" w:eastAsia="Arial" w:hAnsi="Arial"/>
                <w:b/>
                <w:bCs/>
                <w:sz w:val="20"/>
                <w:szCs w:val="20"/>
              </w:rPr>
              <w:t xml:space="preserve">ARIMA</w:t>
            </w:r>
          </w:p>
        </w:tc>
        <w:tc>
          <w:tcPr>
            <w:tcW w:type="dxa" w:w="1600"/>
            <w:tcBorders>
              <w:top w:val="single" w:color="999999" w:sz="1"/>
              <w:left w:val="single" w:color="999999" w:sz="1"/>
              <w:bottom w:val="single" w:color="999999" w:sz="1"/>
              <w:right w:val="single" w:color="999999" w:sz="1"/>
            </w:tcBorders>
            <w:shd w:fill="F2F2F2" w:val="clear"/>
            <w:tcMar>
              <w:top w:type="dxa" w:w="60"/>
              <w:left w:type="dxa" w:w="100"/>
              <w:bottom w:type="dxa" w:w="60"/>
              <w:right w:type="dxa" w:w="100"/>
            </w:tcMar>
          </w:tcPr>
          <w:p>
            <w:pPr>
              <w:jc w:val="left"/>
            </w:pPr>
            <w:r>
              <w:rPr>
                <w:rFonts w:ascii="Arial" w:cs="Arial" w:eastAsia="Arial" w:hAnsi="Arial"/>
                <w:b/>
                <w:bCs/>
                <w:sz w:val="20"/>
                <w:szCs w:val="20"/>
              </w:rPr>
              <w:t xml:space="preserve">ETS</w:t>
            </w:r>
          </w:p>
        </w:tc>
        <w:tc>
          <w:tcPr>
            <w:tcW w:type="dxa" w:w="2560"/>
            <w:tcBorders>
              <w:top w:val="single" w:color="999999" w:sz="1"/>
              <w:left w:val="single" w:color="999999" w:sz="1"/>
              <w:bottom w:val="single" w:color="999999" w:sz="1"/>
              <w:right w:val="single" w:color="999999" w:sz="1"/>
            </w:tcBorders>
            <w:shd w:fill="F2F2F2" w:val="clear"/>
            <w:tcMar>
              <w:top w:type="dxa" w:w="60"/>
              <w:left w:type="dxa" w:w="100"/>
              <w:bottom w:type="dxa" w:w="60"/>
              <w:right w:type="dxa" w:w="100"/>
            </w:tcMar>
          </w:tcPr>
          <w:p>
            <w:pPr>
              <w:jc w:val="left"/>
            </w:pPr>
            <w:r>
              <w:rPr>
                <w:rFonts w:ascii="Arial" w:cs="Arial" w:eastAsia="Arial" w:hAnsi="Arial"/>
                <w:b/>
                <w:bCs/>
                <w:sz w:val="20"/>
                <w:szCs w:val="20"/>
              </w:rPr>
              <w:t xml:space="preserve">Combined MAPE</w:t>
            </w:r>
          </w:p>
        </w:tc>
      </w:tr>
      <w:tr>
        <w:tc>
          <w:tcPr>
            <w:tcW w:type="dxa" w:w="20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Arial" w:cs="Arial" w:eastAsia="Arial" w:hAnsi="Arial"/>
                <w:sz w:val="20"/>
                <w:szCs w:val="20"/>
              </w:rPr>
              <w:t xml:space="preserve">Credit Card</w:t>
            </w:r>
          </w:p>
        </w:tc>
        <w:tc>
          <w:tcPr>
            <w:tcW w:type="dxa" w:w="16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Arial" w:cs="Arial" w:eastAsia="Arial" w:hAnsi="Arial"/>
                <w:sz w:val="20"/>
                <w:szCs w:val="20"/>
              </w:rPr>
              <w:t xml:space="preserve">35%</w:t>
            </w:r>
          </w:p>
        </w:tc>
        <w:tc>
          <w:tcPr>
            <w:tcW w:type="dxa" w:w="16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Arial" w:cs="Arial" w:eastAsia="Arial" w:hAnsi="Arial"/>
                <w:sz w:val="20"/>
                <w:szCs w:val="20"/>
              </w:rPr>
              <w:t xml:space="preserve">39%</w:t>
            </w:r>
          </w:p>
        </w:tc>
        <w:tc>
          <w:tcPr>
            <w:tcW w:type="dxa" w:w="16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Arial" w:cs="Arial" w:eastAsia="Arial" w:hAnsi="Arial"/>
                <w:sz w:val="20"/>
                <w:szCs w:val="20"/>
              </w:rPr>
              <w:t xml:space="preserve">26%</w:t>
            </w:r>
          </w:p>
        </w:tc>
        <w:tc>
          <w:tcPr>
            <w:tcW w:type="dxa" w:w="256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Arial" w:cs="Arial" w:eastAsia="Arial" w:hAnsi="Arial"/>
                <w:sz w:val="20"/>
                <w:szCs w:val="20"/>
              </w:rPr>
              <w:t xml:space="preserve">~3.5%</w:t>
            </w:r>
          </w:p>
        </w:tc>
      </w:tr>
      <w:tr>
        <w:tc>
          <w:tcPr>
            <w:tcW w:type="dxa" w:w="20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Arial" w:cs="Arial" w:eastAsia="Arial" w:hAnsi="Arial"/>
                <w:sz w:val="20"/>
                <w:szCs w:val="20"/>
              </w:rPr>
              <w:t xml:space="preserve">Debit Card</w:t>
            </w:r>
          </w:p>
        </w:tc>
        <w:tc>
          <w:tcPr>
            <w:tcW w:type="dxa" w:w="16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Arial" w:cs="Arial" w:eastAsia="Arial" w:hAnsi="Arial"/>
                <w:sz w:val="20"/>
                <w:szCs w:val="20"/>
              </w:rPr>
              <w:t xml:space="preserve">35%</w:t>
            </w:r>
          </w:p>
        </w:tc>
        <w:tc>
          <w:tcPr>
            <w:tcW w:type="dxa" w:w="16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Arial" w:cs="Arial" w:eastAsia="Arial" w:hAnsi="Arial"/>
                <w:sz w:val="20"/>
                <w:szCs w:val="20"/>
              </w:rPr>
              <w:t xml:space="preserve">65%</w:t>
            </w:r>
          </w:p>
        </w:tc>
        <w:tc>
          <w:tcPr>
            <w:tcW w:type="dxa" w:w="16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Arial" w:cs="Arial" w:eastAsia="Arial" w:hAnsi="Arial"/>
                <w:sz w:val="20"/>
                <w:szCs w:val="20"/>
              </w:rPr>
              <w:t xml:space="preserve">0%</w:t>
            </w:r>
          </w:p>
        </w:tc>
        <w:tc>
          <w:tcPr>
            <w:tcW w:type="dxa" w:w="256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Arial" w:cs="Arial" w:eastAsia="Arial" w:hAnsi="Arial"/>
                <w:sz w:val="20"/>
                <w:szCs w:val="20"/>
              </w:rPr>
              <w:t xml:space="preserve">~5.7%</w:t>
            </w:r>
          </w:p>
        </w:tc>
      </w:tr>
    </w:tbl>
    <w:p>
      <w:pPr>
        <w:spacing w:after="80" w:before="0" w:line="276"/>
        <w:jc w:val="left"/>
      </w:pPr>
      <w:r>
        <w:rPr>
          <w:rFonts w:ascii="Arial" w:cs="Arial" w:eastAsia="Arial" w:hAnsi="Arial"/>
          <w:sz w:val="22"/>
          <w:szCs w:val="22"/>
        </w:rPr>
        <w:t xml:space="preserve"/>
      </w:r>
    </w:p>
    <w:p>
      <w:pPr>
        <w:spacing w:after="120" w:before="0" w:line="276"/>
        <w:jc w:val="left"/>
      </w:pPr>
      <w:r>
        <w:rPr>
          <w:rFonts w:ascii="Arial" w:cs="Arial" w:eastAsia="Arial" w:hAnsi="Arial"/>
          <w:sz w:val="22"/>
          <w:szCs w:val="22"/>
        </w:rPr>
        <w:t xml:space="preserve">For debit cards, ETS gets 0% weight. This means the optimiser found that ETS adds no value for DC — ARIMA alone (with Prophet) does better. This is because the debit card series has a complex structural break (UPI displacement starting 2022) that damped ETS cannot capture well.</w:t>
      </w:r>
    </w:p>
    <w:p>
      <w:pPr>
        <w:spacing w:after="120" w:before="0" w:line="276"/>
        <w:jc w:val="left"/>
      </w:pPr>
      <w:r>
        <w:rPr>
          <w:rFonts w:ascii="Arial" w:cs="Arial" w:eastAsia="Arial" w:hAnsi="Arial"/>
          <w:sz w:val="22"/>
          <w:szCs w:val="22"/>
        </w:rPr>
        <w:t xml:space="preserve">A 3.5% MAPE means that on average, our credit card forecast is off by only 3.5% from the actual number. For a market of 1,100+ lakh cards, that is within approximately 38 lakh cards of the real value.</w:t>
      </w:r>
    </w:p>
    <w:p>
      <w:r>
        <w:br w:type="page"/>
      </w:r>
    </w:p>
    <w:p>
      <w:pPr>
        <w:pStyle w:val="Heading1"/>
        <w:spacing w:after="200" w:before="300" w:line="276"/>
        <w:jc w:val="left"/>
      </w:pPr>
      <w:r>
        <w:rPr>
          <w:rFonts w:ascii="Arial" w:cs="Arial" w:eastAsia="Arial" w:hAnsi="Arial"/>
          <w:b/>
          <w:bCs/>
          <w:sz w:val="28"/>
          <w:szCs w:val="28"/>
        </w:rPr>
        <w:t xml:space="preserve">6. Regressors</w:t>
      </w:r>
    </w:p>
    <w:p>
      <w:pPr>
        <w:spacing w:after="120" w:before="0" w:line="276"/>
        <w:jc w:val="left"/>
      </w:pPr>
      <w:r>
        <w:rPr>
          <w:rFonts w:ascii="Arial" w:cs="Arial" w:eastAsia="Arial" w:hAnsi="Arial"/>
          <w:sz w:val="22"/>
          <w:szCs w:val="22"/>
        </w:rPr>
        <w:t xml:space="preserve">Regressors are external variables that help explain why the number we are forecasting goes up or down. Instead of just looking at the trend and seasonality of credit cards, we also tell the model "look at what the RBI interest rate is doing — that affects credit card issuance."</w:t>
      </w:r>
    </w:p>
    <w:p>
      <w:pPr>
        <w:pStyle w:val="Heading2"/>
        <w:spacing w:after="160" w:before="240" w:line="276"/>
        <w:jc w:val="left"/>
      </w:pPr>
      <w:r>
        <w:rPr>
          <w:rFonts w:ascii="Arial" w:cs="Arial" w:eastAsia="Arial" w:hAnsi="Arial"/>
          <w:b/>
          <w:bCs/>
          <w:sz w:val="24"/>
          <w:szCs w:val="24"/>
        </w:rPr>
        <w:t xml:space="preserve">6.1 Credit Card: Repo Rate (lagged 9 months)</w:t>
      </w:r>
    </w:p>
    <w:p>
      <w:pPr>
        <w:spacing w:after="120" w:before="0" w:line="276"/>
        <w:jc w:val="left"/>
      </w:pPr>
      <w:r>
        <w:rPr>
          <w:rFonts w:ascii="Arial" w:cs="Arial" w:eastAsia="Arial" w:hAnsi="Arial"/>
          <w:sz w:val="22"/>
          <w:szCs w:val="22"/>
        </w:rPr>
        <w:t xml:space="preserve">The RBI repo rate is the interest rate at which RBI lends to banks. When it goes up, banks face higher borrowing costs and tighten credit card issuance. When it comes down, banks loosen up and issue more cards.</w:t>
      </w:r>
    </w:p>
    <w:p>
      <w:pPr>
        <w:spacing w:after="120" w:before="0" w:line="276"/>
        <w:jc w:val="left"/>
      </w:pPr>
      <w:r>
        <w:rPr>
          <w:rFonts w:ascii="Arial" w:cs="Arial" w:eastAsia="Arial" w:hAnsi="Arial"/>
          <w:sz w:val="22"/>
          <w:szCs w:val="22"/>
        </w:rPr>
        <w:t xml:space="preserve">This effect is not instant — our analysis found it takes about 9 months for an RBI rate change to show up in credit card outstanding numbers. This 9-month lag was selected objectively: we tested every lag from 0 to 12 months using 18 separate cross-validation windows, and lag 9 was selected as optimal in 12 out of 18 windows (67% of the time).</w:t>
      </w:r>
    </w:p>
    <w:p>
      <w:pPr>
        <w:pStyle w:val="Heading2"/>
        <w:spacing w:after="160" w:before="240" w:line="276"/>
        <w:jc w:val="left"/>
      </w:pPr>
      <w:r>
        <w:rPr>
          <w:rFonts w:ascii="Arial" w:cs="Arial" w:eastAsia="Arial" w:hAnsi="Arial"/>
          <w:b/>
          <w:bCs/>
          <w:sz w:val="24"/>
          <w:szCs w:val="24"/>
        </w:rPr>
        <w:t xml:space="preserve">6.2 Debit Card: Transaction Volume (lagged 4 months)</w:t>
      </w:r>
    </w:p>
    <w:p>
      <w:pPr>
        <w:spacing w:after="120" w:before="0" w:line="276"/>
        <w:jc w:val="left"/>
      </w:pPr>
      <w:r>
        <w:rPr>
          <w:rFonts w:ascii="Arial" w:cs="Arial" w:eastAsia="Arial" w:hAnsi="Arial"/>
          <w:sz w:val="22"/>
          <w:szCs w:val="22"/>
        </w:rPr>
        <w:t xml:space="preserve">This is the number of debit card transactions per month. More transactions signal higher usage, which eventually drives banks to issue more cards. The 4-month lag reflects the reporting and settlement delay between a transaction happening and RBI capturing it in the outstanding data. Lag 4 gave 5.7% error versus 7.6% at lag 0 — a 1.9 percentage point improvement.</w:t>
      </w:r>
    </w:p>
    <w:p>
      <w:pPr>
        <w:pStyle w:val="Heading2"/>
        <w:spacing w:after="160" w:before="240" w:line="276"/>
        <w:jc w:val="left"/>
      </w:pPr>
      <w:r>
        <w:rPr>
          <w:rFonts w:ascii="Arial" w:cs="Arial" w:eastAsia="Arial" w:hAnsi="Arial"/>
          <w:b/>
          <w:bCs/>
          <w:sz w:val="24"/>
          <w:szCs w:val="24"/>
        </w:rPr>
        <w:t xml:space="preserve">6.3 Debit Card: POS Volume (no lag)</w:t>
      </w:r>
    </w:p>
    <w:p>
      <w:pPr>
        <w:spacing w:after="120" w:before="0" w:line="276"/>
        <w:jc w:val="left"/>
      </w:pPr>
      <w:r>
        <w:rPr>
          <w:rFonts w:ascii="Arial" w:cs="Arial" w:eastAsia="Arial" w:hAnsi="Arial"/>
          <w:sz w:val="22"/>
          <w:szCs w:val="22"/>
        </w:rPr>
        <w:t xml:space="preserve">This measures how many debit card swipes happen at physical merchant terminals. It is declining because UPI is replacing debit cards at shops. Including this gives the model a direct signal of the displacement happening — as POS volume drops, the model adjusts its debit card forecast downward.</w:t>
      </w:r>
    </w:p>
    <w:p>
      <w:r>
        <w:br w:type="page"/>
      </w:r>
    </w:p>
    <w:p>
      <w:pPr>
        <w:pStyle w:val="Heading1"/>
        <w:spacing w:after="200" w:before="300" w:line="276"/>
        <w:jc w:val="left"/>
      </w:pPr>
      <w:r>
        <w:rPr>
          <w:rFonts w:ascii="Arial" w:cs="Arial" w:eastAsia="Arial" w:hAnsi="Arial"/>
          <w:b/>
          <w:bCs/>
          <w:sz w:val="28"/>
          <w:szCs w:val="28"/>
        </w:rPr>
        <w:t xml:space="preserve">7. Structural Events</w:t>
      </w:r>
    </w:p>
    <w:p>
      <w:pPr>
        <w:spacing w:after="120" w:before="0" w:line="276"/>
        <w:jc w:val="left"/>
      </w:pPr>
      <w:r>
        <w:rPr>
          <w:rFonts w:ascii="Arial" w:cs="Arial" w:eastAsia="Arial" w:hAnsi="Arial"/>
          <w:sz w:val="22"/>
          <w:szCs w:val="22"/>
        </w:rPr>
        <w:t xml:space="preserve">India's payment landscape has been disrupted by several major events that cannot be predicted by trend or seasonality alone. We explicitly code these into the model:</w:t>
      </w:r>
    </w:p>
    <w:p>
      <w:pPr>
        <w:spacing w:after="80" w:before="0" w:line="276"/>
        <w:jc w:val="left"/>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200"/>
        <w:gridCol w:w="3200"/>
        <w:gridCol w:w="3160"/>
      </w:tblGrid>
      <w:tr>
        <w:tc>
          <w:tcPr>
            <w:tcW w:type="dxa" w:w="1800"/>
            <w:tcBorders>
              <w:top w:val="single" w:color="999999" w:sz="1"/>
              <w:left w:val="single" w:color="999999" w:sz="1"/>
              <w:bottom w:val="single" w:color="999999" w:sz="1"/>
              <w:right w:val="single" w:color="999999" w:sz="1"/>
            </w:tcBorders>
            <w:shd w:fill="F2F2F2" w:val="clear"/>
            <w:tcMar>
              <w:top w:type="dxa" w:w="60"/>
              <w:left w:type="dxa" w:w="100"/>
              <w:bottom w:type="dxa" w:w="60"/>
              <w:right w:type="dxa" w:w="100"/>
            </w:tcMar>
          </w:tcPr>
          <w:p>
            <w:pPr>
              <w:jc w:val="left"/>
            </w:pPr>
            <w:r>
              <w:rPr>
                <w:rFonts w:ascii="Arial" w:cs="Arial" w:eastAsia="Arial" w:hAnsi="Arial"/>
                <w:b/>
                <w:bCs/>
                <w:sz w:val="20"/>
                <w:szCs w:val="20"/>
              </w:rPr>
              <w:t xml:space="preserve">Event</w:t>
            </w:r>
          </w:p>
        </w:tc>
        <w:tc>
          <w:tcPr>
            <w:tcW w:type="dxa" w:w="1200"/>
            <w:tcBorders>
              <w:top w:val="single" w:color="999999" w:sz="1"/>
              <w:left w:val="single" w:color="999999" w:sz="1"/>
              <w:bottom w:val="single" w:color="999999" w:sz="1"/>
              <w:right w:val="single" w:color="999999" w:sz="1"/>
            </w:tcBorders>
            <w:shd w:fill="F2F2F2" w:val="clear"/>
            <w:tcMar>
              <w:top w:type="dxa" w:w="60"/>
              <w:left w:type="dxa" w:w="100"/>
              <w:bottom w:type="dxa" w:w="60"/>
              <w:right w:type="dxa" w:w="100"/>
            </w:tcMar>
          </w:tcPr>
          <w:p>
            <w:pPr>
              <w:jc w:val="left"/>
            </w:pPr>
            <w:r>
              <w:rPr>
                <w:rFonts w:ascii="Arial" w:cs="Arial" w:eastAsia="Arial" w:hAnsi="Arial"/>
                <w:b/>
                <w:bCs/>
                <w:sz w:val="20"/>
                <w:szCs w:val="20"/>
              </w:rPr>
              <w:t xml:space="preserve">Date</w:t>
            </w:r>
          </w:p>
        </w:tc>
        <w:tc>
          <w:tcPr>
            <w:tcW w:type="dxa" w:w="3200"/>
            <w:tcBorders>
              <w:top w:val="single" w:color="999999" w:sz="1"/>
              <w:left w:val="single" w:color="999999" w:sz="1"/>
              <w:bottom w:val="single" w:color="999999" w:sz="1"/>
              <w:right w:val="single" w:color="999999" w:sz="1"/>
            </w:tcBorders>
            <w:shd w:fill="F2F2F2" w:val="clear"/>
            <w:tcMar>
              <w:top w:type="dxa" w:w="60"/>
              <w:left w:type="dxa" w:w="100"/>
              <w:bottom w:type="dxa" w:w="60"/>
              <w:right w:type="dxa" w:w="100"/>
            </w:tcMar>
          </w:tcPr>
          <w:p>
            <w:pPr>
              <w:jc w:val="left"/>
            </w:pPr>
            <w:r>
              <w:rPr>
                <w:rFonts w:ascii="Arial" w:cs="Arial" w:eastAsia="Arial" w:hAnsi="Arial"/>
                <w:b/>
                <w:bCs/>
                <w:sz w:val="20"/>
                <w:szCs w:val="20"/>
              </w:rPr>
              <w:t xml:space="preserve">What Happened</w:t>
            </w:r>
          </w:p>
        </w:tc>
        <w:tc>
          <w:tcPr>
            <w:tcW w:type="dxa" w:w="3160"/>
            <w:tcBorders>
              <w:top w:val="single" w:color="999999" w:sz="1"/>
              <w:left w:val="single" w:color="999999" w:sz="1"/>
              <w:bottom w:val="single" w:color="999999" w:sz="1"/>
              <w:right w:val="single" w:color="999999" w:sz="1"/>
            </w:tcBorders>
            <w:shd w:fill="F2F2F2" w:val="clear"/>
            <w:tcMar>
              <w:top w:type="dxa" w:w="60"/>
              <w:left w:type="dxa" w:w="100"/>
              <w:bottom w:type="dxa" w:w="60"/>
              <w:right w:type="dxa" w:w="100"/>
            </w:tcMar>
          </w:tcPr>
          <w:p>
            <w:pPr>
              <w:jc w:val="left"/>
            </w:pPr>
            <w:r>
              <w:rPr>
                <w:rFonts w:ascii="Arial" w:cs="Arial" w:eastAsia="Arial" w:hAnsi="Arial"/>
                <w:b/>
                <w:bCs/>
                <w:sz w:val="20"/>
                <w:szCs w:val="20"/>
              </w:rPr>
              <w:t xml:space="preserve">How We Model It</w:t>
            </w:r>
          </w:p>
        </w:tc>
      </w:tr>
      <w:tr>
        <w:tc>
          <w:tcPr>
            <w:tcW w:type="dxa" w:w="18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Arial" w:cs="Arial" w:eastAsia="Arial" w:hAnsi="Arial"/>
                <w:sz w:val="20"/>
                <w:szCs w:val="20"/>
              </w:rPr>
              <w:t xml:space="preserve">Demonetisation</w:t>
            </w:r>
          </w:p>
        </w:tc>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Arial" w:cs="Arial" w:eastAsia="Arial" w:hAnsi="Arial"/>
                <w:sz w:val="20"/>
                <w:szCs w:val="20"/>
              </w:rPr>
              <w:t xml:space="preserve">Nov 2016</w:t>
            </w:r>
          </w:p>
        </w:tc>
        <w:tc>
          <w:tcPr>
            <w:tcW w:type="dxa" w:w="3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Arial" w:cs="Arial" w:eastAsia="Arial" w:hAnsi="Arial"/>
                <w:sz w:val="20"/>
                <w:szCs w:val="20"/>
              </w:rPr>
              <w:t xml:space="preserve">Rs 500/1000 notes banned. Forced cashless adoption. CC and DC issuance spiked.</w:t>
            </w:r>
          </w:p>
        </w:tc>
        <w:tc>
          <w:tcPr>
            <w:tcW w:type="dxa" w:w="316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Arial" w:cs="Arial" w:eastAsia="Arial" w:hAnsi="Arial"/>
                <w:sz w:val="20"/>
                <w:szCs w:val="20"/>
              </w:rPr>
              <w:t xml:space="preserve">Changepoint (permanent growth rate shift)</w:t>
            </w:r>
          </w:p>
        </w:tc>
      </w:tr>
      <w:tr>
        <w:tc>
          <w:tcPr>
            <w:tcW w:type="dxa" w:w="18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Arial" w:cs="Arial" w:eastAsia="Arial" w:hAnsi="Arial"/>
                <w:sz w:val="20"/>
                <w:szCs w:val="20"/>
              </w:rPr>
              <w:t xml:space="preserve">COVID Lockdown</w:t>
            </w:r>
          </w:p>
        </w:tc>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Arial" w:cs="Arial" w:eastAsia="Arial" w:hAnsi="Arial"/>
                <w:sz w:val="20"/>
                <w:szCs w:val="20"/>
              </w:rPr>
              <w:t xml:space="preserve">Apr-May 2020</w:t>
            </w:r>
          </w:p>
        </w:tc>
        <w:tc>
          <w:tcPr>
            <w:tcW w:type="dxa" w:w="3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Arial" w:cs="Arial" w:eastAsia="Arial" w:hAnsi="Arial"/>
                <w:sz w:val="20"/>
                <w:szCs w:val="20"/>
              </w:rPr>
              <w:t xml:space="preserve">Nationwide lockdown. Card issuance froze for 2 months.</w:t>
            </w:r>
          </w:p>
        </w:tc>
        <w:tc>
          <w:tcPr>
            <w:tcW w:type="dxa" w:w="316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Arial" w:cs="Arial" w:eastAsia="Arial" w:hAnsi="Arial"/>
                <w:sz w:val="20"/>
                <w:szCs w:val="20"/>
              </w:rPr>
              <w:t xml:space="preserve">Pulse dummy (ignore these 2 abnormal months)</w:t>
            </w:r>
          </w:p>
        </w:tc>
      </w:tr>
      <w:tr>
        <w:tc>
          <w:tcPr>
            <w:tcW w:type="dxa" w:w="18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Arial" w:cs="Arial" w:eastAsia="Arial" w:hAnsi="Arial"/>
                <w:sz w:val="20"/>
                <w:szCs w:val="20"/>
              </w:rPr>
              <w:t xml:space="preserve">PMJDY / Jan Dhan</w:t>
            </w:r>
          </w:p>
        </w:tc>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Arial" w:cs="Arial" w:eastAsia="Arial" w:hAnsi="Arial"/>
                <w:sz w:val="20"/>
                <w:szCs w:val="20"/>
              </w:rPr>
              <w:t xml:space="preserve">Aug 2014</w:t>
            </w:r>
          </w:p>
        </w:tc>
        <w:tc>
          <w:tcPr>
            <w:tcW w:type="dxa" w:w="3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Arial" w:cs="Arial" w:eastAsia="Arial" w:hAnsi="Arial"/>
                <w:sz w:val="20"/>
                <w:szCs w:val="20"/>
              </w:rPr>
              <w:t xml:space="preserve">Government opened 380M+ bank accounts with free RuPay debit cards.</w:t>
            </w:r>
          </w:p>
        </w:tc>
        <w:tc>
          <w:tcPr>
            <w:tcW w:type="dxa" w:w="316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Arial" w:cs="Arial" w:eastAsia="Arial" w:hAnsi="Arial"/>
                <w:sz w:val="20"/>
                <w:szCs w:val="20"/>
              </w:rPr>
              <w:t xml:space="preserve">Changepoint (DC only)</w:t>
            </w:r>
          </w:p>
        </w:tc>
      </w:tr>
      <w:tr>
        <w:tc>
          <w:tcPr>
            <w:tcW w:type="dxa" w:w="18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Arial" w:cs="Arial" w:eastAsia="Arial" w:hAnsi="Arial"/>
                <w:sz w:val="20"/>
                <w:szCs w:val="20"/>
              </w:rPr>
              <w:t xml:space="preserve">UPI Inflection</w:t>
            </w:r>
          </w:p>
        </w:tc>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Arial" w:cs="Arial" w:eastAsia="Arial" w:hAnsi="Arial"/>
                <w:sz w:val="20"/>
                <w:szCs w:val="20"/>
              </w:rPr>
              <w:t xml:space="preserve">Jan 2022</w:t>
            </w:r>
          </w:p>
        </w:tc>
        <w:tc>
          <w:tcPr>
            <w:tcW w:type="dxa" w:w="3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Arial" w:cs="Arial" w:eastAsia="Arial" w:hAnsi="Arial"/>
                <w:sz w:val="20"/>
                <w:szCs w:val="20"/>
              </w:rPr>
              <w:t xml:space="preserve">UPI merchant payments overtook debit card POS. DC growth reversed.</w:t>
            </w:r>
          </w:p>
        </w:tc>
        <w:tc>
          <w:tcPr>
            <w:tcW w:type="dxa" w:w="316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Arial" w:cs="Arial" w:eastAsia="Arial" w:hAnsi="Arial"/>
                <w:sz w:val="20"/>
                <w:szCs w:val="20"/>
              </w:rPr>
              <w:t xml:space="preserve">Changepoint (DC only)</w:t>
            </w:r>
          </w:p>
        </w:tc>
      </w:tr>
      <w:tr>
        <w:tc>
          <w:tcPr>
            <w:tcW w:type="dxa" w:w="18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Arial" w:cs="Arial" w:eastAsia="Arial" w:hAnsi="Arial"/>
                <w:sz w:val="20"/>
                <w:szCs w:val="20"/>
              </w:rPr>
              <w:t xml:space="preserve">RBI Credit Tightening</w:t>
            </w:r>
          </w:p>
        </w:tc>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Arial" w:cs="Arial" w:eastAsia="Arial" w:hAnsi="Arial"/>
                <w:sz w:val="20"/>
                <w:szCs w:val="20"/>
              </w:rPr>
              <w:t xml:space="preserve">Nov 2023</w:t>
            </w:r>
          </w:p>
        </w:tc>
        <w:tc>
          <w:tcPr>
            <w:tcW w:type="dxa" w:w="3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Arial" w:cs="Arial" w:eastAsia="Arial" w:hAnsi="Arial"/>
                <w:sz w:val="20"/>
                <w:szCs w:val="20"/>
              </w:rPr>
              <w:t xml:space="preserve">RBI raised risk weights on unsecured consumer credit.</w:t>
            </w:r>
          </w:p>
        </w:tc>
        <w:tc>
          <w:tcPr>
            <w:tcW w:type="dxa" w:w="316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Arial" w:cs="Arial" w:eastAsia="Arial" w:hAnsi="Arial"/>
                <w:sz w:val="20"/>
                <w:szCs w:val="20"/>
              </w:rPr>
              <w:t xml:space="preserve">Step dummy (CC only, permanent slowdown)</w:t>
            </w:r>
          </w:p>
        </w:tc>
      </w:tr>
    </w:tbl>
    <w:p>
      <w:pPr>
        <w:spacing w:after="80" w:before="0" w:line="276"/>
        <w:jc w:val="left"/>
      </w:pPr>
      <w:r>
        <w:rPr>
          <w:rFonts w:ascii="Arial" w:cs="Arial" w:eastAsia="Arial" w:hAnsi="Arial"/>
          <w:sz w:val="22"/>
          <w:szCs w:val="22"/>
        </w:rPr>
        <w:t xml:space="preserve"/>
      </w:r>
    </w:p>
    <w:p>
      <w:pPr>
        <w:spacing w:after="120" w:before="0" w:line="276"/>
        <w:jc w:val="left"/>
      </w:pPr>
      <w:r>
        <w:rPr>
          <w:rFonts w:ascii="Arial" w:cs="Arial" w:eastAsia="Arial" w:hAnsi="Arial"/>
          <w:sz w:val="22"/>
          <w:szCs w:val="22"/>
        </w:rPr>
        <w:t xml:space="preserve">Without these event codings, the models would either overfit to the disruption period or miss the structural shift entirely.</w:t>
      </w:r>
    </w:p>
    <w:p>
      <w:r>
        <w:br w:type="page"/>
      </w:r>
    </w:p>
    <w:p>
      <w:pPr>
        <w:pStyle w:val="Heading1"/>
        <w:spacing w:after="200" w:before="300" w:line="276"/>
        <w:jc w:val="left"/>
      </w:pPr>
      <w:r>
        <w:rPr>
          <w:rFonts w:ascii="Arial" w:cs="Arial" w:eastAsia="Arial" w:hAnsi="Arial"/>
          <w:b/>
          <w:bCs/>
          <w:sz w:val="28"/>
          <w:szCs w:val="28"/>
        </w:rPr>
        <w:t xml:space="preserve">8. Confidence Intervals</w:t>
      </w:r>
    </w:p>
    <w:p>
      <w:pPr>
        <w:spacing w:after="120" w:before="0" w:line="276"/>
        <w:jc w:val="left"/>
      </w:pPr>
      <w:r>
        <w:rPr>
          <w:rFonts w:ascii="Arial" w:cs="Arial" w:eastAsia="Arial" w:hAnsi="Arial"/>
          <w:sz w:val="22"/>
          <w:szCs w:val="22"/>
        </w:rPr>
        <w:t xml:space="preserve">Every forecast comes with a range showing the best and worst cases. For example: "We forecast 1,200 lakh credit cards in March 2027, with a 90% confidence interval of 1,189 to 1,223 lakh." This means we are 90% confident the real number will fall within that range.</w:t>
      </w:r>
    </w:p>
    <w:p>
      <w:pPr>
        <w:pStyle w:val="Heading2"/>
        <w:spacing w:after="160" w:before="240" w:line="276"/>
        <w:jc w:val="left"/>
      </w:pPr>
      <w:r>
        <w:rPr>
          <w:rFonts w:ascii="Arial" w:cs="Arial" w:eastAsia="Arial" w:hAnsi="Arial"/>
          <w:b/>
          <w:bCs/>
          <w:sz w:val="24"/>
          <w:szCs w:val="24"/>
        </w:rPr>
        <w:t xml:space="preserve">8.1 Why Not Use Default Confidence Intervals?</w:t>
      </w:r>
    </w:p>
    <w:p>
      <w:pPr>
        <w:spacing w:after="120" w:before="0" w:line="276"/>
        <w:jc w:val="left"/>
      </w:pPr>
      <w:r>
        <w:rPr>
          <w:rFonts w:ascii="Arial" w:cs="Arial" w:eastAsia="Arial" w:hAnsi="Arial"/>
          <w:sz w:val="22"/>
          <w:szCs w:val="22"/>
        </w:rPr>
        <w:t xml:space="preserve">Most forecasting models compute confidence intervals by assuming the forecast errors follow a bell-curve (normal distribution). Our audit found that this assumption does not hold for our data — the errors are skewed and have heavy tails. Using the default CIs would give misleadingly narrow ranges.</w:t>
      </w:r>
    </w:p>
    <w:p>
      <w:pPr>
        <w:pStyle w:val="Heading2"/>
        <w:spacing w:after="160" w:before="240" w:line="276"/>
        <w:jc w:val="left"/>
      </w:pPr>
      <w:r>
        <w:rPr>
          <w:rFonts w:ascii="Arial" w:cs="Arial" w:eastAsia="Arial" w:hAnsi="Arial"/>
          <w:b/>
          <w:bCs/>
          <w:sz w:val="24"/>
          <w:szCs w:val="24"/>
        </w:rPr>
        <w:t xml:space="preserve">8.2 Conformal Prediction Intervals</w:t>
      </w:r>
    </w:p>
    <w:p>
      <w:pPr>
        <w:spacing w:after="120" w:before="0" w:line="276"/>
        <w:jc w:val="left"/>
      </w:pPr>
      <w:r>
        <w:rPr>
          <w:rFonts w:ascii="Arial" w:cs="Arial" w:eastAsia="Arial" w:hAnsi="Arial"/>
          <w:sz w:val="22"/>
          <w:szCs w:val="22"/>
        </w:rPr>
        <w:t xml:space="preserve">Instead, we use a technique called conformal prediction:</w:t>
      </w:r>
    </w:p>
    <w:p>
      <w:pPr>
        <w:pStyle w:val="ListParagraph"/>
        <w:numPr>
          <w:ilvl w:val="0"/>
          <w:numId w:val="2"/>
        </w:numPr>
        <w:spacing w:after="120" w:before="0" w:line="276"/>
        <w:jc w:val="left"/>
      </w:pPr>
      <w:r>
        <w:rPr>
          <w:rFonts w:ascii="Arial" w:cs="Arial" w:eastAsia="Arial" w:hAnsi="Arial"/>
          <w:sz w:val="22"/>
          <w:szCs w:val="22"/>
        </w:rPr>
        <w:t xml:space="preserve">We run the model many times on different historical windows (walk-forward cross-validation)</w:t>
      </w:r>
    </w:p>
    <w:p>
      <w:pPr>
        <w:pStyle w:val="ListParagraph"/>
        <w:numPr>
          <w:ilvl w:val="0"/>
          <w:numId w:val="2"/>
        </w:numPr>
        <w:spacing w:after="120" w:before="0" w:line="276"/>
        <w:jc w:val="left"/>
      </w:pPr>
      <w:r>
        <w:rPr>
          <w:rFonts w:ascii="Arial" w:cs="Arial" w:eastAsia="Arial" w:hAnsi="Arial"/>
          <w:sz w:val="22"/>
          <w:szCs w:val="22"/>
        </w:rPr>
        <w:t xml:space="preserve">Each time, we record how far off the prediction was from reality (the residual)</w:t>
      </w:r>
    </w:p>
    <w:p>
      <w:pPr>
        <w:pStyle w:val="ListParagraph"/>
        <w:numPr>
          <w:ilvl w:val="0"/>
          <w:numId w:val="2"/>
        </w:numPr>
        <w:spacing w:after="120" w:before="0" w:line="276"/>
        <w:jc w:val="left"/>
      </w:pPr>
      <w:r>
        <w:rPr>
          <w:rFonts w:ascii="Arial" w:cs="Arial" w:eastAsia="Arial" w:hAnsi="Arial"/>
          <w:sz w:val="22"/>
          <w:szCs w:val="22"/>
        </w:rPr>
        <w:t xml:space="preserve">We collect all these errors and take the 5th percentile (worst undershoot) and 95th percentile (worst overshoot)</w:t>
      </w:r>
    </w:p>
    <w:p>
      <w:pPr>
        <w:pStyle w:val="ListParagraph"/>
        <w:numPr>
          <w:ilvl w:val="0"/>
          <w:numId w:val="2"/>
        </w:numPr>
        <w:spacing w:after="120" w:before="0" w:line="276"/>
        <w:jc w:val="left"/>
      </w:pPr>
      <w:r>
        <w:rPr>
          <w:rFonts w:ascii="Arial" w:cs="Arial" w:eastAsia="Arial" w:hAnsi="Arial"/>
          <w:sz w:val="22"/>
          <w:szCs w:val="22"/>
        </w:rPr>
        <w:t xml:space="preserve">These actual historical errors become the confidence band width</w:t>
      </w:r>
    </w:p>
    <w:p>
      <w:pPr>
        <w:spacing w:after="80" w:before="0" w:line="276"/>
        <w:jc w:val="left"/>
      </w:pPr>
      <w:r>
        <w:rPr>
          <w:rFonts w:ascii="Arial" w:cs="Arial" w:eastAsia="Arial" w:hAnsi="Arial"/>
          <w:sz w:val="22"/>
          <w:szCs w:val="22"/>
        </w:rPr>
        <w:t xml:space="preserve"/>
      </w:r>
    </w:p>
    <w:p>
      <w:pPr>
        <w:spacing w:after="120" w:before="0" w:line="276"/>
        <w:jc w:val="left"/>
      </w:pPr>
      <w:r>
        <w:rPr>
          <w:rFonts w:ascii="Arial" w:cs="Arial" w:eastAsia="Arial" w:hAnsi="Arial"/>
          <w:sz w:val="22"/>
          <w:szCs w:val="22"/>
        </w:rPr>
        <w:t xml:space="preserve">This approach is distribution-free — we make no assumption about the shape of the errors. The intervals are based on how wrong the model actually was in the past, not how wrong a theoretical distribution says it should be.</w:t>
      </w:r>
    </w:p>
    <w:p>
      <w:r>
        <w:br w:type="page"/>
      </w:r>
    </w:p>
    <w:p>
      <w:pPr>
        <w:pStyle w:val="Heading1"/>
        <w:spacing w:after="200" w:before="300" w:line="276"/>
        <w:jc w:val="left"/>
      </w:pPr>
      <w:r>
        <w:rPr>
          <w:rFonts w:ascii="Arial" w:cs="Arial" w:eastAsia="Arial" w:hAnsi="Arial"/>
          <w:b/>
          <w:bCs/>
          <w:sz w:val="28"/>
          <w:szCs w:val="28"/>
        </w:rPr>
        <w:t xml:space="preserve">9. Bank-Level Forecasts</w:t>
      </w:r>
    </w:p>
    <w:p>
      <w:pPr>
        <w:spacing w:after="120" w:before="0" w:line="276"/>
        <w:jc w:val="left"/>
      </w:pPr>
      <w:r>
        <w:rPr>
          <w:rFonts w:ascii="Arial" w:cs="Arial" w:eastAsia="Arial" w:hAnsi="Arial"/>
          <w:sz w:val="22"/>
          <w:szCs w:val="22"/>
        </w:rPr>
        <w:t xml:space="preserve">In addition to India-total forecasts, MIP forecasts credit and debit card outstanding for approximately 80 individual banks.</w:t>
      </w:r>
    </w:p>
    <w:p>
      <w:pPr>
        <w:pStyle w:val="Heading2"/>
        <w:spacing w:after="160" w:before="240" w:line="276"/>
        <w:jc w:val="left"/>
      </w:pPr>
      <w:r>
        <w:rPr>
          <w:rFonts w:ascii="Arial" w:cs="Arial" w:eastAsia="Arial" w:hAnsi="Arial"/>
          <w:b/>
          <w:bCs/>
          <w:sz w:val="24"/>
          <w:szCs w:val="24"/>
        </w:rPr>
        <w:t xml:space="preserve">9.1 Model Selection Per Bank</w:t>
      </w:r>
    </w:p>
    <w:p>
      <w:pPr>
        <w:pStyle w:val="ListParagraph"/>
        <w:numPr>
          <w:ilvl w:val="0"/>
          <w:numId w:val="2"/>
        </w:numPr>
        <w:spacing w:after="120" w:before="0" w:line="276"/>
        <w:jc w:val="left"/>
      </w:pPr>
      <w:r>
        <w:rPr>
          <w:rFonts w:ascii="Arial" w:cs="Arial" w:eastAsia="Arial" w:hAnsi="Arial"/>
          <w:sz w:val="22"/>
          <w:szCs w:val="22"/>
        </w:rPr>
        <w:t xml:space="preserve">Large/complex banks (HDFC, SBI, ICICI, Axis, etc.) get Prophet models with logistic growth caps to prevent unrealistic extrapolation</w:t>
      </w:r>
    </w:p>
    <w:p>
      <w:pPr>
        <w:pStyle w:val="ListParagraph"/>
        <w:numPr>
          <w:ilvl w:val="0"/>
          <w:numId w:val="2"/>
        </w:numPr>
        <w:spacing w:after="120" w:before="0" w:line="276"/>
        <w:jc w:val="left"/>
      </w:pPr>
      <w:r>
        <w:rPr>
          <w:rFonts w:ascii="Arial" w:cs="Arial" w:eastAsia="Arial" w:hAnsi="Arial"/>
          <w:sz w:val="22"/>
          <w:szCs w:val="22"/>
        </w:rPr>
        <w:t xml:space="preserve">Small/stable banks get simpler Holt-Winters ETS models (they do not have enough data for Prophet)</w:t>
      </w:r>
    </w:p>
    <w:p>
      <w:pPr>
        <w:pStyle w:val="ListParagraph"/>
        <w:numPr>
          <w:ilvl w:val="0"/>
          <w:numId w:val="2"/>
        </w:numPr>
        <w:spacing w:after="120" w:before="0" w:line="276"/>
        <w:jc w:val="left"/>
      </w:pPr>
      <w:r>
        <w:rPr>
          <w:rFonts w:ascii="Arial" w:cs="Arial" w:eastAsia="Arial" w:hAnsi="Arial"/>
          <w:sz w:val="22"/>
          <w:szCs w:val="22"/>
        </w:rPr>
        <w:t xml:space="preserve">Merged banks (e.g., Syndicate Bank merged into Canara Bank) train only on post-merger data</w:t>
      </w:r>
    </w:p>
    <w:p>
      <w:pPr>
        <w:pStyle w:val="Heading2"/>
        <w:spacing w:after="160" w:before="240" w:line="276"/>
        <w:jc w:val="left"/>
      </w:pPr>
      <w:r>
        <w:rPr>
          <w:rFonts w:ascii="Arial" w:cs="Arial" w:eastAsia="Arial" w:hAnsi="Arial"/>
          <w:b/>
          <w:bCs/>
          <w:sz w:val="24"/>
          <w:szCs w:val="24"/>
        </w:rPr>
        <w:t xml:space="preserve">9.2 Reconciliation</w:t>
      </w:r>
    </w:p>
    <w:p>
      <w:pPr>
        <w:spacing w:after="120" w:before="0" w:line="276"/>
        <w:jc w:val="left"/>
      </w:pPr>
      <w:r>
        <w:rPr>
          <w:rFonts w:ascii="Arial" w:cs="Arial" w:eastAsia="Arial" w:hAnsi="Arial"/>
          <w:sz w:val="22"/>
          <w:szCs w:val="22"/>
        </w:rPr>
        <w:t xml:space="preserve">The sum of all bank forecasts should approximately equal the India-total forecast from the aggregate model. We compute a "residual" bucket: the difference between the PSI total and the sum of the top banks. This residual captures all the small banks we do not model individually.</w:t>
      </w:r>
    </w:p>
    <w:p>
      <w:pPr>
        <w:spacing w:after="120" w:before="0" w:line="276"/>
        <w:jc w:val="left"/>
      </w:pPr>
      <w:r>
        <w:rPr>
          <w:rFonts w:ascii="Arial" w:cs="Arial" w:eastAsia="Arial" w:hAnsi="Arial"/>
          <w:sz w:val="22"/>
          <w:szCs w:val="22"/>
        </w:rPr>
        <w:t xml:space="preserve">Median accuracy: CC banks approximately 4-6% MAPE, DC banks approximately 6-9% MAPE.</w:t>
      </w:r>
    </w:p>
    <w:p>
      <w:r>
        <w:br w:type="page"/>
      </w:r>
    </w:p>
    <w:p>
      <w:pPr>
        <w:pStyle w:val="Heading1"/>
        <w:spacing w:after="200" w:before="300" w:line="276"/>
        <w:jc w:val="left"/>
      </w:pPr>
      <w:r>
        <w:rPr>
          <w:rFonts w:ascii="Arial" w:cs="Arial" w:eastAsia="Arial" w:hAnsi="Arial"/>
          <w:b/>
          <w:bCs/>
          <w:sz w:val="28"/>
          <w:szCs w:val="28"/>
        </w:rPr>
        <w:t xml:space="preserve">10. Cross-Validation</w:t>
      </w:r>
    </w:p>
    <w:p>
      <w:pPr>
        <w:spacing w:after="120" w:before="0" w:line="276"/>
        <w:jc w:val="left"/>
      </w:pPr>
      <w:r>
        <w:rPr>
          <w:rFonts w:ascii="Arial" w:cs="Arial" w:eastAsia="Arial" w:hAnsi="Arial"/>
          <w:sz w:val="22"/>
          <w:szCs w:val="22"/>
        </w:rPr>
        <w:t xml:space="preserve">Cross-validation is how we measure whether the model actually works on future data it has never seen.</w:t>
      </w:r>
    </w:p>
    <w:p>
      <w:pPr>
        <w:pStyle w:val="Heading2"/>
        <w:spacing w:after="160" w:before="240" w:line="276"/>
        <w:jc w:val="left"/>
      </w:pPr>
      <w:r>
        <w:rPr>
          <w:rFonts w:ascii="Arial" w:cs="Arial" w:eastAsia="Arial" w:hAnsi="Arial"/>
          <w:b/>
          <w:bCs/>
          <w:sz w:val="24"/>
          <w:szCs w:val="24"/>
        </w:rPr>
        <w:t xml:space="preserve">10.1 Walk-Forward Design</w:t>
      </w:r>
    </w:p>
    <w:p>
      <w:pPr>
        <w:pStyle w:val="ListParagraph"/>
        <w:numPr>
          <w:ilvl w:val="0"/>
          <w:numId w:val="2"/>
        </w:numPr>
        <w:spacing w:after="120" w:before="0" w:line="276"/>
        <w:jc w:val="left"/>
      </w:pPr>
      <w:r>
        <w:rPr>
          <w:rFonts w:ascii="Arial" w:cs="Arial" w:eastAsia="Arial" w:hAnsi="Arial"/>
          <w:sz w:val="22"/>
          <w:szCs w:val="22"/>
        </w:rPr>
        <w:t xml:space="preserve">Start with 48 months of history (the initial window)</w:t>
      </w:r>
    </w:p>
    <w:p>
      <w:pPr>
        <w:pStyle w:val="ListParagraph"/>
        <w:numPr>
          <w:ilvl w:val="0"/>
          <w:numId w:val="2"/>
        </w:numPr>
        <w:spacing w:after="120" w:before="0" w:line="276"/>
        <w:jc w:val="left"/>
      </w:pPr>
      <w:r>
        <w:rPr>
          <w:rFonts w:ascii="Arial" w:cs="Arial" w:eastAsia="Arial" w:hAnsi="Arial"/>
          <w:sz w:val="22"/>
          <w:szCs w:val="22"/>
        </w:rPr>
        <w:t xml:space="preserve">Train the model on those 48 months</w:t>
      </w:r>
    </w:p>
    <w:p>
      <w:pPr>
        <w:pStyle w:val="ListParagraph"/>
        <w:numPr>
          <w:ilvl w:val="0"/>
          <w:numId w:val="2"/>
        </w:numPr>
        <w:spacing w:after="120" w:before="0" w:line="276"/>
        <w:jc w:val="left"/>
      </w:pPr>
      <w:r>
        <w:rPr>
          <w:rFonts w:ascii="Arial" w:cs="Arial" w:eastAsia="Arial" w:hAnsi="Arial"/>
          <w:sz w:val="22"/>
          <w:szCs w:val="22"/>
        </w:rPr>
        <w:t xml:space="preserve">Forecast the next 6 months and compare to what actually happened</w:t>
      </w:r>
    </w:p>
    <w:p>
      <w:pPr>
        <w:pStyle w:val="ListParagraph"/>
        <w:numPr>
          <w:ilvl w:val="0"/>
          <w:numId w:val="2"/>
        </w:numPr>
        <w:spacing w:after="120" w:before="0" w:line="276"/>
        <w:jc w:val="left"/>
      </w:pPr>
      <w:r>
        <w:rPr>
          <w:rFonts w:ascii="Arial" w:cs="Arial" w:eastAsia="Arial" w:hAnsi="Arial"/>
          <w:sz w:val="22"/>
          <w:szCs w:val="22"/>
        </w:rPr>
        <w:t xml:space="preserve">Slide the window forward by 6 months and repeat</w:t>
      </w:r>
    </w:p>
    <w:p>
      <w:pPr>
        <w:pStyle w:val="ListParagraph"/>
        <w:numPr>
          <w:ilvl w:val="0"/>
          <w:numId w:val="2"/>
        </w:numPr>
        <w:spacing w:after="120" w:before="0" w:line="276"/>
        <w:jc w:val="left"/>
      </w:pPr>
      <w:r>
        <w:rPr>
          <w:rFonts w:ascii="Arial" w:cs="Arial" w:eastAsia="Arial" w:hAnsi="Arial"/>
          <w:sz w:val="22"/>
          <w:szCs w:val="22"/>
        </w:rPr>
        <w:t xml:space="preserve">Do this across the entire historical period</w:t>
      </w:r>
    </w:p>
    <w:p>
      <w:pPr>
        <w:spacing w:after="80" w:before="0" w:line="276"/>
        <w:jc w:val="left"/>
      </w:pPr>
      <w:r>
        <w:rPr>
          <w:rFonts w:ascii="Arial" w:cs="Arial" w:eastAsia="Arial" w:hAnsi="Arial"/>
          <w:sz w:val="22"/>
          <w:szCs w:val="22"/>
        </w:rPr>
        <w:t xml:space="preserve"/>
      </w:r>
    </w:p>
    <w:p>
      <w:pPr>
        <w:spacing w:after="120" w:before="0" w:line="276"/>
        <w:jc w:val="left"/>
      </w:pPr>
      <w:r>
        <w:rPr>
          <w:rFonts w:ascii="Arial" w:cs="Arial" w:eastAsia="Arial" w:hAnsi="Arial"/>
          <w:sz w:val="22"/>
          <w:szCs w:val="22"/>
        </w:rPr>
        <w:t xml:space="preserve">This gives us 10-15 test windows. The average error across all windows is the MAPE we report.</w:t>
      </w:r>
    </w:p>
    <w:p>
      <w:pPr>
        <w:pStyle w:val="Heading2"/>
        <w:spacing w:after="160" w:before="240" w:line="276"/>
        <w:jc w:val="left"/>
      </w:pPr>
      <w:r>
        <w:rPr>
          <w:rFonts w:ascii="Arial" w:cs="Arial" w:eastAsia="Arial" w:hAnsi="Arial"/>
          <w:b/>
          <w:bCs/>
          <w:sz w:val="24"/>
          <w:szCs w:val="24"/>
        </w:rPr>
        <w:t xml:space="preserve">10.2 Accuracy Results</w:t>
      </w:r>
    </w:p>
    <w:p>
      <w:pPr>
        <w:spacing w:after="80" w:before="0" w:line="276"/>
        <w:jc w:val="left"/>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200"/>
        <w:gridCol w:w="1200"/>
        <w:gridCol w:w="4160"/>
      </w:tblGrid>
      <w:tr>
        <w:tc>
          <w:tcPr>
            <w:tcW w:type="dxa" w:w="1800"/>
            <w:tcBorders>
              <w:top w:val="single" w:color="999999" w:sz="1"/>
              <w:left w:val="single" w:color="999999" w:sz="1"/>
              <w:bottom w:val="single" w:color="999999" w:sz="1"/>
              <w:right w:val="single" w:color="999999" w:sz="1"/>
            </w:tcBorders>
            <w:shd w:fill="F2F2F2" w:val="clear"/>
            <w:tcMar>
              <w:top w:type="dxa" w:w="60"/>
              <w:left w:type="dxa" w:w="100"/>
              <w:bottom w:type="dxa" w:w="60"/>
              <w:right w:type="dxa" w:w="100"/>
            </w:tcMar>
          </w:tcPr>
          <w:p>
            <w:pPr>
              <w:jc w:val="left"/>
            </w:pPr>
            <w:r>
              <w:rPr>
                <w:rFonts w:ascii="Arial" w:cs="Arial" w:eastAsia="Arial" w:hAnsi="Arial"/>
                <w:b/>
                <w:bCs/>
                <w:sz w:val="20"/>
                <w:szCs w:val="20"/>
              </w:rPr>
              <w:t xml:space="preserve">Model</w:t>
            </w:r>
          </w:p>
        </w:tc>
        <w:tc>
          <w:tcPr>
            <w:tcW w:type="dxa" w:w="2200"/>
            <w:tcBorders>
              <w:top w:val="single" w:color="999999" w:sz="1"/>
              <w:left w:val="single" w:color="999999" w:sz="1"/>
              <w:bottom w:val="single" w:color="999999" w:sz="1"/>
              <w:right w:val="single" w:color="999999" w:sz="1"/>
            </w:tcBorders>
            <w:shd w:fill="F2F2F2" w:val="clear"/>
            <w:tcMar>
              <w:top w:type="dxa" w:w="60"/>
              <w:left w:type="dxa" w:w="100"/>
              <w:bottom w:type="dxa" w:w="60"/>
              <w:right w:type="dxa" w:w="100"/>
            </w:tcMar>
          </w:tcPr>
          <w:p>
            <w:pPr>
              <w:jc w:val="left"/>
            </w:pPr>
            <w:r>
              <w:rPr>
                <w:rFonts w:ascii="Arial" w:cs="Arial" w:eastAsia="Arial" w:hAnsi="Arial"/>
                <w:b/>
                <w:bCs/>
                <w:sz w:val="20"/>
                <w:szCs w:val="20"/>
              </w:rPr>
              <w:t xml:space="preserve">Metric</w:t>
            </w:r>
          </w:p>
        </w:tc>
        <w:tc>
          <w:tcPr>
            <w:tcW w:type="dxa" w:w="1200"/>
            <w:tcBorders>
              <w:top w:val="single" w:color="999999" w:sz="1"/>
              <w:left w:val="single" w:color="999999" w:sz="1"/>
              <w:bottom w:val="single" w:color="999999" w:sz="1"/>
              <w:right w:val="single" w:color="999999" w:sz="1"/>
            </w:tcBorders>
            <w:shd w:fill="F2F2F2" w:val="clear"/>
            <w:tcMar>
              <w:top w:type="dxa" w:w="60"/>
              <w:left w:type="dxa" w:w="100"/>
              <w:bottom w:type="dxa" w:w="60"/>
              <w:right w:type="dxa" w:w="100"/>
            </w:tcMar>
          </w:tcPr>
          <w:p>
            <w:pPr>
              <w:jc w:val="left"/>
            </w:pPr>
            <w:r>
              <w:rPr>
                <w:rFonts w:ascii="Arial" w:cs="Arial" w:eastAsia="Arial" w:hAnsi="Arial"/>
                <w:b/>
                <w:bCs/>
                <w:sz w:val="20"/>
                <w:szCs w:val="20"/>
              </w:rPr>
              <w:t xml:space="preserve">CV MAPE</w:t>
            </w:r>
          </w:p>
        </w:tc>
        <w:tc>
          <w:tcPr>
            <w:tcW w:type="dxa" w:w="4160"/>
            <w:tcBorders>
              <w:top w:val="single" w:color="999999" w:sz="1"/>
              <w:left w:val="single" w:color="999999" w:sz="1"/>
              <w:bottom w:val="single" w:color="999999" w:sz="1"/>
              <w:right w:val="single" w:color="999999" w:sz="1"/>
            </w:tcBorders>
            <w:shd w:fill="F2F2F2" w:val="clear"/>
            <w:tcMar>
              <w:top w:type="dxa" w:w="60"/>
              <w:left w:type="dxa" w:w="100"/>
              <w:bottom w:type="dxa" w:w="60"/>
              <w:right w:type="dxa" w:w="100"/>
            </w:tcMar>
          </w:tcPr>
          <w:p>
            <w:pPr>
              <w:jc w:val="left"/>
            </w:pPr>
            <w:r>
              <w:rPr>
                <w:rFonts w:ascii="Arial" w:cs="Arial" w:eastAsia="Arial" w:hAnsi="Arial"/>
                <w:b/>
                <w:bCs/>
                <w:sz w:val="20"/>
                <w:szCs w:val="20"/>
              </w:rPr>
              <w:t xml:space="preserve">Interpretation</w:t>
            </w:r>
          </w:p>
        </w:tc>
      </w:tr>
      <w:tr>
        <w:tc>
          <w:tcPr>
            <w:tcW w:type="dxa" w:w="18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Arial" w:cs="Arial" w:eastAsia="Arial" w:hAnsi="Arial"/>
                <w:sz w:val="20"/>
                <w:szCs w:val="20"/>
              </w:rPr>
              <w:t xml:space="preserve">Aggregate CC</w:t>
            </w:r>
          </w:p>
        </w:tc>
        <w:tc>
          <w:tcPr>
            <w:tcW w:type="dxa" w:w="2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Arial" w:cs="Arial" w:eastAsia="Arial" w:hAnsi="Arial"/>
                <w:sz w:val="20"/>
                <w:szCs w:val="20"/>
              </w:rPr>
              <w:t xml:space="preserve">CC Outstanding</w:t>
            </w:r>
          </w:p>
        </w:tc>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Arial" w:cs="Arial" w:eastAsia="Arial" w:hAnsi="Arial"/>
                <w:sz w:val="20"/>
                <w:szCs w:val="20"/>
              </w:rPr>
              <w:t xml:space="preserve">~3.5%</w:t>
            </w:r>
          </w:p>
        </w:tc>
        <w:tc>
          <w:tcPr>
            <w:tcW w:type="dxa" w:w="416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Arial" w:cs="Arial" w:eastAsia="Arial" w:hAnsi="Arial"/>
                <w:sz w:val="20"/>
                <w:szCs w:val="20"/>
              </w:rPr>
              <w:t xml:space="preserve">Off by ~38 lakh cards on avg (of 1,100 lakh)</w:t>
            </w:r>
          </w:p>
        </w:tc>
      </w:tr>
      <w:tr>
        <w:tc>
          <w:tcPr>
            <w:tcW w:type="dxa" w:w="18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Arial" w:cs="Arial" w:eastAsia="Arial" w:hAnsi="Arial"/>
                <w:sz w:val="20"/>
                <w:szCs w:val="20"/>
              </w:rPr>
              <w:t xml:space="preserve">Aggregate DC</w:t>
            </w:r>
          </w:p>
        </w:tc>
        <w:tc>
          <w:tcPr>
            <w:tcW w:type="dxa" w:w="2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Arial" w:cs="Arial" w:eastAsia="Arial" w:hAnsi="Arial"/>
                <w:sz w:val="20"/>
                <w:szCs w:val="20"/>
              </w:rPr>
              <w:t xml:space="preserve">DC Outstanding</w:t>
            </w:r>
          </w:p>
        </w:tc>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Arial" w:cs="Arial" w:eastAsia="Arial" w:hAnsi="Arial"/>
                <w:sz w:val="20"/>
                <w:szCs w:val="20"/>
              </w:rPr>
              <w:t xml:space="preserve">~5.7%</w:t>
            </w:r>
          </w:p>
        </w:tc>
        <w:tc>
          <w:tcPr>
            <w:tcW w:type="dxa" w:w="416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Arial" w:cs="Arial" w:eastAsia="Arial" w:hAnsi="Arial"/>
                <w:sz w:val="20"/>
                <w:szCs w:val="20"/>
              </w:rPr>
              <w:t xml:space="preserve">Off by ~590 lakh cards on avg (of 10,400 lakh)</w:t>
            </w:r>
          </w:p>
        </w:tc>
      </w:tr>
      <w:tr>
        <w:tc>
          <w:tcPr>
            <w:tcW w:type="dxa" w:w="18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Arial" w:cs="Arial" w:eastAsia="Arial" w:hAnsi="Arial"/>
                <w:sz w:val="20"/>
                <w:szCs w:val="20"/>
              </w:rPr>
              <w:t xml:space="preserve">CC Txn Volume</w:t>
            </w:r>
          </w:p>
        </w:tc>
        <w:tc>
          <w:tcPr>
            <w:tcW w:type="dxa" w:w="2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Arial" w:cs="Arial" w:eastAsia="Arial" w:hAnsi="Arial"/>
                <w:sz w:val="20"/>
                <w:szCs w:val="20"/>
              </w:rPr>
              <w:t xml:space="preserve">Monthly CC Transactions</w:t>
            </w:r>
          </w:p>
        </w:tc>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Arial" w:cs="Arial" w:eastAsia="Arial" w:hAnsi="Arial"/>
                <w:sz w:val="20"/>
                <w:szCs w:val="20"/>
              </w:rPr>
              <w:t xml:space="preserve">~13.6%</w:t>
            </w:r>
          </w:p>
        </w:tc>
        <w:tc>
          <w:tcPr>
            <w:tcW w:type="dxa" w:w="416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Arial" w:cs="Arial" w:eastAsia="Arial" w:hAnsi="Arial"/>
                <w:sz w:val="20"/>
                <w:szCs w:val="20"/>
              </w:rPr>
              <w:t xml:space="preserve">Higher error due to COVID volatility</w:t>
            </w:r>
          </w:p>
        </w:tc>
      </w:tr>
      <w:tr>
        <w:tc>
          <w:tcPr>
            <w:tcW w:type="dxa" w:w="18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Arial" w:cs="Arial" w:eastAsia="Arial" w:hAnsi="Arial"/>
                <w:sz w:val="20"/>
                <w:szCs w:val="20"/>
              </w:rPr>
              <w:t xml:space="preserve">DC Txn Volume</w:t>
            </w:r>
          </w:p>
        </w:tc>
        <w:tc>
          <w:tcPr>
            <w:tcW w:type="dxa" w:w="2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Arial" w:cs="Arial" w:eastAsia="Arial" w:hAnsi="Arial"/>
                <w:sz w:val="20"/>
                <w:szCs w:val="20"/>
              </w:rPr>
              <w:t xml:space="preserve">Monthly DC Transactions</w:t>
            </w:r>
          </w:p>
        </w:tc>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Arial" w:cs="Arial" w:eastAsia="Arial" w:hAnsi="Arial"/>
                <w:sz w:val="20"/>
                <w:szCs w:val="20"/>
              </w:rPr>
              <w:t xml:space="preserve">~7%</w:t>
            </w:r>
          </w:p>
        </w:tc>
        <w:tc>
          <w:tcPr>
            <w:tcW w:type="dxa" w:w="416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Arial" w:cs="Arial" w:eastAsia="Arial" w:hAnsi="Arial"/>
                <w:sz w:val="20"/>
                <w:szCs w:val="20"/>
              </w:rPr>
              <w:t xml:space="preserve">Trained on post-2022 decline only</w:t>
            </w:r>
          </w:p>
        </w:tc>
      </w:tr>
      <w:tr>
        <w:tc>
          <w:tcPr>
            <w:tcW w:type="dxa" w:w="18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Arial" w:cs="Arial" w:eastAsia="Arial" w:hAnsi="Arial"/>
                <w:sz w:val="20"/>
                <w:szCs w:val="20"/>
              </w:rPr>
              <w:t xml:space="preserve">UPI Volume</w:t>
            </w:r>
          </w:p>
        </w:tc>
        <w:tc>
          <w:tcPr>
            <w:tcW w:type="dxa" w:w="2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Arial" w:cs="Arial" w:eastAsia="Arial" w:hAnsi="Arial"/>
                <w:sz w:val="20"/>
                <w:szCs w:val="20"/>
              </w:rPr>
              <w:t xml:space="preserve">Monthly UPI Transactions</w:t>
            </w:r>
          </w:p>
        </w:tc>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Arial" w:cs="Arial" w:eastAsia="Arial" w:hAnsi="Arial"/>
                <w:sz w:val="20"/>
                <w:szCs w:val="20"/>
              </w:rPr>
              <w:t xml:space="preserve">~12.3%</w:t>
            </w:r>
          </w:p>
        </w:tc>
        <w:tc>
          <w:tcPr>
            <w:tcW w:type="dxa" w:w="416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Arial" w:cs="Arial" w:eastAsia="Arial" w:hAnsi="Arial"/>
                <w:sz w:val="20"/>
                <w:szCs w:val="20"/>
              </w:rPr>
              <w:t xml:space="preserve">Hypergrowth series, harder to predict</w:t>
            </w:r>
          </w:p>
        </w:tc>
      </w:tr>
    </w:tbl>
    <w:p>
      <w:r>
        <w:br w:type="page"/>
      </w:r>
    </w:p>
    <w:p>
      <w:pPr>
        <w:pStyle w:val="Heading1"/>
        <w:spacing w:after="200" w:before="300" w:line="276"/>
        <w:jc w:val="left"/>
      </w:pPr>
      <w:r>
        <w:rPr>
          <w:rFonts w:ascii="Arial" w:cs="Arial" w:eastAsia="Arial" w:hAnsi="Arial"/>
          <w:b/>
          <w:bCs/>
          <w:sz w:val="28"/>
          <w:szCs w:val="28"/>
        </w:rPr>
        <w:t xml:space="preserve">11. Key Design Decisions</w:t>
      </w:r>
    </w:p>
    <w:p>
      <w:pPr>
        <w:pStyle w:val="Heading2"/>
        <w:spacing w:after="160" w:before="240" w:line="276"/>
        <w:jc w:val="left"/>
      </w:pPr>
      <w:r>
        <w:rPr>
          <w:rFonts w:ascii="Arial" w:cs="Arial" w:eastAsia="Arial" w:hAnsi="Arial"/>
          <w:b/>
          <w:bCs/>
          <w:sz w:val="24"/>
          <w:szCs w:val="24"/>
        </w:rPr>
        <w:t xml:space="preserve">11.1 CC Training Starts January 2013</w:t>
      </w:r>
    </w:p>
    <w:p>
      <w:pPr>
        <w:spacing w:after="120" w:before="0" w:line="276"/>
        <w:jc w:val="left"/>
      </w:pPr>
      <w:r>
        <w:rPr>
          <w:rFonts w:ascii="Arial" w:cs="Arial" w:eastAsia="Arial" w:hAnsi="Arial"/>
          <w:sz w:val="22"/>
          <w:szCs w:val="22"/>
        </w:rPr>
        <w:t xml:space="preserve">Before 2013, India's credit card market was recovering from the 2008 Global Financial Crisis. Including that data would confuse the model — it would try to average a declining market (2008-2012) with a growing market (2013+). Since our goal is to forecast forward in a growth regime, we only train on the growth period.</w:t>
      </w:r>
    </w:p>
    <w:p>
      <w:pPr>
        <w:pStyle w:val="Heading2"/>
        <w:spacing w:after="160" w:before="240" w:line="276"/>
        <w:jc w:val="left"/>
      </w:pPr>
      <w:r>
        <w:rPr>
          <w:rFonts w:ascii="Arial" w:cs="Arial" w:eastAsia="Arial" w:hAnsi="Arial"/>
          <w:b/>
          <w:bCs/>
          <w:sz w:val="24"/>
          <w:szCs w:val="24"/>
        </w:rPr>
        <w:t xml:space="preserve">11.2 DC Volume Training Starts January 2022</w:t>
      </w:r>
    </w:p>
    <w:p>
      <w:pPr>
        <w:spacing w:after="120" w:before="0" w:line="276"/>
        <w:jc w:val="left"/>
      </w:pPr>
      <w:r>
        <w:rPr>
          <w:rFonts w:ascii="Arial" w:cs="Arial" w:eastAsia="Arial" w:hAnsi="Arial"/>
          <w:sz w:val="22"/>
          <w:szCs w:val="22"/>
        </w:rPr>
        <w:t xml:space="preserve">Debit card transactions were growing until 2019, then started declining as UPI replaced them. Mixing a growth regime with a decline regime gives the model contradictory signals — it produces absurdly wide confidence intervals (one test window gave a CI range of 14 to 846 lakh, a 35x range, completely useless). Training only on the post-2022 decline regime gives dramatically tighter, more useful forecasts.</w:t>
      </w:r>
    </w:p>
    <w:p>
      <w:pPr>
        <w:pStyle w:val="Heading2"/>
        <w:spacing w:after="160" w:before="240" w:line="276"/>
        <w:jc w:val="left"/>
      </w:pPr>
      <w:r>
        <w:rPr>
          <w:rFonts w:ascii="Arial" w:cs="Arial" w:eastAsia="Arial" w:hAnsi="Arial"/>
          <w:b/>
          <w:bCs/>
          <w:sz w:val="24"/>
          <w:szCs w:val="24"/>
        </w:rPr>
        <w:t xml:space="preserve">11.3 Ensemble Over Single Model</w:t>
      </w:r>
    </w:p>
    <w:p>
      <w:pPr>
        <w:spacing w:after="120" w:before="0" w:line="276"/>
        <w:jc w:val="left"/>
      </w:pPr>
      <w:r>
        <w:rPr>
          <w:rFonts w:ascii="Arial" w:cs="Arial" w:eastAsia="Arial" w:hAnsi="Arial"/>
          <w:sz w:val="22"/>
          <w:szCs w:val="22"/>
        </w:rPr>
        <w:t xml:space="preserve">No single model consistently wins on all series. ARIMA dominates for debit cards, but Prophet is stronger for credit cards where regressors and event dummies matter. The weighted ensemble reduces variance — when one model is wrong, the others compensate.</w:t>
      </w:r>
    </w:p>
    <w:p>
      <w:pPr>
        <w:pStyle w:val="Heading2"/>
        <w:spacing w:after="160" w:before="240" w:line="276"/>
        <w:jc w:val="left"/>
      </w:pPr>
      <w:r>
        <w:rPr>
          <w:rFonts w:ascii="Arial" w:cs="Arial" w:eastAsia="Arial" w:hAnsi="Arial"/>
          <w:b/>
          <w:bCs/>
          <w:sz w:val="24"/>
          <w:szCs w:val="24"/>
        </w:rPr>
        <w:t xml:space="preserve">11.4 Conformal CIs Over Parametric</w:t>
      </w:r>
    </w:p>
    <w:p>
      <w:pPr>
        <w:spacing w:after="120" w:before="0" w:line="276"/>
        <w:jc w:val="left"/>
      </w:pPr>
      <w:r>
        <w:rPr>
          <w:rFonts w:ascii="Arial" w:cs="Arial" w:eastAsia="Arial" w:hAnsi="Arial"/>
          <w:sz w:val="22"/>
          <w:szCs w:val="22"/>
        </w:rPr>
        <w:t xml:space="preserve">Residuals from our model are not normally distributed (the audit confirmed this). Parametric confidence intervals would be overconfident. Conformal intervals use actual historical errors — no distributional assumptions required.</w:t>
      </w:r>
    </w:p>
    <w:p>
      <w:pPr>
        <w:pStyle w:val="Heading2"/>
        <w:spacing w:after="160" w:before="240" w:line="276"/>
        <w:jc w:val="left"/>
      </w:pPr>
      <w:r>
        <w:rPr>
          <w:rFonts w:ascii="Arial" w:cs="Arial" w:eastAsia="Arial" w:hAnsi="Arial"/>
          <w:b/>
          <w:bCs/>
          <w:sz w:val="24"/>
          <w:szCs w:val="24"/>
        </w:rPr>
        <w:t xml:space="preserve">11.5 Keeping the DC Volume Regressor</w:t>
      </w:r>
    </w:p>
    <w:p>
      <w:pPr>
        <w:spacing w:after="120" w:before="0" w:line="276"/>
        <w:jc w:val="left"/>
      </w:pPr>
      <w:r>
        <w:rPr>
          <w:rFonts w:ascii="Arial" w:cs="Arial" w:eastAsia="Arial" w:hAnsi="Arial"/>
          <w:sz w:val="22"/>
          <w:szCs w:val="22"/>
        </w:rPr>
        <w:t xml:space="preserve">When we remove debit card transaction volume as a regressor, the MAPE actually improves by 1.3 percentage points. So why keep it? Because it is the core business driver of debit card issuance. The lag fix (0 to 4 months) recovered most of the accuracy penalty. A model that does not include transaction volume as a driver of card outstanding is not credible, even if the statistical fit is marginally better without it.</w:t>
      </w:r>
    </w:p>
    <w:p>
      <w:r>
        <w:br w:type="page"/>
      </w:r>
    </w:p>
    <w:p>
      <w:pPr>
        <w:pStyle w:val="Heading1"/>
        <w:spacing w:after="200" w:before="300" w:line="276"/>
        <w:jc w:val="left"/>
      </w:pPr>
      <w:r>
        <w:rPr>
          <w:rFonts w:ascii="Arial" w:cs="Arial" w:eastAsia="Arial" w:hAnsi="Arial"/>
          <w:b/>
          <w:bCs/>
          <w:sz w:val="28"/>
          <w:szCs w:val="28"/>
        </w:rPr>
        <w:t xml:space="preserve">12. Web Dashboard</w:t>
      </w:r>
    </w:p>
    <w:p>
      <w:pPr>
        <w:spacing w:after="120" w:before="0" w:line="276"/>
        <w:jc w:val="left"/>
      </w:pPr>
      <w:r>
        <w:rPr>
          <w:rFonts w:ascii="Arial" w:cs="Arial" w:eastAsia="Arial" w:hAnsi="Arial"/>
          <w:sz w:val="22"/>
          <w:szCs w:val="22"/>
        </w:rPr>
        <w:t xml:space="preserve">The forecasts are published through a live web application built with Next.js 14, Recharts (for charts), and Tailwind CSS (for styling). It reads data from a Supabase PostgreSQL cloud database.</w:t>
      </w:r>
    </w:p>
    <w:p>
      <w:pPr>
        <w:spacing w:after="120" w:before="0" w:line="276"/>
        <w:jc w:val="left"/>
      </w:pPr>
      <w:r>
        <w:rPr>
          <w:rFonts w:ascii="Arial" w:cs="Arial" w:eastAsia="Arial" w:hAnsi="Arial"/>
          <w:b/>
          <w:bCs/>
          <w:sz w:val="22"/>
          <w:szCs w:val="22"/>
        </w:rPr>
        <w:t xml:space="preserve">Live at: https://web-mocha-kappa-71.vercel.app</w:t>
      </w:r>
    </w:p>
    <w:p>
      <w:pPr>
        <w:spacing w:after="80" w:before="0" w:line="276"/>
        <w:jc w:val="left"/>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999999" w:sz="1"/>
              <w:left w:val="single" w:color="999999" w:sz="1"/>
              <w:bottom w:val="single" w:color="999999" w:sz="1"/>
              <w:right w:val="single" w:color="999999" w:sz="1"/>
            </w:tcBorders>
            <w:shd w:fill="F2F2F2" w:val="clear"/>
            <w:tcMar>
              <w:top w:type="dxa" w:w="60"/>
              <w:left w:type="dxa" w:w="100"/>
              <w:bottom w:type="dxa" w:w="60"/>
              <w:right w:type="dxa" w:w="100"/>
            </w:tcMar>
          </w:tcPr>
          <w:p>
            <w:pPr>
              <w:jc w:val="left"/>
            </w:pPr>
            <w:r>
              <w:rPr>
                <w:rFonts w:ascii="Arial" w:cs="Arial" w:eastAsia="Arial" w:hAnsi="Arial"/>
                <w:b/>
                <w:bCs/>
                <w:sz w:val="20"/>
                <w:szCs w:val="20"/>
              </w:rPr>
              <w:t xml:space="preserve">Page</w:t>
            </w:r>
          </w:p>
        </w:tc>
        <w:tc>
          <w:tcPr>
            <w:tcW w:type="dxa" w:w="7160"/>
            <w:tcBorders>
              <w:top w:val="single" w:color="999999" w:sz="1"/>
              <w:left w:val="single" w:color="999999" w:sz="1"/>
              <w:bottom w:val="single" w:color="999999" w:sz="1"/>
              <w:right w:val="single" w:color="999999" w:sz="1"/>
            </w:tcBorders>
            <w:shd w:fill="F2F2F2" w:val="clear"/>
            <w:tcMar>
              <w:top w:type="dxa" w:w="60"/>
              <w:left w:type="dxa" w:w="100"/>
              <w:bottom w:type="dxa" w:w="60"/>
              <w:right w:type="dxa" w:w="100"/>
            </w:tcMar>
          </w:tcPr>
          <w:p>
            <w:pPr>
              <w:jc w:val="left"/>
            </w:pPr>
            <w:r>
              <w:rPr>
                <w:rFonts w:ascii="Arial" w:cs="Arial" w:eastAsia="Arial" w:hAnsi="Arial"/>
                <w:b/>
                <w:bCs/>
                <w:sz w:val="20"/>
                <w:szCs w:val="20"/>
              </w:rPr>
              <w:t xml:space="preserve">What It Shows</w:t>
            </w:r>
          </w:p>
        </w:tc>
      </w:tr>
      <w:tr>
        <w:tc>
          <w:tcPr>
            <w:tcW w:type="dxa" w:w="2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Arial" w:cs="Arial" w:eastAsia="Arial" w:hAnsi="Arial"/>
                <w:sz w:val="20"/>
                <w:szCs w:val="20"/>
              </w:rPr>
              <w:t xml:space="preserve">Dashboard (Home)</w:t>
            </w:r>
          </w:p>
        </w:tc>
        <w:tc>
          <w:tcPr>
            <w:tcW w:type="dxa" w:w="716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Arial" w:cs="Arial" w:eastAsia="Arial" w:hAnsi="Arial"/>
                <w:sz w:val="20"/>
                <w:szCs w:val="20"/>
              </w:rPr>
              <w:t xml:space="preserve">India-level KPI cards, 24-month forecast charts with 90% CI bands, summary table</w:t>
            </w:r>
          </w:p>
        </w:tc>
      </w:tr>
      <w:tr>
        <w:tc>
          <w:tcPr>
            <w:tcW w:type="dxa" w:w="2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Arial" w:cs="Arial" w:eastAsia="Arial" w:hAnsi="Arial"/>
                <w:sz w:val="20"/>
                <w:szCs w:val="20"/>
              </w:rPr>
              <w:t xml:space="preserve">Bank Explorer</w:t>
            </w:r>
          </w:p>
        </w:tc>
        <w:tc>
          <w:tcPr>
            <w:tcW w:type="dxa" w:w="716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Arial" w:cs="Arial" w:eastAsia="Arial" w:hAnsi="Arial"/>
                <w:sz w:val="20"/>
                <w:szCs w:val="20"/>
              </w:rPr>
              <w:t xml:space="preserve">Per-bank forecasts for ~80 banks. Toggle CC/DC. Select any bank and month.</w:t>
            </w:r>
          </w:p>
        </w:tc>
      </w:tr>
      <w:tr>
        <w:tc>
          <w:tcPr>
            <w:tcW w:type="dxa" w:w="2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Arial" w:cs="Arial" w:eastAsia="Arial" w:hAnsi="Arial"/>
                <w:sz w:val="20"/>
                <w:szCs w:val="20"/>
              </w:rPr>
              <w:t xml:space="preserve">Data Status</w:t>
            </w:r>
          </w:p>
        </w:tc>
        <w:tc>
          <w:tcPr>
            <w:tcW w:type="dxa" w:w="716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Arial" w:cs="Arial" w:eastAsia="Arial" w:hAnsi="Arial"/>
                <w:sz w:val="20"/>
                <w:szCs w:val="20"/>
              </w:rPr>
              <w:t xml:space="preserve">Scraper history: when data was last refreshed, record counts, errors</w:t>
            </w:r>
          </w:p>
        </w:tc>
      </w:tr>
      <w:tr>
        <w:tc>
          <w:tcPr>
            <w:tcW w:type="dxa" w:w="2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Arial" w:cs="Arial" w:eastAsia="Arial" w:hAnsi="Arial"/>
                <w:sz w:val="20"/>
                <w:szCs w:val="20"/>
              </w:rPr>
              <w:t xml:space="preserve">Model Performance</w:t>
            </w:r>
          </w:p>
        </w:tc>
        <w:tc>
          <w:tcPr>
            <w:tcW w:type="dxa" w:w="716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Arial" w:cs="Arial" w:eastAsia="Arial" w:hAnsi="Arial"/>
                <w:sz w:val="20"/>
                <w:szCs w:val="20"/>
              </w:rPr>
              <w:t xml:space="preserve">Every model's CV MAPE, colour-coded by accuracy tier</w:t>
            </w:r>
          </w:p>
        </w:tc>
      </w:tr>
      <w:tr>
        <w:tc>
          <w:tcPr>
            <w:tcW w:type="dxa" w:w="2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Arial" w:cs="Arial" w:eastAsia="Arial" w:hAnsi="Arial"/>
                <w:sz w:val="20"/>
                <w:szCs w:val="20"/>
              </w:rPr>
              <w:t xml:space="preserve">About</w:t>
            </w:r>
          </w:p>
        </w:tc>
        <w:tc>
          <w:tcPr>
            <w:tcW w:type="dxa" w:w="716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Arial" w:cs="Arial" w:eastAsia="Arial" w:hAnsi="Arial"/>
                <w:sz w:val="20"/>
                <w:szCs w:val="20"/>
              </w:rPr>
              <w:t xml:space="preserve">Methodology, data sources, accuracy summary, limitations</w:t>
            </w:r>
          </w:p>
        </w:tc>
      </w:tr>
    </w:tbl>
    <w:p>
      <w:r>
        <w:br w:type="page"/>
      </w:r>
    </w:p>
    <w:p>
      <w:pPr>
        <w:pStyle w:val="Heading1"/>
        <w:spacing w:after="200" w:before="300" w:line="276"/>
        <w:jc w:val="left"/>
      </w:pPr>
      <w:r>
        <w:rPr>
          <w:rFonts w:ascii="Arial" w:cs="Arial" w:eastAsia="Arial" w:hAnsi="Arial"/>
          <w:b/>
          <w:bCs/>
          <w:sz w:val="28"/>
          <w:szCs w:val="28"/>
        </w:rPr>
        <w:t xml:space="preserve">13. Automated Monthly Pipeline</w:t>
      </w:r>
    </w:p>
    <w:p>
      <w:pPr>
        <w:spacing w:after="120" w:before="0" w:line="276"/>
        <w:jc w:val="left"/>
      </w:pPr>
      <w:r>
        <w:rPr>
          <w:rFonts w:ascii="Arial" w:cs="Arial" w:eastAsia="Arial" w:hAnsi="Arial"/>
          <w:sz w:val="22"/>
          <w:szCs w:val="22"/>
        </w:rPr>
        <w:t xml:space="preserve">The entire system is automated using GitHub Actions. On the 15th of every month, a four-step pipeline runs:</w:t>
      </w:r>
    </w:p>
    <w:p>
      <w:pPr>
        <w:spacing w:after="80" w:before="0" w:line="276"/>
        <w:jc w:val="left"/>
      </w:pPr>
      <w:r>
        <w:rPr>
          <w:rFonts w:ascii="Arial" w:cs="Arial" w:eastAsia="Arial" w:hAnsi="Arial"/>
          <w:sz w:val="22"/>
          <w:szCs w:val="22"/>
        </w:rPr>
        <w:t xml:space="preserve"/>
      </w:r>
    </w:p>
    <w:tbl>
      <w:tblPr>
        <w:tblW w:type="dxa" w:w="8360"/>
        <w:tblBorders>
          <w:top w:val="single" w:color="auto" w:sz="4"/>
          <w:left w:val="single" w:color="auto" w:sz="4"/>
          <w:bottom w:val="single" w:color="auto" w:sz="4"/>
          <w:right w:val="single" w:color="auto" w:sz="4"/>
          <w:insideH w:val="single" w:color="auto" w:sz="4"/>
          <w:insideV w:val="single" w:color="auto" w:sz="4"/>
        </w:tblBorders>
      </w:tblPr>
      <w:tblGrid>
        <w:gridCol w:w="600"/>
        <w:gridCol w:w="1200"/>
        <w:gridCol w:w="5360"/>
        <w:gridCol w:w="1200"/>
      </w:tblGrid>
      <w:tr>
        <w:tc>
          <w:tcPr>
            <w:tcW w:type="dxa" w:w="600"/>
            <w:tcBorders>
              <w:top w:val="single" w:color="999999" w:sz="1"/>
              <w:left w:val="single" w:color="999999" w:sz="1"/>
              <w:bottom w:val="single" w:color="999999" w:sz="1"/>
              <w:right w:val="single" w:color="999999" w:sz="1"/>
            </w:tcBorders>
            <w:shd w:fill="F2F2F2" w:val="clear"/>
            <w:tcMar>
              <w:top w:type="dxa" w:w="60"/>
              <w:left w:type="dxa" w:w="100"/>
              <w:bottom w:type="dxa" w:w="60"/>
              <w:right w:type="dxa" w:w="100"/>
            </w:tcMar>
          </w:tcPr>
          <w:p>
            <w:pPr>
              <w:jc w:val="left"/>
            </w:pPr>
            <w:r>
              <w:rPr>
                <w:rFonts w:ascii="Arial" w:cs="Arial" w:eastAsia="Arial" w:hAnsi="Arial"/>
                <w:b/>
                <w:bCs/>
                <w:sz w:val="20"/>
                <w:szCs w:val="20"/>
              </w:rPr>
              <w:t xml:space="preserve">Step</w:t>
            </w:r>
          </w:p>
        </w:tc>
        <w:tc>
          <w:tcPr>
            <w:tcW w:type="dxa" w:w="1200"/>
            <w:tcBorders>
              <w:top w:val="single" w:color="999999" w:sz="1"/>
              <w:left w:val="single" w:color="999999" w:sz="1"/>
              <w:bottom w:val="single" w:color="999999" w:sz="1"/>
              <w:right w:val="single" w:color="999999" w:sz="1"/>
            </w:tcBorders>
            <w:shd w:fill="F2F2F2" w:val="clear"/>
            <w:tcMar>
              <w:top w:type="dxa" w:w="60"/>
              <w:left w:type="dxa" w:w="100"/>
              <w:bottom w:type="dxa" w:w="60"/>
              <w:right w:type="dxa" w:w="100"/>
            </w:tcMar>
          </w:tcPr>
          <w:p>
            <w:pPr>
              <w:jc w:val="left"/>
            </w:pPr>
            <w:r>
              <w:rPr>
                <w:rFonts w:ascii="Arial" w:cs="Arial" w:eastAsia="Arial" w:hAnsi="Arial"/>
                <w:b/>
                <w:bCs/>
                <w:sz w:val="20"/>
                <w:szCs w:val="20"/>
              </w:rPr>
              <w:t xml:space="preserve">Job</w:t>
            </w:r>
          </w:p>
        </w:tc>
        <w:tc>
          <w:tcPr>
            <w:tcW w:type="dxa" w:w="5360"/>
            <w:tcBorders>
              <w:top w:val="single" w:color="999999" w:sz="1"/>
              <w:left w:val="single" w:color="999999" w:sz="1"/>
              <w:bottom w:val="single" w:color="999999" w:sz="1"/>
              <w:right w:val="single" w:color="999999" w:sz="1"/>
            </w:tcBorders>
            <w:shd w:fill="F2F2F2" w:val="clear"/>
            <w:tcMar>
              <w:top w:type="dxa" w:w="60"/>
              <w:left w:type="dxa" w:w="100"/>
              <w:bottom w:type="dxa" w:w="60"/>
              <w:right w:type="dxa" w:w="100"/>
            </w:tcMar>
          </w:tcPr>
          <w:p>
            <w:pPr>
              <w:jc w:val="left"/>
            </w:pPr>
            <w:r>
              <w:rPr>
                <w:rFonts w:ascii="Arial" w:cs="Arial" w:eastAsia="Arial" w:hAnsi="Arial"/>
                <w:b/>
                <w:bCs/>
                <w:sz w:val="20"/>
                <w:szCs w:val="20"/>
              </w:rPr>
              <w:t xml:space="preserve">What It Does</w:t>
            </w:r>
          </w:p>
        </w:tc>
        <w:tc>
          <w:tcPr>
            <w:tcW w:type="dxa" w:w="1200"/>
            <w:tcBorders>
              <w:top w:val="single" w:color="999999" w:sz="1"/>
              <w:left w:val="single" w:color="999999" w:sz="1"/>
              <w:bottom w:val="single" w:color="999999" w:sz="1"/>
              <w:right w:val="single" w:color="999999" w:sz="1"/>
            </w:tcBorders>
            <w:shd w:fill="F2F2F2" w:val="clear"/>
            <w:tcMar>
              <w:top w:type="dxa" w:w="60"/>
              <w:left w:type="dxa" w:w="100"/>
              <w:bottom w:type="dxa" w:w="60"/>
              <w:right w:type="dxa" w:w="100"/>
            </w:tcMar>
          </w:tcPr>
          <w:p>
            <w:pPr>
              <w:jc w:val="left"/>
            </w:pPr>
            <w:r>
              <w:rPr>
                <w:rFonts w:ascii="Arial" w:cs="Arial" w:eastAsia="Arial" w:hAnsi="Arial"/>
                <w:b/>
                <w:bCs/>
                <w:sz w:val="20"/>
                <w:szCs w:val="20"/>
              </w:rPr>
              <w:t xml:space="preserve">Duration</w:t>
            </w:r>
          </w:p>
        </w:tc>
      </w:tr>
      <w:tr>
        <w:tc>
          <w:tcPr>
            <w:tcW w:type="dxa" w:w="6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Arial" w:cs="Arial" w:eastAsia="Arial" w:hAnsi="Arial"/>
                <w:sz w:val="20"/>
                <w:szCs w:val="20"/>
              </w:rPr>
              <w:t xml:space="preserve">1</w:t>
            </w:r>
          </w:p>
        </w:tc>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Arial" w:cs="Arial" w:eastAsia="Arial" w:hAnsi="Arial"/>
                <w:sz w:val="20"/>
                <w:szCs w:val="20"/>
              </w:rPr>
              <w:t xml:space="preserve">Scrape</w:t>
            </w:r>
          </w:p>
        </w:tc>
        <w:tc>
          <w:tcPr>
            <w:tcW w:type="dxa" w:w="536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Arial" w:cs="Arial" w:eastAsia="Arial" w:hAnsi="Arial"/>
                <w:sz w:val="20"/>
                <w:szCs w:val="20"/>
              </w:rPr>
              <w:t xml:space="preserve">Downloads latest RBI/NPCI Excel files</w:t>
            </w:r>
          </w:p>
        </w:tc>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Arial" w:cs="Arial" w:eastAsia="Arial" w:hAnsi="Arial"/>
                <w:sz w:val="20"/>
                <w:szCs w:val="20"/>
              </w:rPr>
              <w:t xml:space="preserve">~2 min</w:t>
            </w:r>
          </w:p>
        </w:tc>
      </w:tr>
      <w:tr>
        <w:tc>
          <w:tcPr>
            <w:tcW w:type="dxa" w:w="6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Arial" w:cs="Arial" w:eastAsia="Arial" w:hAnsi="Arial"/>
                <w:sz w:val="20"/>
                <w:szCs w:val="20"/>
              </w:rPr>
              <w:t xml:space="preserve">2</w:t>
            </w:r>
          </w:p>
        </w:tc>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Arial" w:cs="Arial" w:eastAsia="Arial" w:hAnsi="Arial"/>
                <w:sz w:val="20"/>
                <w:szCs w:val="20"/>
              </w:rPr>
              <w:t xml:space="preserve">Train</w:t>
            </w:r>
          </w:p>
        </w:tc>
        <w:tc>
          <w:tcPr>
            <w:tcW w:type="dxa" w:w="536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Arial" w:cs="Arial" w:eastAsia="Arial" w:hAnsi="Arial"/>
                <w:sz w:val="20"/>
                <w:szCs w:val="20"/>
              </w:rPr>
              <w:t xml:space="preserve">Runs ingestion + all models</w:t>
            </w:r>
          </w:p>
        </w:tc>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Arial" w:cs="Arial" w:eastAsia="Arial" w:hAnsi="Arial"/>
                <w:sz w:val="20"/>
                <w:szCs w:val="20"/>
              </w:rPr>
              <w:t xml:space="preserve">~20 min</w:t>
            </w:r>
          </w:p>
        </w:tc>
      </w:tr>
      <w:tr>
        <w:tc>
          <w:tcPr>
            <w:tcW w:type="dxa" w:w="6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Arial" w:cs="Arial" w:eastAsia="Arial" w:hAnsi="Arial"/>
                <w:sz w:val="20"/>
                <w:szCs w:val="20"/>
              </w:rPr>
              <w:t xml:space="preserve">3</w:t>
            </w:r>
          </w:p>
        </w:tc>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Arial" w:cs="Arial" w:eastAsia="Arial" w:hAnsi="Arial"/>
                <w:sz w:val="20"/>
                <w:szCs w:val="20"/>
              </w:rPr>
              <w:t xml:space="preserve">Sync</w:t>
            </w:r>
          </w:p>
        </w:tc>
        <w:tc>
          <w:tcPr>
            <w:tcW w:type="dxa" w:w="536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Arial" w:cs="Arial" w:eastAsia="Arial" w:hAnsi="Arial"/>
                <w:sz w:val="20"/>
                <w:szCs w:val="20"/>
              </w:rPr>
              <w:t xml:space="preserve">Pushes forecasts to Supabase cloud database</w:t>
            </w:r>
          </w:p>
        </w:tc>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Arial" w:cs="Arial" w:eastAsia="Arial" w:hAnsi="Arial"/>
                <w:sz w:val="20"/>
                <w:szCs w:val="20"/>
              </w:rPr>
              <w:t xml:space="preserve">~1 min</w:t>
            </w:r>
          </w:p>
        </w:tc>
      </w:tr>
      <w:tr>
        <w:tc>
          <w:tcPr>
            <w:tcW w:type="dxa" w:w="6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Arial" w:cs="Arial" w:eastAsia="Arial" w:hAnsi="Arial"/>
                <w:sz w:val="20"/>
                <w:szCs w:val="20"/>
              </w:rPr>
              <w:t xml:space="preserve">4</w:t>
            </w:r>
          </w:p>
        </w:tc>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Arial" w:cs="Arial" w:eastAsia="Arial" w:hAnsi="Arial"/>
                <w:sz w:val="20"/>
                <w:szCs w:val="20"/>
              </w:rPr>
              <w:t xml:space="preserve">Notify</w:t>
            </w:r>
          </w:p>
        </w:tc>
        <w:tc>
          <w:tcPr>
            <w:tcW w:type="dxa" w:w="536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Arial" w:cs="Arial" w:eastAsia="Arial" w:hAnsi="Arial"/>
                <w:sz w:val="20"/>
                <w:szCs w:val="20"/>
              </w:rPr>
              <w:t xml:space="preserve">Reports success/failure</w:t>
            </w:r>
          </w:p>
        </w:tc>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Arial" w:cs="Arial" w:eastAsia="Arial" w:hAnsi="Arial"/>
                <w:sz w:val="20"/>
                <w:szCs w:val="20"/>
              </w:rPr>
              <w:t xml:space="preserve">~10 sec</w:t>
            </w:r>
          </w:p>
        </w:tc>
      </w:tr>
    </w:tbl>
    <w:p>
      <w:pPr>
        <w:spacing w:after="80" w:before="0" w:line="276"/>
        <w:jc w:val="left"/>
      </w:pPr>
      <w:r>
        <w:rPr>
          <w:rFonts w:ascii="Arial" w:cs="Arial" w:eastAsia="Arial" w:hAnsi="Arial"/>
          <w:sz w:val="22"/>
          <w:szCs w:val="22"/>
        </w:rPr>
        <w:t xml:space="preserve"/>
      </w:r>
    </w:p>
    <w:p>
      <w:pPr>
        <w:spacing w:after="120" w:before="0" w:line="276"/>
        <w:jc w:val="left"/>
      </w:pPr>
      <w:r>
        <w:rPr>
          <w:rFonts w:ascii="Arial" w:cs="Arial" w:eastAsia="Arial" w:hAnsi="Arial"/>
          <w:sz w:val="22"/>
          <w:szCs w:val="22"/>
        </w:rPr>
        <w:t xml:space="preserve">This pipeline can also be triggered manually. The entire process requires zero human intervention.</w:t>
      </w:r>
    </w:p>
    <w:p>
      <w:r>
        <w:br w:type="page"/>
      </w:r>
    </w:p>
    <w:p>
      <w:pPr>
        <w:pStyle w:val="Heading1"/>
        <w:spacing w:after="200" w:before="300" w:line="276"/>
        <w:jc w:val="left"/>
      </w:pPr>
      <w:r>
        <w:rPr>
          <w:rFonts w:ascii="Arial" w:cs="Arial" w:eastAsia="Arial" w:hAnsi="Arial"/>
          <w:b/>
          <w:bCs/>
          <w:sz w:val="28"/>
          <w:szCs w:val="28"/>
        </w:rPr>
        <w:t xml:space="preserve">14. Technology Stack</w:t>
      </w:r>
    </w:p>
    <w:p>
      <w:pPr>
        <w:spacing w:after="80" w:before="0" w:line="276"/>
        <w:jc w:val="left"/>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800"/>
        <w:gridCol w:w="4760"/>
      </w:tblGrid>
      <w:tr>
        <w:tc>
          <w:tcPr>
            <w:tcW w:type="dxa" w:w="1800"/>
            <w:tcBorders>
              <w:top w:val="single" w:color="999999" w:sz="1"/>
              <w:left w:val="single" w:color="999999" w:sz="1"/>
              <w:bottom w:val="single" w:color="999999" w:sz="1"/>
              <w:right w:val="single" w:color="999999" w:sz="1"/>
            </w:tcBorders>
            <w:shd w:fill="F2F2F2" w:val="clear"/>
            <w:tcMar>
              <w:top w:type="dxa" w:w="60"/>
              <w:left w:type="dxa" w:w="100"/>
              <w:bottom w:type="dxa" w:w="60"/>
              <w:right w:type="dxa" w:w="100"/>
            </w:tcMar>
          </w:tcPr>
          <w:p>
            <w:pPr>
              <w:jc w:val="left"/>
            </w:pPr>
            <w:r>
              <w:rPr>
                <w:rFonts w:ascii="Arial" w:cs="Arial" w:eastAsia="Arial" w:hAnsi="Arial"/>
                <w:b/>
                <w:bCs/>
                <w:sz w:val="20"/>
                <w:szCs w:val="20"/>
              </w:rPr>
              <w:t xml:space="preserve">Layer</w:t>
            </w:r>
          </w:p>
        </w:tc>
        <w:tc>
          <w:tcPr>
            <w:tcW w:type="dxa" w:w="2800"/>
            <w:tcBorders>
              <w:top w:val="single" w:color="999999" w:sz="1"/>
              <w:left w:val="single" w:color="999999" w:sz="1"/>
              <w:bottom w:val="single" w:color="999999" w:sz="1"/>
              <w:right w:val="single" w:color="999999" w:sz="1"/>
            </w:tcBorders>
            <w:shd w:fill="F2F2F2" w:val="clear"/>
            <w:tcMar>
              <w:top w:type="dxa" w:w="60"/>
              <w:left w:type="dxa" w:w="100"/>
              <w:bottom w:type="dxa" w:w="60"/>
              <w:right w:type="dxa" w:w="100"/>
            </w:tcMar>
          </w:tcPr>
          <w:p>
            <w:pPr>
              <w:jc w:val="left"/>
            </w:pPr>
            <w:r>
              <w:rPr>
                <w:rFonts w:ascii="Arial" w:cs="Arial" w:eastAsia="Arial" w:hAnsi="Arial"/>
                <w:b/>
                <w:bCs/>
                <w:sz w:val="20"/>
                <w:szCs w:val="20"/>
              </w:rPr>
              <w:t xml:space="preserve">Technology</w:t>
            </w:r>
          </w:p>
        </w:tc>
        <w:tc>
          <w:tcPr>
            <w:tcW w:type="dxa" w:w="4760"/>
            <w:tcBorders>
              <w:top w:val="single" w:color="999999" w:sz="1"/>
              <w:left w:val="single" w:color="999999" w:sz="1"/>
              <w:bottom w:val="single" w:color="999999" w:sz="1"/>
              <w:right w:val="single" w:color="999999" w:sz="1"/>
            </w:tcBorders>
            <w:shd w:fill="F2F2F2" w:val="clear"/>
            <w:tcMar>
              <w:top w:type="dxa" w:w="60"/>
              <w:left w:type="dxa" w:w="100"/>
              <w:bottom w:type="dxa" w:w="60"/>
              <w:right w:type="dxa" w:w="100"/>
            </w:tcMar>
          </w:tcPr>
          <w:p>
            <w:pPr>
              <w:jc w:val="left"/>
            </w:pPr>
            <w:r>
              <w:rPr>
                <w:rFonts w:ascii="Arial" w:cs="Arial" w:eastAsia="Arial" w:hAnsi="Arial"/>
                <w:b/>
                <w:bCs/>
                <w:sz w:val="20"/>
                <w:szCs w:val="20"/>
              </w:rPr>
              <w:t xml:space="preserve">Why</w:t>
            </w:r>
          </w:p>
        </w:tc>
      </w:tr>
      <w:tr>
        <w:tc>
          <w:tcPr>
            <w:tcW w:type="dxa" w:w="18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Arial" w:cs="Arial" w:eastAsia="Arial" w:hAnsi="Arial"/>
                <w:sz w:val="20"/>
                <w:szCs w:val="20"/>
              </w:rPr>
              <w:t xml:space="preserve">Language (ML)</w:t>
            </w:r>
          </w:p>
        </w:tc>
        <w:tc>
          <w:tcPr>
            <w:tcW w:type="dxa" w:w="28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Arial" w:cs="Arial" w:eastAsia="Arial" w:hAnsi="Arial"/>
                <w:sz w:val="20"/>
                <w:szCs w:val="20"/>
              </w:rPr>
              <w:t xml:space="preserve">Python 3.12</w:t>
            </w:r>
          </w:p>
        </w:tc>
        <w:tc>
          <w:tcPr>
            <w:tcW w:type="dxa" w:w="476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Arial" w:cs="Arial" w:eastAsia="Arial" w:hAnsi="Arial"/>
                <w:sz w:val="20"/>
                <w:szCs w:val="20"/>
              </w:rPr>
              <w:t xml:space="preserve">Standard for data science</w:t>
            </w:r>
          </w:p>
        </w:tc>
      </w:tr>
      <w:tr>
        <w:tc>
          <w:tcPr>
            <w:tcW w:type="dxa" w:w="18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Arial" w:cs="Arial" w:eastAsia="Arial" w:hAnsi="Arial"/>
                <w:sz w:val="20"/>
                <w:szCs w:val="20"/>
              </w:rPr>
              <w:t xml:space="preserve">Package Manager</w:t>
            </w:r>
          </w:p>
        </w:tc>
        <w:tc>
          <w:tcPr>
            <w:tcW w:type="dxa" w:w="28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Arial" w:cs="Arial" w:eastAsia="Arial" w:hAnsi="Arial"/>
                <w:sz w:val="20"/>
                <w:szCs w:val="20"/>
              </w:rPr>
              <w:t xml:space="preserve">uv</w:t>
            </w:r>
          </w:p>
        </w:tc>
        <w:tc>
          <w:tcPr>
            <w:tcW w:type="dxa" w:w="476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Arial" w:cs="Arial" w:eastAsia="Arial" w:hAnsi="Arial"/>
                <w:sz w:val="20"/>
                <w:szCs w:val="20"/>
              </w:rPr>
              <w:t xml:space="preserve">10-100x faster than pip; reproducible</w:t>
            </w:r>
          </w:p>
        </w:tc>
      </w:tr>
      <w:tr>
        <w:tc>
          <w:tcPr>
            <w:tcW w:type="dxa" w:w="18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Arial" w:cs="Arial" w:eastAsia="Arial" w:hAnsi="Arial"/>
                <w:sz w:val="20"/>
                <w:szCs w:val="20"/>
              </w:rPr>
              <w:t xml:space="preserve">Forecasting</w:t>
            </w:r>
          </w:p>
        </w:tc>
        <w:tc>
          <w:tcPr>
            <w:tcW w:type="dxa" w:w="28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Arial" w:cs="Arial" w:eastAsia="Arial" w:hAnsi="Arial"/>
                <w:sz w:val="20"/>
                <w:szCs w:val="20"/>
              </w:rPr>
              <w:t xml:space="preserve">Prophet + statsmodels</w:t>
            </w:r>
          </w:p>
        </w:tc>
        <w:tc>
          <w:tcPr>
            <w:tcW w:type="dxa" w:w="476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Arial" w:cs="Arial" w:eastAsia="Arial" w:hAnsi="Arial"/>
                <w:sz w:val="20"/>
                <w:szCs w:val="20"/>
              </w:rPr>
              <w:t xml:space="preserve">Prophet for regressors; statsmodels for ARIMA/ETS</w:t>
            </w:r>
          </w:p>
        </w:tc>
      </w:tr>
      <w:tr>
        <w:tc>
          <w:tcPr>
            <w:tcW w:type="dxa" w:w="18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Arial" w:cs="Arial" w:eastAsia="Arial" w:hAnsi="Arial"/>
                <w:sz w:val="20"/>
                <w:szCs w:val="20"/>
              </w:rPr>
              <w:t xml:space="preserve">Local Storage</w:t>
            </w:r>
          </w:p>
        </w:tc>
        <w:tc>
          <w:tcPr>
            <w:tcW w:type="dxa" w:w="28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Arial" w:cs="Arial" w:eastAsia="Arial" w:hAnsi="Arial"/>
                <w:sz w:val="20"/>
                <w:szCs w:val="20"/>
              </w:rPr>
              <w:t xml:space="preserve">Parquet</w:t>
            </w:r>
          </w:p>
        </w:tc>
        <w:tc>
          <w:tcPr>
            <w:tcW w:type="dxa" w:w="476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Arial" w:cs="Arial" w:eastAsia="Arial" w:hAnsi="Arial"/>
                <w:sz w:val="20"/>
                <w:szCs w:val="20"/>
              </w:rPr>
              <w:t xml:space="preserve">Fast, compressed columnar format</w:t>
            </w:r>
          </w:p>
        </w:tc>
      </w:tr>
      <w:tr>
        <w:tc>
          <w:tcPr>
            <w:tcW w:type="dxa" w:w="18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Arial" w:cs="Arial" w:eastAsia="Arial" w:hAnsi="Arial"/>
                <w:sz w:val="20"/>
                <w:szCs w:val="20"/>
              </w:rPr>
              <w:t xml:space="preserve">Cloud Database</w:t>
            </w:r>
          </w:p>
        </w:tc>
        <w:tc>
          <w:tcPr>
            <w:tcW w:type="dxa" w:w="28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Arial" w:cs="Arial" w:eastAsia="Arial" w:hAnsi="Arial"/>
                <w:sz w:val="20"/>
                <w:szCs w:val="20"/>
              </w:rPr>
              <w:t xml:space="preserve">Supabase (PostgreSQL)</w:t>
            </w:r>
          </w:p>
        </w:tc>
        <w:tc>
          <w:tcPr>
            <w:tcW w:type="dxa" w:w="476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Arial" w:cs="Arial" w:eastAsia="Arial" w:hAnsi="Arial"/>
                <w:sz w:val="20"/>
                <w:szCs w:val="20"/>
              </w:rPr>
              <w:t xml:space="preserve">Free tier; REST API; real-time capable</w:t>
            </w:r>
          </w:p>
        </w:tc>
      </w:tr>
      <w:tr>
        <w:tc>
          <w:tcPr>
            <w:tcW w:type="dxa" w:w="18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Arial" w:cs="Arial" w:eastAsia="Arial" w:hAnsi="Arial"/>
                <w:sz w:val="20"/>
                <w:szCs w:val="20"/>
              </w:rPr>
              <w:t xml:space="preserve">Web Framework</w:t>
            </w:r>
          </w:p>
        </w:tc>
        <w:tc>
          <w:tcPr>
            <w:tcW w:type="dxa" w:w="28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Arial" w:cs="Arial" w:eastAsia="Arial" w:hAnsi="Arial"/>
                <w:sz w:val="20"/>
                <w:szCs w:val="20"/>
              </w:rPr>
              <w:t xml:space="preserve">Next.js 14 (React)</w:t>
            </w:r>
          </w:p>
        </w:tc>
        <w:tc>
          <w:tcPr>
            <w:tcW w:type="dxa" w:w="476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Arial" w:cs="Arial" w:eastAsia="Arial" w:hAnsi="Arial"/>
                <w:sz w:val="20"/>
                <w:szCs w:val="20"/>
              </w:rPr>
              <w:t xml:space="preserve">Server-side rendering; easy deployment</w:t>
            </w:r>
          </w:p>
        </w:tc>
      </w:tr>
      <w:tr>
        <w:tc>
          <w:tcPr>
            <w:tcW w:type="dxa" w:w="18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Arial" w:cs="Arial" w:eastAsia="Arial" w:hAnsi="Arial"/>
                <w:sz w:val="20"/>
                <w:szCs w:val="20"/>
              </w:rPr>
              <w:t xml:space="preserve">Charts</w:t>
            </w:r>
          </w:p>
        </w:tc>
        <w:tc>
          <w:tcPr>
            <w:tcW w:type="dxa" w:w="28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Arial" w:cs="Arial" w:eastAsia="Arial" w:hAnsi="Arial"/>
                <w:sz w:val="20"/>
                <w:szCs w:val="20"/>
              </w:rPr>
              <w:t xml:space="preserve">Recharts</w:t>
            </w:r>
          </w:p>
        </w:tc>
        <w:tc>
          <w:tcPr>
            <w:tcW w:type="dxa" w:w="476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Arial" w:cs="Arial" w:eastAsia="Arial" w:hAnsi="Arial"/>
                <w:sz w:val="20"/>
                <w:szCs w:val="20"/>
              </w:rPr>
              <w:t xml:space="preserve">React-native; supports CI bands</w:t>
            </w:r>
          </w:p>
        </w:tc>
      </w:tr>
      <w:tr>
        <w:tc>
          <w:tcPr>
            <w:tcW w:type="dxa" w:w="18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Arial" w:cs="Arial" w:eastAsia="Arial" w:hAnsi="Arial"/>
                <w:sz w:val="20"/>
                <w:szCs w:val="20"/>
              </w:rPr>
              <w:t xml:space="preserve">Styling</w:t>
            </w:r>
          </w:p>
        </w:tc>
        <w:tc>
          <w:tcPr>
            <w:tcW w:type="dxa" w:w="28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Arial" w:cs="Arial" w:eastAsia="Arial" w:hAnsi="Arial"/>
                <w:sz w:val="20"/>
                <w:szCs w:val="20"/>
              </w:rPr>
              <w:t xml:space="preserve">Tailwind CSS</w:t>
            </w:r>
          </w:p>
        </w:tc>
        <w:tc>
          <w:tcPr>
            <w:tcW w:type="dxa" w:w="476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Arial" w:cs="Arial" w:eastAsia="Arial" w:hAnsi="Arial"/>
                <w:sz w:val="20"/>
                <w:szCs w:val="20"/>
              </w:rPr>
              <w:t xml:space="preserve">Utility-first; consistent</w:t>
            </w:r>
          </w:p>
        </w:tc>
      </w:tr>
      <w:tr>
        <w:tc>
          <w:tcPr>
            <w:tcW w:type="dxa" w:w="18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Arial" w:cs="Arial" w:eastAsia="Arial" w:hAnsi="Arial"/>
                <w:sz w:val="20"/>
                <w:szCs w:val="20"/>
              </w:rPr>
              <w:t xml:space="preserve">Hosting</w:t>
            </w:r>
          </w:p>
        </w:tc>
        <w:tc>
          <w:tcPr>
            <w:tcW w:type="dxa" w:w="28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Arial" w:cs="Arial" w:eastAsia="Arial" w:hAnsi="Arial"/>
                <w:sz w:val="20"/>
                <w:szCs w:val="20"/>
              </w:rPr>
              <w:t xml:space="preserve">Vercel</w:t>
            </w:r>
          </w:p>
        </w:tc>
        <w:tc>
          <w:tcPr>
            <w:tcW w:type="dxa" w:w="476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Arial" w:cs="Arial" w:eastAsia="Arial" w:hAnsi="Arial"/>
                <w:sz w:val="20"/>
                <w:szCs w:val="20"/>
              </w:rPr>
              <w:t xml:space="preserve">Zero-config for Next.js; automatic HTTPS</w:t>
            </w:r>
          </w:p>
        </w:tc>
      </w:tr>
      <w:tr>
        <w:tc>
          <w:tcPr>
            <w:tcW w:type="dxa" w:w="18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Arial" w:cs="Arial" w:eastAsia="Arial" w:hAnsi="Arial"/>
                <w:sz w:val="20"/>
                <w:szCs w:val="20"/>
              </w:rPr>
              <w:t xml:space="preserve">CI/CD</w:t>
            </w:r>
          </w:p>
        </w:tc>
        <w:tc>
          <w:tcPr>
            <w:tcW w:type="dxa" w:w="28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Arial" w:cs="Arial" w:eastAsia="Arial" w:hAnsi="Arial"/>
                <w:sz w:val="20"/>
                <w:szCs w:val="20"/>
              </w:rPr>
              <w:t xml:space="preserve">GitHub Actions</w:t>
            </w:r>
          </w:p>
        </w:tc>
        <w:tc>
          <w:tcPr>
            <w:tcW w:type="dxa" w:w="476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Arial" w:cs="Arial" w:eastAsia="Arial" w:hAnsi="Arial"/>
                <w:sz w:val="20"/>
                <w:szCs w:val="20"/>
              </w:rPr>
              <w:t xml:space="preserve">Free; runs monthly pipeline</w:t>
            </w:r>
          </w:p>
        </w:tc>
      </w:tr>
      <w:tr>
        <w:tc>
          <w:tcPr>
            <w:tcW w:type="dxa" w:w="18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Arial" w:cs="Arial" w:eastAsia="Arial" w:hAnsi="Arial"/>
                <w:sz w:val="20"/>
                <w:szCs w:val="20"/>
              </w:rPr>
              <w:t xml:space="preserve">Scraping</w:t>
            </w:r>
          </w:p>
        </w:tc>
        <w:tc>
          <w:tcPr>
            <w:tcW w:type="dxa" w:w="28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Arial" w:cs="Arial" w:eastAsia="Arial" w:hAnsi="Arial"/>
                <w:sz w:val="20"/>
                <w:szCs w:val="20"/>
              </w:rPr>
              <w:t xml:space="preserve">Playwright</w:t>
            </w:r>
          </w:p>
        </w:tc>
        <w:tc>
          <w:tcPr>
            <w:tcW w:type="dxa" w:w="476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Arial" w:cs="Arial" w:eastAsia="Arial" w:hAnsi="Arial"/>
                <w:sz w:val="20"/>
                <w:szCs w:val="20"/>
              </w:rPr>
              <w:t xml:space="preserve">Handles JS-heavy government portals</w:t>
            </w:r>
          </w:p>
        </w:tc>
      </w:tr>
    </w:tbl>
    <w:p>
      <w:r>
        <w:br w:type="page"/>
      </w:r>
    </w:p>
    <w:p>
      <w:pPr>
        <w:pStyle w:val="Heading1"/>
        <w:spacing w:after="200" w:before="300" w:line="276"/>
        <w:jc w:val="left"/>
      </w:pPr>
      <w:r>
        <w:rPr>
          <w:rFonts w:ascii="Arial" w:cs="Arial" w:eastAsia="Arial" w:hAnsi="Arial"/>
          <w:b/>
          <w:bCs/>
          <w:sz w:val="28"/>
          <w:szCs w:val="28"/>
        </w:rPr>
        <w:t xml:space="preserve">15. Audit Results</w:t>
      </w:r>
    </w:p>
    <w:p>
      <w:pPr>
        <w:spacing w:after="120" w:before="0" w:line="276"/>
        <w:jc w:val="left"/>
      </w:pPr>
      <w:r>
        <w:rPr>
          <w:rFonts w:ascii="Arial" w:cs="Arial" w:eastAsia="Arial" w:hAnsi="Arial"/>
          <w:sz w:val="22"/>
          <w:szCs w:val="22"/>
        </w:rPr>
        <w:t xml:space="preserve">The system underwent a rigorous quantitative audit scoring 88/100 across 12 diagnostic test suites:</w:t>
      </w:r>
    </w:p>
    <w:p>
      <w:pPr>
        <w:spacing w:after="80" w:before="0" w:line="276"/>
        <w:jc w:val="left"/>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800"/>
        <w:gridCol w:w="5360"/>
      </w:tblGrid>
      <w:tr>
        <w:tc>
          <w:tcPr>
            <w:tcW w:type="dxa" w:w="3200"/>
            <w:tcBorders>
              <w:top w:val="single" w:color="999999" w:sz="1"/>
              <w:left w:val="single" w:color="999999" w:sz="1"/>
              <w:bottom w:val="single" w:color="999999" w:sz="1"/>
              <w:right w:val="single" w:color="999999" w:sz="1"/>
            </w:tcBorders>
            <w:shd w:fill="F2F2F2" w:val="clear"/>
            <w:tcMar>
              <w:top w:type="dxa" w:w="60"/>
              <w:left w:type="dxa" w:w="100"/>
              <w:bottom w:type="dxa" w:w="60"/>
              <w:right w:type="dxa" w:w="100"/>
            </w:tcMar>
          </w:tcPr>
          <w:p>
            <w:pPr>
              <w:jc w:val="left"/>
            </w:pPr>
            <w:r>
              <w:rPr>
                <w:rFonts w:ascii="Arial" w:cs="Arial" w:eastAsia="Arial" w:hAnsi="Arial"/>
                <w:b/>
                <w:bCs/>
                <w:sz w:val="20"/>
                <w:szCs w:val="20"/>
              </w:rPr>
              <w:t xml:space="preserve">Area</w:t>
            </w:r>
          </w:p>
        </w:tc>
        <w:tc>
          <w:tcPr>
            <w:tcW w:type="dxa" w:w="800"/>
            <w:tcBorders>
              <w:top w:val="single" w:color="999999" w:sz="1"/>
              <w:left w:val="single" w:color="999999" w:sz="1"/>
              <w:bottom w:val="single" w:color="999999" w:sz="1"/>
              <w:right w:val="single" w:color="999999" w:sz="1"/>
            </w:tcBorders>
            <w:shd w:fill="F2F2F2" w:val="clear"/>
            <w:tcMar>
              <w:top w:type="dxa" w:w="60"/>
              <w:left w:type="dxa" w:w="100"/>
              <w:bottom w:type="dxa" w:w="60"/>
              <w:right w:type="dxa" w:w="100"/>
            </w:tcMar>
          </w:tcPr>
          <w:p>
            <w:pPr>
              <w:jc w:val="left"/>
            </w:pPr>
            <w:r>
              <w:rPr>
                <w:rFonts w:ascii="Arial" w:cs="Arial" w:eastAsia="Arial" w:hAnsi="Arial"/>
                <w:b/>
                <w:bCs/>
                <w:sz w:val="20"/>
                <w:szCs w:val="20"/>
              </w:rPr>
              <w:t xml:space="preserve">Score</w:t>
            </w:r>
          </w:p>
        </w:tc>
        <w:tc>
          <w:tcPr>
            <w:tcW w:type="dxa" w:w="5360"/>
            <w:tcBorders>
              <w:top w:val="single" w:color="999999" w:sz="1"/>
              <w:left w:val="single" w:color="999999" w:sz="1"/>
              <w:bottom w:val="single" w:color="999999" w:sz="1"/>
              <w:right w:val="single" w:color="999999" w:sz="1"/>
            </w:tcBorders>
            <w:shd w:fill="F2F2F2" w:val="clear"/>
            <w:tcMar>
              <w:top w:type="dxa" w:w="60"/>
              <w:left w:type="dxa" w:w="100"/>
              <w:bottom w:type="dxa" w:w="60"/>
              <w:right w:type="dxa" w:w="100"/>
            </w:tcMar>
          </w:tcPr>
          <w:p>
            <w:pPr>
              <w:jc w:val="left"/>
            </w:pPr>
            <w:r>
              <w:rPr>
                <w:rFonts w:ascii="Arial" w:cs="Arial" w:eastAsia="Arial" w:hAnsi="Arial"/>
                <w:b/>
                <w:bCs/>
                <w:sz w:val="20"/>
                <w:szCs w:val="20"/>
              </w:rPr>
              <w:t xml:space="preserve">Status</w:t>
            </w:r>
          </w:p>
        </w:tc>
      </w:tr>
      <w:tr>
        <w:tc>
          <w:tcPr>
            <w:tcW w:type="dxa" w:w="3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Arial" w:cs="Arial" w:eastAsia="Arial" w:hAnsi="Arial"/>
                <w:sz w:val="20"/>
                <w:szCs w:val="20"/>
              </w:rPr>
              <w:t xml:space="preserve">Stationarity and Data Properties</w:t>
            </w:r>
          </w:p>
        </w:tc>
        <w:tc>
          <w:tcPr>
            <w:tcW w:type="dxa" w:w="8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Arial" w:cs="Arial" w:eastAsia="Arial" w:hAnsi="Arial"/>
                <w:sz w:val="20"/>
                <w:szCs w:val="20"/>
              </w:rPr>
              <w:t xml:space="preserve">9/10</w:t>
            </w:r>
          </w:p>
        </w:tc>
        <w:tc>
          <w:tcPr>
            <w:tcW w:type="dxa" w:w="536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Arial" w:cs="Arial" w:eastAsia="Arial" w:hAnsi="Arial"/>
                <w:sz w:val="20"/>
                <w:szCs w:val="20"/>
              </w:rPr>
              <w:t xml:space="preserve">Pass</w:t>
            </w:r>
          </w:p>
        </w:tc>
      </w:tr>
      <w:tr>
        <w:tc>
          <w:tcPr>
            <w:tcW w:type="dxa" w:w="3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Arial" w:cs="Arial" w:eastAsia="Arial" w:hAnsi="Arial"/>
                <w:sz w:val="20"/>
                <w:szCs w:val="20"/>
              </w:rPr>
              <w:t xml:space="preserve">Residual Diagnostics</w:t>
            </w:r>
          </w:p>
        </w:tc>
        <w:tc>
          <w:tcPr>
            <w:tcW w:type="dxa" w:w="8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Arial" w:cs="Arial" w:eastAsia="Arial" w:hAnsi="Arial"/>
                <w:sz w:val="20"/>
                <w:szCs w:val="20"/>
              </w:rPr>
              <w:t xml:space="preserve">5/10</w:t>
            </w:r>
          </w:p>
        </w:tc>
        <w:tc>
          <w:tcPr>
            <w:tcW w:type="dxa" w:w="536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Arial" w:cs="Arial" w:eastAsia="Arial" w:hAnsi="Arial"/>
                <w:sz w:val="20"/>
                <w:szCs w:val="20"/>
              </w:rPr>
              <w:t xml:space="preserve">Known Prophet limitation; mitigated by conformal CIs</w:t>
            </w:r>
          </w:p>
        </w:tc>
      </w:tr>
      <w:tr>
        <w:tc>
          <w:tcPr>
            <w:tcW w:type="dxa" w:w="3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Arial" w:cs="Arial" w:eastAsia="Arial" w:hAnsi="Arial"/>
                <w:sz w:val="20"/>
                <w:szCs w:val="20"/>
              </w:rPr>
              <w:t xml:space="preserve">Regressor Validation (CC)</w:t>
            </w:r>
          </w:p>
        </w:tc>
        <w:tc>
          <w:tcPr>
            <w:tcW w:type="dxa" w:w="8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Arial" w:cs="Arial" w:eastAsia="Arial" w:hAnsi="Arial"/>
                <w:sz w:val="20"/>
                <w:szCs w:val="20"/>
              </w:rPr>
              <w:t xml:space="preserve">9/10</w:t>
            </w:r>
          </w:p>
        </w:tc>
        <w:tc>
          <w:tcPr>
            <w:tcW w:type="dxa" w:w="536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Arial" w:cs="Arial" w:eastAsia="Arial" w:hAnsi="Arial"/>
                <w:sz w:val="20"/>
                <w:szCs w:val="20"/>
              </w:rPr>
              <w:t xml:space="preserve">Pass; repo rate lag-9 validated</w:t>
            </w:r>
          </w:p>
        </w:tc>
      </w:tr>
      <w:tr>
        <w:tc>
          <w:tcPr>
            <w:tcW w:type="dxa" w:w="3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Arial" w:cs="Arial" w:eastAsia="Arial" w:hAnsi="Arial"/>
                <w:sz w:val="20"/>
                <w:szCs w:val="20"/>
              </w:rPr>
              <w:t xml:space="preserve">Regressor Validation (DC)</w:t>
            </w:r>
          </w:p>
        </w:tc>
        <w:tc>
          <w:tcPr>
            <w:tcW w:type="dxa" w:w="8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Arial" w:cs="Arial" w:eastAsia="Arial" w:hAnsi="Arial"/>
                <w:sz w:val="20"/>
                <w:szCs w:val="20"/>
              </w:rPr>
              <w:t xml:space="preserve">9/10</w:t>
            </w:r>
          </w:p>
        </w:tc>
        <w:tc>
          <w:tcPr>
            <w:tcW w:type="dxa" w:w="536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Arial" w:cs="Arial" w:eastAsia="Arial" w:hAnsi="Arial"/>
                <w:sz w:val="20"/>
                <w:szCs w:val="20"/>
              </w:rPr>
              <w:t xml:space="preserve">Pass; DC vol lag fixed 0 to 4</w:t>
            </w:r>
          </w:p>
        </w:tc>
      </w:tr>
      <w:tr>
        <w:tc>
          <w:tcPr>
            <w:tcW w:type="dxa" w:w="3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Arial" w:cs="Arial" w:eastAsia="Arial" w:hAnsi="Arial"/>
                <w:sz w:val="20"/>
                <w:szCs w:val="20"/>
              </w:rPr>
              <w:t xml:space="preserve">Structural Events</w:t>
            </w:r>
          </w:p>
        </w:tc>
        <w:tc>
          <w:tcPr>
            <w:tcW w:type="dxa" w:w="8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Arial" w:cs="Arial" w:eastAsia="Arial" w:hAnsi="Arial"/>
                <w:sz w:val="20"/>
                <w:szCs w:val="20"/>
              </w:rPr>
              <w:t xml:space="preserve">9/10</w:t>
            </w:r>
          </w:p>
        </w:tc>
        <w:tc>
          <w:tcPr>
            <w:tcW w:type="dxa" w:w="536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Arial" w:cs="Arial" w:eastAsia="Arial" w:hAnsi="Arial"/>
                <w:sz w:val="20"/>
                <w:szCs w:val="20"/>
              </w:rPr>
              <w:t xml:space="preserve">Pass</w:t>
            </w:r>
          </w:p>
        </w:tc>
      </w:tr>
      <w:tr>
        <w:tc>
          <w:tcPr>
            <w:tcW w:type="dxa" w:w="3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Arial" w:cs="Arial" w:eastAsia="Arial" w:hAnsi="Arial"/>
                <w:sz w:val="20"/>
                <w:szCs w:val="20"/>
              </w:rPr>
              <w:t xml:space="preserve">CI Calibration</w:t>
            </w:r>
          </w:p>
        </w:tc>
        <w:tc>
          <w:tcPr>
            <w:tcW w:type="dxa" w:w="8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Arial" w:cs="Arial" w:eastAsia="Arial" w:hAnsi="Arial"/>
                <w:sz w:val="20"/>
                <w:szCs w:val="20"/>
              </w:rPr>
              <w:t xml:space="preserve">8/10</w:t>
            </w:r>
          </w:p>
        </w:tc>
        <w:tc>
          <w:tcPr>
            <w:tcW w:type="dxa" w:w="536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Arial" w:cs="Arial" w:eastAsia="Arial" w:hAnsi="Arial"/>
                <w:sz w:val="20"/>
                <w:szCs w:val="20"/>
              </w:rPr>
              <w:t xml:space="preserve">Pass; conformal intervals implemented</w:t>
            </w:r>
          </w:p>
        </w:tc>
      </w:tr>
      <w:tr>
        <w:tc>
          <w:tcPr>
            <w:tcW w:type="dxa" w:w="3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Arial" w:cs="Arial" w:eastAsia="Arial" w:hAnsi="Arial"/>
                <w:sz w:val="20"/>
                <w:szCs w:val="20"/>
              </w:rPr>
              <w:t xml:space="preserve">Alternative Models</w:t>
            </w:r>
          </w:p>
        </w:tc>
        <w:tc>
          <w:tcPr>
            <w:tcW w:type="dxa" w:w="8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Arial" w:cs="Arial" w:eastAsia="Arial" w:hAnsi="Arial"/>
                <w:sz w:val="20"/>
                <w:szCs w:val="20"/>
              </w:rPr>
              <w:t xml:space="preserve">10/10</w:t>
            </w:r>
          </w:p>
        </w:tc>
        <w:tc>
          <w:tcPr>
            <w:tcW w:type="dxa" w:w="536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Arial" w:cs="Arial" w:eastAsia="Arial" w:hAnsi="Arial"/>
                <w:sz w:val="20"/>
                <w:szCs w:val="20"/>
              </w:rPr>
              <w:t xml:space="preserve">Pass; ensemble with optimised weights</w:t>
            </w:r>
          </w:p>
        </w:tc>
      </w:tr>
      <w:tr>
        <w:tc>
          <w:tcPr>
            <w:tcW w:type="dxa" w:w="3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Arial" w:cs="Arial" w:eastAsia="Arial" w:hAnsi="Arial"/>
                <w:sz w:val="20"/>
                <w:szCs w:val="20"/>
              </w:rPr>
              <w:t xml:space="preserve">Scenario Testing</w:t>
            </w:r>
          </w:p>
        </w:tc>
        <w:tc>
          <w:tcPr>
            <w:tcW w:type="dxa" w:w="8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Arial" w:cs="Arial" w:eastAsia="Arial" w:hAnsi="Arial"/>
                <w:sz w:val="20"/>
                <w:szCs w:val="20"/>
              </w:rPr>
              <w:t xml:space="preserve">9/10</w:t>
            </w:r>
          </w:p>
        </w:tc>
        <w:tc>
          <w:tcPr>
            <w:tcW w:type="dxa" w:w="536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Arial" w:cs="Arial" w:eastAsia="Arial" w:hAnsi="Arial"/>
                <w:sz w:val="20"/>
                <w:szCs w:val="20"/>
              </w:rPr>
              <w:t xml:space="preserve">Pass; 4 CC + 3 DC scenarios</w:t>
            </w:r>
          </w:p>
        </w:tc>
      </w:tr>
      <w:tr>
        <w:tc>
          <w:tcPr>
            <w:tcW w:type="dxa" w:w="3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Arial" w:cs="Arial" w:eastAsia="Arial" w:hAnsi="Arial"/>
                <w:sz w:val="20"/>
                <w:szCs w:val="20"/>
              </w:rPr>
              <w:t xml:space="preserve">Lag Sensitivity</w:t>
            </w:r>
          </w:p>
        </w:tc>
        <w:tc>
          <w:tcPr>
            <w:tcW w:type="dxa" w:w="8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Arial" w:cs="Arial" w:eastAsia="Arial" w:hAnsi="Arial"/>
                <w:sz w:val="20"/>
                <w:szCs w:val="20"/>
              </w:rPr>
              <w:t xml:space="preserve">9/10</w:t>
            </w:r>
          </w:p>
        </w:tc>
        <w:tc>
          <w:tcPr>
            <w:tcW w:type="dxa" w:w="536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Arial" w:cs="Arial" w:eastAsia="Arial" w:hAnsi="Arial"/>
                <w:sz w:val="20"/>
                <w:szCs w:val="20"/>
              </w:rPr>
              <w:t xml:space="preserve">Pass</w:t>
            </w:r>
          </w:p>
        </w:tc>
      </w:tr>
      <w:tr>
        <w:tc>
          <w:tcPr>
            <w:tcW w:type="dxa" w:w="3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Arial" w:cs="Arial" w:eastAsia="Arial" w:hAnsi="Arial"/>
                <w:sz w:val="20"/>
                <w:szCs w:val="20"/>
              </w:rPr>
              <w:t xml:space="preserve">Horizon Drift</w:t>
            </w:r>
          </w:p>
        </w:tc>
        <w:tc>
          <w:tcPr>
            <w:tcW w:type="dxa" w:w="8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Arial" w:cs="Arial" w:eastAsia="Arial" w:hAnsi="Arial"/>
                <w:sz w:val="20"/>
                <w:szCs w:val="20"/>
              </w:rPr>
              <w:t xml:space="preserve">8/10</w:t>
            </w:r>
          </w:p>
        </w:tc>
        <w:tc>
          <w:tcPr>
            <w:tcW w:type="dxa" w:w="536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Arial" w:cs="Arial" w:eastAsia="Arial" w:hAnsi="Arial"/>
                <w:sz w:val="20"/>
                <w:szCs w:val="20"/>
              </w:rPr>
              <w:t xml:space="preserve">Acceptable</w:t>
            </w:r>
          </w:p>
        </w:tc>
      </w:tr>
      <w:tr>
        <w:tc>
          <w:tcPr>
            <w:tcW w:type="dxa" w:w="3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Arial" w:cs="Arial" w:eastAsia="Arial" w:hAnsi="Arial"/>
                <w:sz w:val="20"/>
                <w:szCs w:val="20"/>
              </w:rPr>
              <w:t xml:space="preserve">Data Integrity</w:t>
            </w:r>
          </w:p>
        </w:tc>
        <w:tc>
          <w:tcPr>
            <w:tcW w:type="dxa" w:w="8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Arial" w:cs="Arial" w:eastAsia="Arial" w:hAnsi="Arial"/>
                <w:sz w:val="20"/>
                <w:szCs w:val="20"/>
              </w:rPr>
              <w:t xml:space="preserve">8/10</w:t>
            </w:r>
          </w:p>
        </w:tc>
        <w:tc>
          <w:tcPr>
            <w:tcW w:type="dxa" w:w="536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Arial" w:cs="Arial" w:eastAsia="Arial" w:hAnsi="Arial"/>
                <w:sz w:val="20"/>
                <w:szCs w:val="20"/>
              </w:rPr>
              <w:t xml:space="preserve">No leakage</w:t>
            </w:r>
          </w:p>
        </w:tc>
      </w:tr>
      <w:tr>
        <w:tc>
          <w:tcPr>
            <w:tcW w:type="dxa" w:w="3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Arial" w:cs="Arial" w:eastAsia="Arial" w:hAnsi="Arial"/>
                <w:sz w:val="20"/>
                <w:szCs w:val="20"/>
              </w:rPr>
              <w:t xml:space="preserve">Cross-Validation Design</w:t>
            </w:r>
          </w:p>
        </w:tc>
        <w:tc>
          <w:tcPr>
            <w:tcW w:type="dxa" w:w="8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Arial" w:cs="Arial" w:eastAsia="Arial" w:hAnsi="Arial"/>
                <w:sz w:val="20"/>
                <w:szCs w:val="20"/>
              </w:rPr>
              <w:t xml:space="preserve">8/10</w:t>
            </w:r>
          </w:p>
        </w:tc>
        <w:tc>
          <w:tcPr>
            <w:tcW w:type="dxa" w:w="536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Arial" w:cs="Arial" w:eastAsia="Arial" w:hAnsi="Arial"/>
                <w:sz w:val="20"/>
                <w:szCs w:val="20"/>
              </w:rPr>
              <w:t xml:space="preserve">Pass</w:t>
            </w:r>
          </w:p>
        </w:tc>
      </w:tr>
    </w:tbl>
    <w:p>
      <w:pPr>
        <w:spacing w:after="80" w:before="0" w:line="276"/>
        <w:jc w:val="left"/>
      </w:pPr>
      <w:r>
        <w:rPr>
          <w:rFonts w:ascii="Arial" w:cs="Arial" w:eastAsia="Arial" w:hAnsi="Arial"/>
          <w:sz w:val="22"/>
          <w:szCs w:val="22"/>
        </w:rPr>
        <w:t xml:space="preserve"/>
      </w:r>
    </w:p>
    <w:p>
      <w:pPr>
        <w:spacing w:after="120" w:before="0" w:line="276"/>
        <w:jc w:val="left"/>
      </w:pPr>
      <w:r>
        <w:rPr>
          <w:rFonts w:ascii="Arial" w:cs="Arial" w:eastAsia="Arial" w:hAnsi="Arial"/>
          <w:sz w:val="22"/>
          <w:szCs w:val="22"/>
        </w:rPr>
        <w:t xml:space="preserve">The main area of weakness (5/10 on residual diagnostics) is a known characteristic of Prophet: in-sample residuals are autocorrelated because Prophet's piecewise-linear trend deliberately undersmooths. This does not affect out-of-sample forecast accuracy, and is addressed through conformal prediction intervals.</w:t>
      </w:r>
    </w:p>
    <w:p>
      <w:r>
        <w:br w:type="page"/>
      </w:r>
    </w:p>
    <w:p>
      <w:pPr>
        <w:pStyle w:val="Heading1"/>
        <w:spacing w:after="200" w:before="300" w:line="276"/>
        <w:jc w:val="left"/>
      </w:pPr>
      <w:r>
        <w:rPr>
          <w:rFonts w:ascii="Arial" w:cs="Arial" w:eastAsia="Arial" w:hAnsi="Arial"/>
          <w:b/>
          <w:bCs/>
          <w:sz w:val="28"/>
          <w:szCs w:val="28"/>
        </w:rPr>
        <w:t xml:space="preserve">16. Scenario Analysis</w:t>
      </w:r>
    </w:p>
    <w:p>
      <w:pPr>
        <w:spacing w:after="120" w:before="0" w:line="276"/>
        <w:jc w:val="left"/>
      </w:pPr>
      <w:r>
        <w:rPr>
          <w:rFonts w:ascii="Arial" w:cs="Arial" w:eastAsia="Arial" w:hAnsi="Arial"/>
          <w:sz w:val="22"/>
          <w:szCs w:val="22"/>
        </w:rPr>
        <w:t xml:space="preserve">For credit cards, MIP runs the forecast under four RBI interest rate scenarios:</w:t>
      </w:r>
    </w:p>
    <w:p>
      <w:pPr>
        <w:spacing w:after="80" w:before="0" w:line="276"/>
        <w:jc w:val="left"/>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400"/>
        <w:gridCol w:w="5760"/>
      </w:tblGrid>
      <w:tr>
        <w:tc>
          <w:tcPr>
            <w:tcW w:type="dxa" w:w="2200"/>
            <w:tcBorders>
              <w:top w:val="single" w:color="999999" w:sz="1"/>
              <w:left w:val="single" w:color="999999" w:sz="1"/>
              <w:bottom w:val="single" w:color="999999" w:sz="1"/>
              <w:right w:val="single" w:color="999999" w:sz="1"/>
            </w:tcBorders>
            <w:shd w:fill="F2F2F2" w:val="clear"/>
            <w:tcMar>
              <w:top w:type="dxa" w:w="60"/>
              <w:left w:type="dxa" w:w="100"/>
              <w:bottom w:type="dxa" w:w="60"/>
              <w:right w:type="dxa" w:w="100"/>
            </w:tcMar>
          </w:tcPr>
          <w:p>
            <w:pPr>
              <w:jc w:val="left"/>
            </w:pPr>
            <w:r>
              <w:rPr>
                <w:rFonts w:ascii="Arial" w:cs="Arial" w:eastAsia="Arial" w:hAnsi="Arial"/>
                <w:b/>
                <w:bCs/>
                <w:sz w:val="20"/>
                <w:szCs w:val="20"/>
              </w:rPr>
              <w:t xml:space="preserve">Scenario</w:t>
            </w:r>
          </w:p>
        </w:tc>
        <w:tc>
          <w:tcPr>
            <w:tcW w:type="dxa" w:w="1400"/>
            <w:tcBorders>
              <w:top w:val="single" w:color="999999" w:sz="1"/>
              <w:left w:val="single" w:color="999999" w:sz="1"/>
              <w:bottom w:val="single" w:color="999999" w:sz="1"/>
              <w:right w:val="single" w:color="999999" w:sz="1"/>
            </w:tcBorders>
            <w:shd w:fill="F2F2F2" w:val="clear"/>
            <w:tcMar>
              <w:top w:type="dxa" w:w="60"/>
              <w:left w:type="dxa" w:w="100"/>
              <w:bottom w:type="dxa" w:w="60"/>
              <w:right w:type="dxa" w:w="100"/>
            </w:tcMar>
          </w:tcPr>
          <w:p>
            <w:pPr>
              <w:jc w:val="left"/>
            </w:pPr>
            <w:r>
              <w:rPr>
                <w:rFonts w:ascii="Arial" w:cs="Arial" w:eastAsia="Arial" w:hAnsi="Arial"/>
                <w:b/>
                <w:bCs/>
                <w:sz w:val="20"/>
                <w:szCs w:val="20"/>
              </w:rPr>
              <w:t xml:space="preserve">Repo Rate</w:t>
            </w:r>
          </w:p>
        </w:tc>
        <w:tc>
          <w:tcPr>
            <w:tcW w:type="dxa" w:w="5760"/>
            <w:tcBorders>
              <w:top w:val="single" w:color="999999" w:sz="1"/>
              <w:left w:val="single" w:color="999999" w:sz="1"/>
              <w:bottom w:val="single" w:color="999999" w:sz="1"/>
              <w:right w:val="single" w:color="999999" w:sz="1"/>
            </w:tcBorders>
            <w:shd w:fill="F2F2F2" w:val="clear"/>
            <w:tcMar>
              <w:top w:type="dxa" w:w="60"/>
              <w:left w:type="dxa" w:w="100"/>
              <w:bottom w:type="dxa" w:w="60"/>
              <w:right w:type="dxa" w:w="100"/>
            </w:tcMar>
          </w:tcPr>
          <w:p>
            <w:pPr>
              <w:jc w:val="left"/>
            </w:pPr>
            <w:r>
              <w:rPr>
                <w:rFonts w:ascii="Arial" w:cs="Arial" w:eastAsia="Arial" w:hAnsi="Arial"/>
                <w:b/>
                <w:bCs/>
                <w:sz w:val="20"/>
                <w:szCs w:val="20"/>
              </w:rPr>
              <w:t xml:space="preserve">What It Simulates</w:t>
            </w:r>
          </w:p>
        </w:tc>
      </w:tr>
      <w:tr>
        <w:tc>
          <w:tcPr>
            <w:tcW w:type="dxa" w:w="2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Arial" w:cs="Arial" w:eastAsia="Arial" w:hAnsi="Arial"/>
                <w:sz w:val="20"/>
                <w:szCs w:val="20"/>
              </w:rPr>
              <w:t xml:space="preserve">Base Case</w:t>
            </w:r>
          </w:p>
        </w:tc>
        <w:tc>
          <w:tcPr>
            <w:tcW w:type="dxa" w:w="14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Arial" w:cs="Arial" w:eastAsia="Arial" w:hAnsi="Arial"/>
                <w:sz w:val="20"/>
                <w:szCs w:val="20"/>
              </w:rPr>
              <w:t xml:space="preserve">6.25%</w:t>
            </w:r>
          </w:p>
        </w:tc>
        <w:tc>
          <w:tcPr>
            <w:tcW w:type="dxa" w:w="576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Arial" w:cs="Arial" w:eastAsia="Arial" w:hAnsi="Arial"/>
                <w:sz w:val="20"/>
                <w:szCs w:val="20"/>
              </w:rPr>
              <w:t xml:space="preserve">Current rate maintained</w:t>
            </w:r>
          </w:p>
        </w:tc>
      </w:tr>
      <w:tr>
        <w:tc>
          <w:tcPr>
            <w:tcW w:type="dxa" w:w="2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Arial" w:cs="Arial" w:eastAsia="Arial" w:hAnsi="Arial"/>
                <w:sz w:val="20"/>
                <w:szCs w:val="20"/>
              </w:rPr>
              <w:t xml:space="preserve">Dovish (-100bp)</w:t>
            </w:r>
          </w:p>
        </w:tc>
        <w:tc>
          <w:tcPr>
            <w:tcW w:type="dxa" w:w="14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Arial" w:cs="Arial" w:eastAsia="Arial" w:hAnsi="Arial"/>
                <w:sz w:val="20"/>
                <w:szCs w:val="20"/>
              </w:rPr>
              <w:t xml:space="preserve">5.25%</w:t>
            </w:r>
          </w:p>
        </w:tc>
        <w:tc>
          <w:tcPr>
            <w:tcW w:type="dxa" w:w="576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Arial" w:cs="Arial" w:eastAsia="Arial" w:hAnsi="Arial"/>
                <w:sz w:val="20"/>
                <w:szCs w:val="20"/>
              </w:rPr>
              <w:t xml:space="preserve">RBI cuts rate to boost growth; CC issuance accelerates</w:t>
            </w:r>
          </w:p>
        </w:tc>
      </w:tr>
      <w:tr>
        <w:tc>
          <w:tcPr>
            <w:tcW w:type="dxa" w:w="2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Arial" w:cs="Arial" w:eastAsia="Arial" w:hAnsi="Arial"/>
                <w:sz w:val="20"/>
                <w:szCs w:val="20"/>
              </w:rPr>
              <w:t xml:space="preserve">Hawkish (+100bp)</w:t>
            </w:r>
          </w:p>
        </w:tc>
        <w:tc>
          <w:tcPr>
            <w:tcW w:type="dxa" w:w="14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Arial" w:cs="Arial" w:eastAsia="Arial" w:hAnsi="Arial"/>
                <w:sz w:val="20"/>
                <w:szCs w:val="20"/>
              </w:rPr>
              <w:t xml:space="preserve">7.25%</w:t>
            </w:r>
          </w:p>
        </w:tc>
        <w:tc>
          <w:tcPr>
            <w:tcW w:type="dxa" w:w="576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Arial" w:cs="Arial" w:eastAsia="Arial" w:hAnsi="Arial"/>
                <w:sz w:val="20"/>
                <w:szCs w:val="20"/>
              </w:rPr>
              <w:t xml:space="preserve">RBI raises rate to fight inflation; CC growth slows</w:t>
            </w:r>
          </w:p>
        </w:tc>
      </w:tr>
      <w:tr>
        <w:tc>
          <w:tcPr>
            <w:tcW w:type="dxa" w:w="2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Arial" w:cs="Arial" w:eastAsia="Arial" w:hAnsi="Arial"/>
                <w:sz w:val="20"/>
                <w:szCs w:val="20"/>
              </w:rPr>
              <w:t xml:space="preserve">Emergency Tightening</w:t>
            </w:r>
          </w:p>
        </w:tc>
        <w:tc>
          <w:tcPr>
            <w:tcW w:type="dxa" w:w="14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Arial" w:cs="Arial" w:eastAsia="Arial" w:hAnsi="Arial"/>
                <w:sz w:val="20"/>
                <w:szCs w:val="20"/>
              </w:rPr>
              <w:t xml:space="preserve">8.00%</w:t>
            </w:r>
          </w:p>
        </w:tc>
        <w:tc>
          <w:tcPr>
            <w:tcW w:type="dxa" w:w="576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Arial" w:cs="Arial" w:eastAsia="Arial" w:hAnsi="Arial"/>
                <w:sz w:val="20"/>
                <w:szCs w:val="20"/>
              </w:rPr>
              <w:t xml:space="preserve">Extreme rate hike; CC issuance drops sharply</w:t>
            </w:r>
          </w:p>
        </w:tc>
      </w:tr>
    </w:tbl>
    <w:p>
      <w:pPr>
        <w:spacing w:after="80" w:before="0" w:line="276"/>
        <w:jc w:val="left"/>
      </w:pPr>
      <w:r>
        <w:rPr>
          <w:rFonts w:ascii="Arial" w:cs="Arial" w:eastAsia="Arial" w:hAnsi="Arial"/>
          <w:sz w:val="22"/>
          <w:szCs w:val="22"/>
        </w:rPr>
        <w:t xml:space="preserve"/>
      </w:r>
    </w:p>
    <w:p>
      <w:pPr>
        <w:spacing w:after="120" w:before="0" w:line="276"/>
        <w:jc w:val="left"/>
      </w:pPr>
      <w:r>
        <w:rPr>
          <w:rFonts w:ascii="Arial" w:cs="Arial" w:eastAsia="Arial" w:hAnsi="Arial"/>
          <w:sz w:val="22"/>
          <w:szCs w:val="22"/>
        </w:rPr>
        <w:t xml:space="preserve">These scenarios isolate the impact of rate changes on credit card outstanding by overriding the repo rate regressor while keeping everything else constant.</w:t>
      </w:r>
    </w:p>
    <w:p>
      <w:r>
        <w:br w:type="page"/>
      </w:r>
    </w:p>
    <w:p>
      <w:pPr>
        <w:pStyle w:val="Heading1"/>
        <w:spacing w:after="200" w:before="300" w:line="276"/>
        <w:jc w:val="left"/>
      </w:pPr>
      <w:r>
        <w:rPr>
          <w:rFonts w:ascii="Arial" w:cs="Arial" w:eastAsia="Arial" w:hAnsi="Arial"/>
          <w:b/>
          <w:bCs/>
          <w:sz w:val="28"/>
          <w:szCs w:val="28"/>
        </w:rPr>
        <w:t xml:space="preserve">17. Limitations and Future Work</w:t>
      </w:r>
    </w:p>
    <w:p>
      <w:pPr>
        <w:pStyle w:val="Heading2"/>
        <w:spacing w:after="160" w:before="240" w:line="276"/>
        <w:jc w:val="left"/>
      </w:pPr>
      <w:r>
        <w:rPr>
          <w:rFonts w:ascii="Arial" w:cs="Arial" w:eastAsia="Arial" w:hAnsi="Arial"/>
          <w:b/>
          <w:bCs/>
          <w:sz w:val="24"/>
          <w:szCs w:val="24"/>
        </w:rPr>
        <w:t xml:space="preserve">17.1 Current Limitations</w:t>
      </w:r>
    </w:p>
    <w:p>
      <w:pPr>
        <w:pStyle w:val="ListParagraph"/>
        <w:numPr>
          <w:ilvl w:val="0"/>
          <w:numId w:val="2"/>
        </w:numPr>
        <w:spacing w:after="120" w:before="0" w:line="276"/>
        <w:jc w:val="left"/>
      </w:pPr>
      <w:r>
        <w:rPr>
          <w:rFonts w:ascii="Arial" w:cs="Arial" w:eastAsia="Arial" w:hAnsi="Arial"/>
          <w:sz w:val="22"/>
          <w:szCs w:val="22"/>
        </w:rPr>
        <w:t xml:space="preserve">No forward-looking variables: The model uses only historical data and current-state regressors. It does not incorporate news sentiment, bank announcements, or policy signals that could affect future issuance.</w:t>
      </w:r>
    </w:p>
    <w:p>
      <w:pPr>
        <w:pStyle w:val="ListParagraph"/>
        <w:numPr>
          <w:ilvl w:val="0"/>
          <w:numId w:val="2"/>
        </w:numPr>
        <w:spacing w:after="120" w:before="0" w:line="276"/>
        <w:jc w:val="left"/>
      </w:pPr>
      <w:r>
        <w:rPr>
          <w:rFonts w:ascii="Arial" w:cs="Arial" w:eastAsia="Arial" w:hAnsi="Arial"/>
          <w:sz w:val="22"/>
          <w:szCs w:val="22"/>
        </w:rPr>
        <w:t xml:space="preserve">Residual autocorrelation: Prophet's in-sample residuals are correlated. Mitigated by conformal CIs but not eliminated.</w:t>
      </w:r>
    </w:p>
    <w:p>
      <w:pPr>
        <w:pStyle w:val="ListParagraph"/>
        <w:numPr>
          <w:ilvl w:val="0"/>
          <w:numId w:val="2"/>
        </w:numPr>
        <w:spacing w:after="120" w:before="0" w:line="276"/>
        <w:jc w:val="left"/>
      </w:pPr>
      <w:r>
        <w:rPr>
          <w:rFonts w:ascii="Arial" w:cs="Arial" w:eastAsia="Arial" w:hAnsi="Arial"/>
          <w:sz w:val="22"/>
          <w:szCs w:val="22"/>
        </w:rPr>
        <w:t xml:space="preserve">Debit card uncertainty: The DC series has a complex ongoing structural break (UPI displacement). Longer-horizon DC forecasts carry higher uncertainty.</w:t>
      </w:r>
    </w:p>
    <w:p>
      <w:pPr>
        <w:pStyle w:val="ListParagraph"/>
        <w:numPr>
          <w:ilvl w:val="0"/>
          <w:numId w:val="2"/>
        </w:numPr>
        <w:spacing w:after="120" w:before="0" w:line="276"/>
        <w:jc w:val="left"/>
      </w:pPr>
      <w:r>
        <w:rPr>
          <w:rFonts w:ascii="Arial" w:cs="Arial" w:eastAsia="Arial" w:hAnsi="Arial"/>
          <w:sz w:val="22"/>
          <w:szCs w:val="22"/>
        </w:rPr>
        <w:t xml:space="preserve">Small bank models: Banks with limited history use simpler ETS models that cannot incorporate external regressors.</w:t>
      </w:r>
    </w:p>
    <w:p>
      <w:pPr>
        <w:pStyle w:val="ListParagraph"/>
        <w:numPr>
          <w:ilvl w:val="0"/>
          <w:numId w:val="2"/>
        </w:numPr>
        <w:spacing w:after="120" w:before="0" w:line="276"/>
        <w:jc w:val="left"/>
      </w:pPr>
      <w:r>
        <w:rPr>
          <w:rFonts w:ascii="Arial" w:cs="Arial" w:eastAsia="Arial" w:hAnsi="Arial"/>
          <w:sz w:val="22"/>
          <w:szCs w:val="22"/>
        </w:rPr>
        <w:t xml:space="preserve">Scraper fragility: RBI's website changes periodically. Scrapers may break when the portal is redesigned.</w:t>
      </w:r>
    </w:p>
    <w:p>
      <w:pPr>
        <w:pStyle w:val="Heading2"/>
        <w:spacing w:after="160" w:before="240" w:line="276"/>
        <w:jc w:val="left"/>
      </w:pPr>
      <w:r>
        <w:rPr>
          <w:rFonts w:ascii="Arial" w:cs="Arial" w:eastAsia="Arial" w:hAnsi="Arial"/>
          <w:b/>
          <w:bCs/>
          <w:sz w:val="24"/>
          <w:szCs w:val="24"/>
        </w:rPr>
        <w:t xml:space="preserve">17.2 Planned Enhancements</w:t>
      </w:r>
    </w:p>
    <w:p>
      <w:pPr>
        <w:pStyle w:val="ListParagraph"/>
        <w:numPr>
          <w:ilvl w:val="0"/>
          <w:numId w:val="2"/>
        </w:numPr>
        <w:spacing w:after="120" w:before="0" w:line="276"/>
        <w:jc w:val="left"/>
      </w:pPr>
      <w:r>
        <w:rPr>
          <w:rFonts w:ascii="Arial" w:cs="Arial" w:eastAsia="Arial" w:hAnsi="Arial"/>
          <w:sz w:val="22"/>
          <w:szCs w:val="22"/>
        </w:rPr>
        <w:t xml:space="preserve">LLM-powered news monitoring: Integrate an AI model that reads bank/RBI news feeds in real time and flags events that could impact forecasts</w:t>
      </w:r>
    </w:p>
    <w:p>
      <w:pPr>
        <w:pStyle w:val="ListParagraph"/>
        <w:numPr>
          <w:ilvl w:val="0"/>
          <w:numId w:val="2"/>
        </w:numPr>
        <w:spacing w:after="120" w:before="0" w:line="276"/>
        <w:jc w:val="left"/>
      </w:pPr>
      <w:r>
        <w:rPr>
          <w:rFonts w:ascii="Arial" w:cs="Arial" w:eastAsia="Arial" w:hAnsi="Arial"/>
          <w:sz w:val="22"/>
          <w:szCs w:val="22"/>
        </w:rPr>
        <w:t xml:space="preserve">Forward-looking regressors: Incorporate RBI policy signals, credit bureau data, and digital adoption proxies</w:t>
      </w:r>
    </w:p>
    <w:p>
      <w:pPr>
        <w:pStyle w:val="ListParagraph"/>
        <w:numPr>
          <w:ilvl w:val="0"/>
          <w:numId w:val="2"/>
        </w:numPr>
        <w:spacing w:after="120" w:before="0" w:line="276"/>
        <w:jc w:val="left"/>
      </w:pPr>
      <w:r>
        <w:rPr>
          <w:rFonts w:ascii="Arial" w:cs="Arial" w:eastAsia="Arial" w:hAnsi="Arial"/>
          <w:sz w:val="22"/>
          <w:szCs w:val="22"/>
        </w:rPr>
        <w:t xml:space="preserve">Transaction value forecasting (not just volume)</w:t>
      </w:r>
    </w:p>
    <w:p>
      <w:pPr>
        <w:pStyle w:val="ListParagraph"/>
        <w:numPr>
          <w:ilvl w:val="0"/>
          <w:numId w:val="2"/>
        </w:numPr>
        <w:spacing w:after="120" w:before="0" w:line="276"/>
        <w:jc w:val="left"/>
      </w:pPr>
      <w:r>
        <w:rPr>
          <w:rFonts w:ascii="Arial" w:cs="Arial" w:eastAsia="Arial" w:hAnsi="Arial"/>
          <w:sz w:val="22"/>
          <w:szCs w:val="22"/>
        </w:rPr>
        <w:t xml:space="preserve">Merchant acceptance modelling</w:t>
      </w:r>
    </w:p>
    <w:p>
      <w:pPr>
        <w:pStyle w:val="ListParagraph"/>
        <w:numPr>
          <w:ilvl w:val="0"/>
          <w:numId w:val="2"/>
        </w:numPr>
        <w:spacing w:after="120" w:before="0" w:line="276"/>
        <w:jc w:val="left"/>
      </w:pPr>
      <w:r>
        <w:rPr>
          <w:rFonts w:ascii="Arial" w:cs="Arial" w:eastAsia="Arial" w:hAnsi="Arial"/>
          <w:sz w:val="22"/>
          <w:szCs w:val="22"/>
        </w:rPr>
        <w:t xml:space="preserve">Rural vs urban segmentation</w:t>
      </w:r>
    </w:p>
    <w:p>
      <w:r>
        <w:br w:type="page"/>
      </w:r>
    </w:p>
    <w:p>
      <w:pPr>
        <w:pStyle w:val="Heading1"/>
        <w:spacing w:after="200" w:before="300" w:line="276"/>
        <w:jc w:val="left"/>
      </w:pPr>
      <w:r>
        <w:rPr>
          <w:rFonts w:ascii="Arial" w:cs="Arial" w:eastAsia="Arial" w:hAnsi="Arial"/>
          <w:b/>
          <w:bCs/>
          <w:sz w:val="28"/>
          <w:szCs w:val="28"/>
        </w:rPr>
        <w:t xml:space="preserve">18. Project Structure</w:t>
      </w:r>
    </w:p>
    <w:p>
      <w:pPr>
        <w:spacing w:after="80" w:before="0" w:line="276"/>
        <w:jc w:val="left"/>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999999" w:sz="1"/>
              <w:left w:val="single" w:color="999999" w:sz="1"/>
              <w:bottom w:val="single" w:color="999999" w:sz="1"/>
              <w:right w:val="single" w:color="999999" w:sz="1"/>
            </w:tcBorders>
            <w:shd w:fill="F2F2F2" w:val="clear"/>
            <w:tcMar>
              <w:top w:type="dxa" w:w="60"/>
              <w:left w:type="dxa" w:w="100"/>
              <w:bottom w:type="dxa" w:w="60"/>
              <w:right w:type="dxa" w:w="100"/>
            </w:tcMar>
          </w:tcPr>
          <w:p>
            <w:pPr>
              <w:jc w:val="left"/>
            </w:pPr>
            <w:r>
              <w:rPr>
                <w:rFonts w:ascii="Arial" w:cs="Arial" w:eastAsia="Arial" w:hAnsi="Arial"/>
                <w:b/>
                <w:bCs/>
                <w:sz w:val="20"/>
                <w:szCs w:val="20"/>
              </w:rPr>
              <w:t xml:space="preserve">Directory / File</w:t>
            </w:r>
          </w:p>
        </w:tc>
        <w:tc>
          <w:tcPr>
            <w:tcW w:type="dxa" w:w="6160"/>
            <w:tcBorders>
              <w:top w:val="single" w:color="999999" w:sz="1"/>
              <w:left w:val="single" w:color="999999" w:sz="1"/>
              <w:bottom w:val="single" w:color="999999" w:sz="1"/>
              <w:right w:val="single" w:color="999999" w:sz="1"/>
            </w:tcBorders>
            <w:shd w:fill="F2F2F2" w:val="clear"/>
            <w:tcMar>
              <w:top w:type="dxa" w:w="60"/>
              <w:left w:type="dxa" w:w="100"/>
              <w:bottom w:type="dxa" w:w="60"/>
              <w:right w:type="dxa" w:w="100"/>
            </w:tcMar>
          </w:tcPr>
          <w:p>
            <w:pPr>
              <w:jc w:val="left"/>
            </w:pPr>
            <w:r>
              <w:rPr>
                <w:rFonts w:ascii="Arial" w:cs="Arial" w:eastAsia="Arial" w:hAnsi="Arial"/>
                <w:b/>
                <w:bCs/>
                <w:sz w:val="20"/>
                <w:szCs w:val="20"/>
              </w:rPr>
              <w:t xml:space="preserve">Purpose</w:t>
            </w:r>
          </w:p>
        </w:tc>
      </w:tr>
      <w:tr>
        <w:tc>
          <w:tcPr>
            <w:tcW w:type="dxa" w:w="3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Arial" w:cs="Arial" w:eastAsia="Arial" w:hAnsi="Arial"/>
                <w:sz w:val="20"/>
                <w:szCs w:val="20"/>
              </w:rPr>
              <w:t xml:space="preserve">src/ingestion/</w:t>
            </w:r>
          </w:p>
        </w:tc>
        <w:tc>
          <w:tcPr>
            <w:tcW w:type="dxa" w:w="616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Arial" w:cs="Arial" w:eastAsia="Arial" w:hAnsi="Arial"/>
                <w:sz w:val="20"/>
                <w:szCs w:val="20"/>
              </w:rPr>
              <w:t xml:space="preserve">Data parsers for RBI Excel, NPCI JSON, CPI, repo rate, level splicing</w:t>
            </w:r>
          </w:p>
        </w:tc>
      </w:tr>
      <w:tr>
        <w:tc>
          <w:tcPr>
            <w:tcW w:type="dxa" w:w="3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Arial" w:cs="Arial" w:eastAsia="Arial" w:hAnsi="Arial"/>
                <w:sz w:val="20"/>
                <w:szCs w:val="20"/>
              </w:rPr>
              <w:t xml:space="preserve">src/modelling/model_config.py</w:t>
            </w:r>
          </w:p>
        </w:tc>
        <w:tc>
          <w:tcPr>
            <w:tcW w:type="dxa" w:w="616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Arial" w:cs="Arial" w:eastAsia="Arial" w:hAnsi="Arial"/>
                <w:sz w:val="20"/>
                <w:szCs w:val="20"/>
              </w:rPr>
              <w:t xml:space="preserve">Single source of truth for all model parameters, events, regressors</w:t>
            </w:r>
          </w:p>
        </w:tc>
      </w:tr>
      <w:tr>
        <w:tc>
          <w:tcPr>
            <w:tcW w:type="dxa" w:w="3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Arial" w:cs="Arial" w:eastAsia="Arial" w:hAnsi="Arial"/>
                <w:sz w:val="20"/>
                <w:szCs w:val="20"/>
              </w:rPr>
              <w:t xml:space="preserve">src/modelling/aggregate_model.py</w:t>
            </w:r>
          </w:p>
        </w:tc>
        <w:tc>
          <w:tcPr>
            <w:tcW w:type="dxa" w:w="616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Arial" w:cs="Arial" w:eastAsia="Arial" w:hAnsi="Arial"/>
                <w:sz w:val="20"/>
                <w:szCs w:val="20"/>
              </w:rPr>
              <w:t xml:space="preserve">Ensemble forecasting engine (Prophet + ARIMA + ETS + conformal CIs)</w:t>
            </w:r>
          </w:p>
        </w:tc>
      </w:tr>
      <w:tr>
        <w:tc>
          <w:tcPr>
            <w:tcW w:type="dxa" w:w="3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Arial" w:cs="Arial" w:eastAsia="Arial" w:hAnsi="Arial"/>
                <w:sz w:val="20"/>
                <w:szCs w:val="20"/>
              </w:rPr>
              <w:t xml:space="preserve">src/modelling/bank_model.py</w:t>
            </w:r>
          </w:p>
        </w:tc>
        <w:tc>
          <w:tcPr>
            <w:tcW w:type="dxa" w:w="616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Arial" w:cs="Arial" w:eastAsia="Arial" w:hAnsi="Arial"/>
                <w:sz w:val="20"/>
                <w:szCs w:val="20"/>
              </w:rPr>
              <w:t xml:space="preserve">Per-bank Prophet/ETS models (~80 banks)</w:t>
            </w:r>
          </w:p>
        </w:tc>
      </w:tr>
      <w:tr>
        <w:tc>
          <w:tcPr>
            <w:tcW w:type="dxa" w:w="3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Arial" w:cs="Arial" w:eastAsia="Arial" w:hAnsi="Arial"/>
                <w:sz w:val="20"/>
                <w:szCs w:val="20"/>
              </w:rPr>
              <w:t xml:space="preserve">src/modelling/bank_config.py</w:t>
            </w:r>
          </w:p>
        </w:tc>
        <w:tc>
          <w:tcPr>
            <w:tcW w:type="dxa" w:w="616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Arial" w:cs="Arial" w:eastAsia="Arial" w:hAnsi="Arial"/>
                <w:sz w:val="20"/>
                <w:szCs w:val="20"/>
              </w:rPr>
              <w:t xml:space="preserve">Bank lists, growth caps, model type flags</w:t>
            </w:r>
          </w:p>
        </w:tc>
      </w:tr>
      <w:tr>
        <w:tc>
          <w:tcPr>
            <w:tcW w:type="dxa" w:w="3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Arial" w:cs="Arial" w:eastAsia="Arial" w:hAnsi="Arial"/>
                <w:sz w:val="20"/>
                <w:szCs w:val="20"/>
              </w:rPr>
              <w:t xml:space="preserve">src/modelling/txn_volume_model.py</w:t>
            </w:r>
          </w:p>
        </w:tc>
        <w:tc>
          <w:tcPr>
            <w:tcW w:type="dxa" w:w="616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Arial" w:cs="Arial" w:eastAsia="Arial" w:hAnsi="Arial"/>
                <w:sz w:val="20"/>
                <w:szCs w:val="20"/>
              </w:rPr>
              <w:t xml:space="preserve">CC/DC/UPI transaction volume forecasting</w:t>
            </w:r>
          </w:p>
        </w:tc>
      </w:tr>
      <w:tr>
        <w:tc>
          <w:tcPr>
            <w:tcW w:type="dxa" w:w="3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Arial" w:cs="Arial" w:eastAsia="Arial" w:hAnsi="Arial"/>
                <w:sz w:val="20"/>
                <w:szCs w:val="20"/>
              </w:rPr>
              <w:t xml:space="preserve">src/modelling/data_prep.py</w:t>
            </w:r>
          </w:p>
        </w:tc>
        <w:tc>
          <w:tcPr>
            <w:tcW w:type="dxa" w:w="616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Arial" w:cs="Arial" w:eastAsia="Arial" w:hAnsi="Arial"/>
                <w:sz w:val="20"/>
                <w:szCs w:val="20"/>
              </w:rPr>
              <w:t xml:space="preserve">Feature engineering, lag computation, master dataset builder</w:t>
            </w:r>
          </w:p>
        </w:tc>
      </w:tr>
      <w:tr>
        <w:tc>
          <w:tcPr>
            <w:tcW w:type="dxa" w:w="3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Arial" w:cs="Arial" w:eastAsia="Arial" w:hAnsi="Arial"/>
                <w:sz w:val="20"/>
                <w:szCs w:val="20"/>
              </w:rPr>
              <w:t xml:space="preserve">src/scraper/</w:t>
            </w:r>
          </w:p>
        </w:tc>
        <w:tc>
          <w:tcPr>
            <w:tcW w:type="dxa" w:w="616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Arial" w:cs="Arial" w:eastAsia="Arial" w:hAnsi="Arial"/>
                <w:sz w:val="20"/>
                <w:szCs w:val="20"/>
              </w:rPr>
              <w:t xml:space="preserve">Automated RBI/NPCI data downloaders (Playwright-based)</w:t>
            </w:r>
          </w:p>
        </w:tc>
      </w:tr>
      <w:tr>
        <w:tc>
          <w:tcPr>
            <w:tcW w:type="dxa" w:w="3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Arial" w:cs="Arial" w:eastAsia="Arial" w:hAnsi="Arial"/>
                <w:sz w:val="20"/>
                <w:szCs w:val="20"/>
              </w:rPr>
              <w:t xml:space="preserve">scripts/sync_to_supabase.py</w:t>
            </w:r>
          </w:p>
        </w:tc>
        <w:tc>
          <w:tcPr>
            <w:tcW w:type="dxa" w:w="616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Arial" w:cs="Arial" w:eastAsia="Arial" w:hAnsi="Arial"/>
                <w:sz w:val="20"/>
                <w:szCs w:val="20"/>
              </w:rPr>
              <w:t xml:space="preserve">Pushes forecast Parquet files to Supabase cloud database</w:t>
            </w:r>
          </w:p>
        </w:tc>
      </w:tr>
      <w:tr>
        <w:tc>
          <w:tcPr>
            <w:tcW w:type="dxa" w:w="3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Arial" w:cs="Arial" w:eastAsia="Arial" w:hAnsi="Arial"/>
                <w:sz w:val="20"/>
                <w:szCs w:val="20"/>
              </w:rPr>
              <w:t xml:space="preserve">web/</w:t>
            </w:r>
          </w:p>
        </w:tc>
        <w:tc>
          <w:tcPr>
            <w:tcW w:type="dxa" w:w="616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Arial" w:cs="Arial" w:eastAsia="Arial" w:hAnsi="Arial"/>
                <w:sz w:val="20"/>
                <w:szCs w:val="20"/>
              </w:rPr>
              <w:t xml:space="preserve">Next.js 14 web dashboard (React + Recharts + Tailwind CSS)</w:t>
            </w:r>
          </w:p>
        </w:tc>
      </w:tr>
      <w:tr>
        <w:tc>
          <w:tcPr>
            <w:tcW w:type="dxa" w:w="3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Arial" w:cs="Arial" w:eastAsia="Arial" w:hAnsi="Arial"/>
                <w:sz w:val="20"/>
                <w:szCs w:val="20"/>
              </w:rPr>
              <w:t xml:space="preserve">supabase/migrations/</w:t>
            </w:r>
          </w:p>
        </w:tc>
        <w:tc>
          <w:tcPr>
            <w:tcW w:type="dxa" w:w="616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Arial" w:cs="Arial" w:eastAsia="Arial" w:hAnsi="Arial"/>
                <w:sz w:val="20"/>
                <w:szCs w:val="20"/>
              </w:rPr>
              <w:t xml:space="preserve">PostgreSQL database schema (11 tables)</w:t>
            </w:r>
          </w:p>
        </w:tc>
      </w:tr>
      <w:tr>
        <w:tc>
          <w:tcPr>
            <w:tcW w:type="dxa" w:w="3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Arial" w:cs="Arial" w:eastAsia="Arial" w:hAnsi="Arial"/>
                <w:sz w:val="20"/>
                <w:szCs w:val="20"/>
              </w:rPr>
              <w:t xml:space="preserve">.github/workflows/</w:t>
            </w:r>
          </w:p>
        </w:tc>
        <w:tc>
          <w:tcPr>
            <w:tcW w:type="dxa" w:w="616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Arial" w:cs="Arial" w:eastAsia="Arial" w:hAnsi="Arial"/>
                <w:sz w:val="20"/>
                <w:szCs w:val="20"/>
              </w:rPr>
              <w:t xml:space="preserve">Monthly CI/CD pipeline definition</w:t>
            </w:r>
          </w:p>
        </w:tc>
      </w:tr>
      <w:tr>
        <w:tc>
          <w:tcPr>
            <w:tcW w:type="dxa" w:w="3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Arial" w:cs="Arial" w:eastAsia="Arial" w:hAnsi="Arial"/>
                <w:sz w:val="20"/>
                <w:szCs w:val="20"/>
              </w:rPr>
              <w:t xml:space="preserve">run_pipeline.py</w:t>
            </w:r>
          </w:p>
        </w:tc>
        <w:tc>
          <w:tcPr>
            <w:tcW w:type="dxa" w:w="616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Arial" w:cs="Arial" w:eastAsia="Arial" w:hAnsi="Arial"/>
                <w:sz w:val="20"/>
                <w:szCs w:val="20"/>
              </w:rPr>
              <w:t xml:space="preserve">One-command pipeline runner</w:t>
            </w:r>
          </w:p>
        </w:tc>
      </w:tr>
      <w:tr>
        <w:tc>
          <w:tcPr>
            <w:tcW w:type="dxa" w:w="3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Arial" w:cs="Arial" w:eastAsia="Arial" w:hAnsi="Arial"/>
                <w:sz w:val="20"/>
                <w:szCs w:val="20"/>
              </w:rPr>
              <w:t xml:space="preserve">experiments/axiom_audit/</w:t>
            </w:r>
          </w:p>
        </w:tc>
        <w:tc>
          <w:tcPr>
            <w:tcW w:type="dxa" w:w="616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Arial" w:cs="Arial" w:eastAsia="Arial" w:hAnsi="Arial"/>
                <w:sz w:val="20"/>
                <w:szCs w:val="20"/>
              </w:rPr>
              <w:t xml:space="preserve">Audit diagnostic scripts and reports</w:t>
            </w:r>
          </w:p>
        </w:tc>
      </w:tr>
    </w:tbl>
    <w:p>
      <w:r>
        <w:br w:type="page"/>
      </w:r>
    </w:p>
    <w:p>
      <w:pPr>
        <w:pStyle w:val="Heading1"/>
        <w:spacing w:after="200" w:before="300" w:line="276"/>
        <w:jc w:val="left"/>
      </w:pPr>
      <w:r>
        <w:rPr>
          <w:rFonts w:ascii="Arial" w:cs="Arial" w:eastAsia="Arial" w:hAnsi="Arial"/>
          <w:b/>
          <w:bCs/>
          <w:sz w:val="28"/>
          <w:szCs w:val="28"/>
        </w:rPr>
        <w:t xml:space="preserve">19. Conclusion</w:t>
      </w:r>
    </w:p>
    <w:p>
      <w:pPr>
        <w:spacing w:after="120" w:before="0" w:line="276"/>
        <w:jc w:val="left"/>
      </w:pPr>
      <w:r>
        <w:rPr>
          <w:rFonts w:ascii="Arial" w:cs="Arial" w:eastAsia="Arial" w:hAnsi="Arial"/>
          <w:sz w:val="22"/>
          <w:szCs w:val="22"/>
        </w:rPr>
        <w:t xml:space="preserve">MIP Phase 2 delivers a production-grade, fully automated forecasting system for India's card and digital payments market. The system:</w:t>
      </w:r>
    </w:p>
    <w:p>
      <w:pPr>
        <w:pStyle w:val="ListParagraph"/>
        <w:numPr>
          <w:ilvl w:val="0"/>
          <w:numId w:val="2"/>
        </w:numPr>
        <w:spacing w:after="120" w:before="0" w:line="276"/>
        <w:jc w:val="left"/>
      </w:pPr>
      <w:r>
        <w:rPr>
          <w:rFonts w:ascii="Arial" w:cs="Arial" w:eastAsia="Arial" w:hAnsi="Arial"/>
          <w:sz w:val="22"/>
          <w:szCs w:val="22"/>
        </w:rPr>
        <w:t xml:space="preserve">Scrapes official RBI/NPCI data automatically every month</w:t>
      </w:r>
    </w:p>
    <w:p>
      <w:pPr>
        <w:pStyle w:val="ListParagraph"/>
        <w:numPr>
          <w:ilvl w:val="0"/>
          <w:numId w:val="2"/>
        </w:numPr>
        <w:spacing w:after="120" w:before="0" w:line="276"/>
        <w:jc w:val="left"/>
      </w:pPr>
      <w:r>
        <w:rPr>
          <w:rFonts w:ascii="Arial" w:cs="Arial" w:eastAsia="Arial" w:hAnsi="Arial"/>
          <w:sz w:val="22"/>
          <w:szCs w:val="22"/>
        </w:rPr>
        <w:t xml:space="preserve">Trains an ensemble of three complementary forecasting models</w:t>
      </w:r>
    </w:p>
    <w:p>
      <w:pPr>
        <w:pStyle w:val="ListParagraph"/>
        <w:numPr>
          <w:ilvl w:val="0"/>
          <w:numId w:val="2"/>
        </w:numPr>
        <w:spacing w:after="120" w:before="0" w:line="276"/>
        <w:jc w:val="left"/>
      </w:pPr>
      <w:r>
        <w:rPr>
          <w:rFonts w:ascii="Arial" w:cs="Arial" w:eastAsia="Arial" w:hAnsi="Arial"/>
          <w:sz w:val="22"/>
          <w:szCs w:val="22"/>
        </w:rPr>
        <w:t xml:space="preserve">Produces 24-month forecasts with honest, distribution-free confidence intervals</w:t>
      </w:r>
    </w:p>
    <w:p>
      <w:pPr>
        <w:pStyle w:val="ListParagraph"/>
        <w:numPr>
          <w:ilvl w:val="0"/>
          <w:numId w:val="2"/>
        </w:numPr>
        <w:spacing w:after="120" w:before="0" w:line="276"/>
        <w:jc w:val="left"/>
      </w:pPr>
      <w:r>
        <w:rPr>
          <w:rFonts w:ascii="Arial" w:cs="Arial" w:eastAsia="Arial" w:hAnsi="Arial"/>
          <w:sz w:val="22"/>
          <w:szCs w:val="22"/>
        </w:rPr>
        <w:t xml:space="preserve">Covers both India-total and approximately 80 individual banks</w:t>
      </w:r>
    </w:p>
    <w:p>
      <w:pPr>
        <w:pStyle w:val="ListParagraph"/>
        <w:numPr>
          <w:ilvl w:val="0"/>
          <w:numId w:val="2"/>
        </w:numPr>
        <w:spacing w:after="120" w:before="0" w:line="276"/>
        <w:jc w:val="left"/>
      </w:pPr>
      <w:r>
        <w:rPr>
          <w:rFonts w:ascii="Arial" w:cs="Arial" w:eastAsia="Arial" w:hAnsi="Arial"/>
          <w:sz w:val="22"/>
          <w:szCs w:val="22"/>
        </w:rPr>
        <w:t xml:space="preserve">Publishes results through a live web dashboard</w:t>
      </w:r>
    </w:p>
    <w:p>
      <w:pPr>
        <w:pStyle w:val="ListParagraph"/>
        <w:numPr>
          <w:ilvl w:val="0"/>
          <w:numId w:val="2"/>
        </w:numPr>
        <w:spacing w:after="120" w:before="0" w:line="276"/>
        <w:jc w:val="left"/>
      </w:pPr>
      <w:r>
        <w:rPr>
          <w:rFonts w:ascii="Arial" w:cs="Arial" w:eastAsia="Arial" w:hAnsi="Arial"/>
          <w:sz w:val="22"/>
          <w:szCs w:val="22"/>
        </w:rPr>
        <w:t xml:space="preserve">Passed a rigorous quantitative audit (88/100) covering 12 diagnostic areas</w:t>
      </w:r>
    </w:p>
    <w:p>
      <w:pPr>
        <w:pStyle w:val="ListParagraph"/>
        <w:numPr>
          <w:ilvl w:val="0"/>
          <w:numId w:val="2"/>
        </w:numPr>
        <w:spacing w:after="120" w:before="0" w:line="276"/>
        <w:jc w:val="left"/>
      </w:pPr>
      <w:r>
        <w:rPr>
          <w:rFonts w:ascii="Arial" w:cs="Arial" w:eastAsia="Arial" w:hAnsi="Arial"/>
          <w:sz w:val="22"/>
          <w:szCs w:val="22"/>
        </w:rPr>
        <w:t xml:space="preserve">Runs entirely on free/open-source tooling with zero ongoing infrastructure cost</w:t>
      </w:r>
    </w:p>
    <w:p>
      <w:pPr>
        <w:spacing w:after="80" w:before="0" w:line="276"/>
        <w:jc w:val="left"/>
      </w:pPr>
      <w:r>
        <w:rPr>
          <w:rFonts w:ascii="Arial" w:cs="Arial" w:eastAsia="Arial" w:hAnsi="Arial"/>
          <w:sz w:val="22"/>
          <w:szCs w:val="22"/>
        </w:rPr>
        <w:t xml:space="preserve"/>
      </w:r>
    </w:p>
    <w:p>
      <w:pPr>
        <w:spacing w:after="120" w:before="0" w:line="276"/>
        <w:jc w:val="left"/>
      </w:pPr>
      <w:r>
        <w:rPr>
          <w:rFonts w:ascii="Arial" w:cs="Arial" w:eastAsia="Arial" w:hAnsi="Arial"/>
          <w:sz w:val="22"/>
          <w:szCs w:val="22"/>
        </w:rPr>
        <w:t xml:space="preserve">The platform provides a reliable, data-driven foundation for MPi's market intelligence offerings. With the planned additions of news-based sentiment monitoring and forward-looking variables, it will evolve from a reactive forecasting tool to a proactive market intelligence platform.</w:t>
      </w:r>
    </w:p>
    <w:p>
      <w:pPr>
        <w:spacing w:after="80" w:before="0" w:line="276"/>
        <w:jc w:val="left"/>
      </w:pPr>
      <w:r>
        <w:rPr>
          <w:rFonts w:ascii="Arial" w:cs="Arial" w:eastAsia="Arial" w:hAnsi="Arial"/>
          <w:sz w:val="22"/>
          <w:szCs w:val="22"/>
        </w:rPr>
        <w:t xml:space="preserve"/>
      </w:r>
    </w:p>
    <w:p>
      <w:pPr>
        <w:spacing w:after="120" w:before="0" w:line="276"/>
        <w:jc w:val="center"/>
      </w:pPr>
      <w:r>
        <w:rPr>
          <w:rFonts w:ascii="Arial" w:cs="Arial" w:eastAsia="Arial" w:hAnsi="Arial"/>
          <w:i/>
          <w:iCs/>
          <w:sz w:val="22"/>
          <w:szCs w:val="22"/>
        </w:rPr>
        <w:t xml:space="preserve">--- End of Report ---</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sz w:val="18"/>
        <w:szCs w:val="18"/>
      </w:rPr>
      <w:t xml:space="preserve">Page </w:t>
    </w:r>
    <w:r>
      <w:rPr>
        <w:rFonts w:ascii="Arial" w:cs="Arial" w:eastAsia="Arial" w:hAnsi="Arial"/>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120" w:before="0" w:line="276"/>
      <w:jc w:val="right"/>
    </w:pPr>
    <w:r>
      <w:rPr>
        <w:rFonts w:ascii="Arial" w:cs="Arial" w:eastAsia="Arial" w:hAnsi="Arial"/>
        <w:i/>
        <w:iCs/>
        <w:sz w:val="18"/>
        <w:szCs w:val="18"/>
      </w:rPr>
      <w:t xml:space="preserve">MPi — MIP Phase 2 Project Report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00"/>
      <w:outlineLvl w:val="0"/>
    </w:pPr>
    <w:rPr>
      <w:rFonts w:ascii="Arial" w:cs="Arial" w:eastAsia="Arial" w:hAnsi="Arial"/>
      <w:b/>
      <w:bCs/>
      <w:sz w:val="28"/>
      <w:szCs w:val="28"/>
    </w:rPr>
  </w:style>
  <w:style w:type="paragraph" w:styleId="Heading2">
    <w:name w:val="Heading 2"/>
    <w:basedOn w:val="Normal"/>
    <w:next w:val="Normal"/>
    <w:qFormat/>
    <w:pPr>
      <w:spacing w:after="160" w:before="240"/>
      <w:outlineLvl w:val="1"/>
    </w:pPr>
    <w:rPr>
      <w:rFonts w:ascii="Arial" w:cs="Arial" w:eastAsia="Arial" w:hAnsi="Arial"/>
      <w:b/>
      <w:bCs/>
      <w:sz w:val="24"/>
      <w:szCs w:val="24"/>
    </w:rPr>
  </w:style>
  <w:style w:type="paragraph" w:styleId="Heading3">
    <w:name w:val="Heading 3"/>
    <w:basedOn w:val="Normal"/>
    <w:next w:val="Normal"/>
    <w:qFormat/>
    <w:pPr>
      <w:spacing w:after="120" w:before="200"/>
      <w:outlineLvl w:val="2"/>
    </w:pPr>
    <w:rPr>
      <w:rFonts w:ascii="Arial" w:cs="Arial" w:eastAsia="Arial" w:hAnsi="Arial"/>
      <w:b/>
      <w:bCs/>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2026-06-24T07:31:06.119Z</dcterms:created>
  <dcterms:modified xsi:type="dcterms:W3CDTF">2026-06-24T07:31:06.126Z</dcterms:modified>
</cp:coreProperties>
</file>

<file path=docProps/custom.xml><?xml version="1.0" encoding="utf-8"?>
<Properties xmlns="http://schemas.openxmlformats.org/officeDocument/2006/custom-properties" xmlns:vt="http://schemas.openxmlformats.org/officeDocument/2006/docPropsVTypes"/>
</file>