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2"/>
        </w:rPr>
        <w:t>MIP — Bank-Level Forecast Accuracy Summary</w:t>
      </w:r>
    </w:p>
    <w:p>
      <w:pPr>
        <w:jc w:val="center"/>
      </w:pPr>
      <w:r>
        <w:rPr>
          <w:color w:val="666666"/>
          <w:sz w:val="18"/>
        </w:rPr>
        <w:t>Prepared by: Eshan Adyanthaya, MPi  |  23 June 2026</w:t>
      </w:r>
    </w:p>
    <w:p/>
    <w:p>
      <w:pPr>
        <w:pStyle w:val="Heading1"/>
      </w:pPr>
      <w:r>
        <w:rPr>
          <w:color w:val="1A365D"/>
        </w:rPr>
        <w:t>1. Methodology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Facebook Prophet (logistic growth) for banks with structural breaks;</w:t>
              <w:br/>
              <w:t>Holt-Winters ETS for clean, stable-growth banks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Walk-forward cross-validation — 36-month initial window, 6-month forecast horizon, 6-month step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Bank Coverage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CC banks + 6 DC banks modelled individually (ground-up approach)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Industry Coverage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~85% of CC outstanding, ~82% of DC outstanding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Residual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Remaining banks captured via a single residual Prophet model;</w:t>
              <w:br/>
              <w:t>sum of individual + residual = India total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Confidence Intervals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90% prediction intervals from Prophet / ETS simulation</w:t>
            </w:r>
          </w:p>
        </w:tc>
      </w:tr>
    </w:tbl>
    <w:p/>
    <w:p>
      <w:pPr>
        <w:pStyle w:val="Heading1"/>
      </w:pPr>
      <w:r>
        <w:rPr>
          <w:color w:val="1A365D"/>
        </w:rPr>
        <w:t>2. Credit Card Outstanding — Bank-Level CV MAPE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Bank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CV MAPE (Median)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CV Range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ICICI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Stable growth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IndusInd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Stable growth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State Bank of India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3.2% – 11.3%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HDFC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3.1% – 8.1%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Logistic growth cap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Axis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Stable growth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HSBC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 – 23.4%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 base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Bank of Baroda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11.0% – 27.3%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Rapid growth, cap applied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Kotak Mahindra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21.9%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10.1% – 30.0%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Rapid growth, cap applied</w:t>
            </w:r>
          </w:p>
        </w:tc>
      </w:tr>
    </w:tbl>
    <w:p>
      <w:r>
        <w:rPr>
          <w:b/>
        </w:rPr>
        <w:t>CC Median across banks: 5.7%</w:t>
      </w:r>
    </w:p>
    <w:p/>
    <w:p>
      <w:pPr>
        <w:pStyle w:val="Heading1"/>
      </w:pPr>
      <w:r>
        <w:rPr>
          <w:color w:val="1A365D"/>
        </w:rPr>
        <w:t>3. Debit Card Outstanding — Bank-Level CV MAPE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Bank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CV MAPE (Median)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CV Range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HDFC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Very stable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UCO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Axis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State Bank of India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1.5% – 7.1%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Largest DC issuer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ICICI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Bank of Baroda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1.5% – 7.4%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Indian Overseas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Central Bank of India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4.4% – 11.0%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Kotak Mahindra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 – 10.3%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Bank of India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3.8% – 16.3%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Paytm Payments 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11.4% – 53.8%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 volatility</w:t>
            </w:r>
          </w:p>
        </w:tc>
      </w:tr>
    </w:tbl>
    <w:p>
      <w:r>
        <w:rPr>
          <w:b/>
        </w:rPr>
        <w:t>DC Median across banks: 5.3%</w:t>
      </w:r>
    </w:p>
    <w:p/>
    <w:p>
      <w:pPr>
        <w:pStyle w:val="Heading1"/>
      </w:pPr>
      <w:r>
        <w:rPr>
          <w:color w:val="1A365D"/>
        </w:rPr>
        <w:t>4. Aggregate Out-of-Sample Holdout (Jan – Jun 2025)</w:t>
      </w:r>
    </w:p>
    <w:p>
      <w:r>
        <w:t>True OOS test: models trained through Dec 2024, forecasts compared against actual Jan–Jun 2025 data.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OOS MAPE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Max Monthly Error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90% CI Coverage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CC Outstanding (India)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2.41%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83% (5/6 months)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DC Outstanding (India)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2.06%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(6/6 months)</w:t>
            </w:r>
          </w:p>
        </w:tc>
      </w:tr>
    </w:tbl>
    <w:p/>
    <w:p>
      <w:pPr>
        <w:pStyle w:val="Heading1"/>
      </w:pPr>
      <w:r>
        <w:rPr>
          <w:color w:val="1A365D"/>
        </w:rPr>
        <w:t>5. Accuracy Tiering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Banks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Green (≤ 7%)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ICICI (CC/DC), IndusInd (CC), SBI (CC/DC), HDFC (CC/DC),</w:t>
              <w:br/>
              <w:t>Axis (CC/DC), UCO (DC), BoB (DC), IOB (DC)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Amber (7%–15%)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HSBC (CC), CBI (DC), Kotak (DC), BoI (DC)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Red (&gt; 15%)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Kotak (CC), BoB (CC), Paytm (DC)</w:t>
            </w:r>
          </w:p>
        </w:tc>
      </w:tr>
    </w:tbl>
    <w:p>
      <w:r>
        <w:t>Red-tier banks are in rapid growth or high-volatility phases. Logistic growth caps are applied to constrain over-forecasting.</w:t>
      </w:r>
    </w:p>
    <w:p/>
    <w:p>
      <w:pPr>
        <w:pStyle w:val="Heading1"/>
      </w:pPr>
      <w:r>
        <w:rPr>
          <w:color w:val="1A365D"/>
        </w:rPr>
        <w:t>6. Key Takeaways</w:t>
      </w:r>
    </w:p>
    <w:p>
      <w:r>
        <w:t>1. 8 of 11 bank models are under 10% MAPE — well within industry-acceptable range for monthly forecasting</w:t>
      </w:r>
    </w:p>
    <w:p>
      <w:r>
        <w:t>2. Aggregate accuracy is strong — ground-up sum achieves &lt; 2% OOS error at India level</w:t>
      </w:r>
    </w:p>
    <w:p>
      <w:r>
        <w:t>3. Dual-model approach validated — ETS outperforms Prophet by 0.5–3.3pp on stable-growth banks</w:t>
      </w:r>
    </w:p>
    <w:p>
      <w:r>
        <w:t>4. Red-flag banks (Kotak CC, BoB CC, Paytm DC) are monitored separately with logistic growth caps</w:t>
      </w:r>
    </w:p>
    <w:p>
      <w:r>
        <w:t>5. 90% CI coverage at aggregate level is 83–100%, confirming prediction intervals are well-calibrated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